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2256" w14:textId="77777777" w:rsidR="0094473E" w:rsidRPr="000A7BB0" w:rsidRDefault="0094473E" w:rsidP="0094473E">
      <w:pPr>
        <w:keepNext/>
        <w:keepLines/>
        <w:spacing w:before="0" w:after="360"/>
        <w:ind w:left="788"/>
        <w:jc w:val="center"/>
        <w:outlineLvl w:val="0"/>
        <w:rPr>
          <w:rFonts w:ascii="Arial" w:hAnsi="Arial" w:cs="Arial"/>
          <w:bCs/>
          <w:color w:val="000080"/>
          <w:sz w:val="36"/>
          <w:szCs w:val="36"/>
        </w:rPr>
      </w:pPr>
      <w:r w:rsidRPr="000A7BB0">
        <w:rPr>
          <w:rFonts w:ascii="Arial" w:eastAsiaTheme="majorEastAsia" w:hAnsi="Arial" w:cs="Arial"/>
          <w:b/>
          <w:bCs/>
          <w:color w:val="000080"/>
          <w:sz w:val="36"/>
          <w:szCs w:val="36"/>
        </w:rPr>
        <w:t>Medical Services Advisory Committee (MSAC)</w:t>
      </w:r>
      <w:r w:rsidRPr="000A7BB0">
        <w:rPr>
          <w:rFonts w:ascii="Arial" w:eastAsiaTheme="majorEastAsia" w:hAnsi="Arial" w:cs="Arial"/>
          <w:b/>
          <w:bCs/>
          <w:color w:val="000080"/>
          <w:sz w:val="36"/>
          <w:szCs w:val="36"/>
        </w:rPr>
        <w:br/>
      </w:r>
      <w:r w:rsidRPr="00F76D74">
        <w:rPr>
          <w:rFonts w:ascii="Arial" w:hAnsi="Arial" w:cs="Arial"/>
          <w:b/>
          <w:bCs/>
          <w:color w:val="000080"/>
          <w:sz w:val="36"/>
          <w:szCs w:val="36"/>
        </w:rPr>
        <w:t>Public Summary Document</w:t>
      </w:r>
    </w:p>
    <w:p w14:paraId="4AEC87C9" w14:textId="77FB0927" w:rsidR="00A3761F" w:rsidRDefault="00A3761F" w:rsidP="0094473E">
      <w:pPr>
        <w:spacing w:after="240"/>
        <w:jc w:val="center"/>
        <w:rPr>
          <w:rFonts w:ascii="Arial" w:eastAsia="Times New Roman" w:hAnsi="Arial" w:cs="Arial"/>
          <w:b/>
          <w:bCs/>
          <w:i/>
          <w:iCs/>
          <w:color w:val="000080"/>
          <w:sz w:val="28"/>
          <w:szCs w:val="28"/>
          <w:lang w:eastAsia="en-AU"/>
        </w:rPr>
      </w:pPr>
      <w:r w:rsidRPr="2914E55D">
        <w:rPr>
          <w:rFonts w:ascii="Arial" w:eastAsia="Times New Roman" w:hAnsi="Arial" w:cs="Arial"/>
          <w:b/>
          <w:bCs/>
          <w:i/>
          <w:iCs/>
          <w:color w:val="000080"/>
          <w:sz w:val="28"/>
          <w:szCs w:val="28"/>
          <w:lang w:eastAsia="en-AU"/>
        </w:rPr>
        <w:t xml:space="preserve">Application No. 1779 – </w:t>
      </w:r>
      <w:r w:rsidR="0094473E" w:rsidRPr="0094473E">
        <w:rPr>
          <w:rFonts w:ascii="Arial" w:eastAsia="Times New Roman" w:hAnsi="Arial" w:cs="Arial"/>
          <w:b/>
          <w:bCs/>
          <w:i/>
          <w:iCs/>
          <w:color w:val="000080"/>
          <w:sz w:val="28"/>
          <w:szCs w:val="28"/>
          <w:lang w:eastAsia="en-AU"/>
        </w:rPr>
        <w:t>Testing of tumour tissue to detect FGFR2 fusions or rearrangements in people with cholangiocarcinoma, to determine eligibility for treatment with PBS subsidised futibatinib</w:t>
      </w:r>
    </w:p>
    <w:p w14:paraId="6F221145" w14:textId="1B9036CA" w:rsidR="00A3761F" w:rsidRPr="0094473E" w:rsidRDefault="00A3761F" w:rsidP="00FE02BC">
      <w:pPr>
        <w:tabs>
          <w:tab w:val="left" w:pos="3544"/>
        </w:tabs>
        <w:rPr>
          <w:rFonts w:ascii="Arial" w:hAnsi="Arial" w:cs="Arial"/>
          <w:b/>
          <w:bCs/>
          <w:sz w:val="22"/>
        </w:rPr>
      </w:pPr>
      <w:r w:rsidRPr="0094473E">
        <w:rPr>
          <w:rFonts w:ascii="Arial" w:hAnsi="Arial" w:cs="Arial"/>
          <w:b/>
          <w:bCs/>
          <w:sz w:val="22"/>
        </w:rPr>
        <w:t>Applicant:</w:t>
      </w:r>
      <w:r w:rsidR="00FE02BC">
        <w:rPr>
          <w:rFonts w:ascii="Arial" w:hAnsi="Arial" w:cs="Arial"/>
          <w:b/>
          <w:bCs/>
          <w:sz w:val="22"/>
        </w:rPr>
        <w:tab/>
      </w:r>
      <w:r w:rsidRPr="0094473E">
        <w:rPr>
          <w:rFonts w:ascii="Arial" w:hAnsi="Arial" w:cs="Arial"/>
          <w:b/>
          <w:bCs/>
          <w:sz w:val="22"/>
        </w:rPr>
        <w:t>Taiho Pharma Oceania Pty Ltd.</w:t>
      </w:r>
    </w:p>
    <w:p w14:paraId="060240FC" w14:textId="10F61535" w:rsidR="00C51E55" w:rsidRPr="0094473E" w:rsidRDefault="00A3761F" w:rsidP="2914E55D">
      <w:pPr>
        <w:pStyle w:val="3-BodyText"/>
        <w:rPr>
          <w:rFonts w:ascii="Arial" w:hAnsi="Arial"/>
          <w:b/>
          <w:bCs/>
          <w:sz w:val="22"/>
          <w:szCs w:val="22"/>
        </w:rPr>
      </w:pPr>
      <w:r w:rsidRPr="0094473E">
        <w:rPr>
          <w:rFonts w:ascii="Arial" w:hAnsi="Arial"/>
          <w:b/>
          <w:bCs/>
          <w:sz w:val="22"/>
          <w:szCs w:val="22"/>
        </w:rPr>
        <w:t xml:space="preserve">Date of </w:t>
      </w:r>
      <w:r w:rsidR="0094473E">
        <w:rPr>
          <w:rFonts w:ascii="Arial" w:hAnsi="Arial"/>
          <w:b/>
          <w:bCs/>
          <w:sz w:val="22"/>
          <w:szCs w:val="22"/>
        </w:rPr>
        <w:t>MSAC</w:t>
      </w:r>
      <w:r w:rsidRPr="0094473E">
        <w:rPr>
          <w:rFonts w:ascii="Arial" w:hAnsi="Arial"/>
          <w:b/>
          <w:bCs/>
          <w:sz w:val="22"/>
          <w:szCs w:val="22"/>
        </w:rPr>
        <w:t xml:space="preserve"> consideration:</w:t>
      </w:r>
      <w:r>
        <w:tab/>
      </w:r>
      <w:r w:rsidR="00125BB0">
        <w:rPr>
          <w:rFonts w:ascii="Arial" w:hAnsi="Arial"/>
          <w:b/>
          <w:bCs/>
          <w:sz w:val="22"/>
          <w:szCs w:val="22"/>
        </w:rPr>
        <w:t>3-4 April</w:t>
      </w:r>
      <w:r w:rsidRPr="0094473E">
        <w:rPr>
          <w:rFonts w:ascii="Arial" w:hAnsi="Arial"/>
          <w:b/>
          <w:bCs/>
          <w:sz w:val="22"/>
          <w:szCs w:val="22"/>
        </w:rPr>
        <w:t xml:space="preserve"> 2025</w:t>
      </w:r>
    </w:p>
    <w:p w14:paraId="35FAF7CB" w14:textId="0692ADA4" w:rsidR="00EB5853" w:rsidRPr="00FE02BC" w:rsidRDefault="0094473E" w:rsidP="00FE02BC">
      <w:pPr>
        <w:spacing w:before="240"/>
        <w:rPr>
          <w:rFonts w:ascii="Franklin Gothic Book" w:hAnsi="Franklin Gothic Book"/>
          <w:color w:val="0000FF"/>
          <w:sz w:val="22"/>
          <w:u w:val="single"/>
        </w:rPr>
      </w:pPr>
      <w:r w:rsidRPr="00333EDF">
        <w:rPr>
          <w:rFonts w:ascii="Franklin Gothic Book" w:hAnsi="Franklin Gothic Book"/>
          <w:sz w:val="22"/>
        </w:rPr>
        <w:t xml:space="preserve">Context for decision: MSAC makes its advice in accordance with its Terms of Reference, </w:t>
      </w:r>
      <w:hyperlink r:id="rId8" w:tooltip="Link to Medical Services Advisory Committee website" w:history="1">
        <w:r w:rsidRPr="000D2098">
          <w:rPr>
            <w:rStyle w:val="Hyperlink"/>
            <w:rFonts w:ascii="Franklin Gothic Book" w:hAnsi="Franklin Gothic Book"/>
            <w:color w:val="007BB8"/>
            <w:sz w:val="22"/>
          </w:rPr>
          <w:t>visit the MSAC website</w:t>
        </w:r>
      </w:hyperlink>
    </w:p>
    <w:p w14:paraId="21138958" w14:textId="77777777" w:rsidR="00870112" w:rsidRPr="00FE02BC" w:rsidRDefault="00870112" w:rsidP="00FE02BC">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0" w:name="_Toc187865640"/>
      <w:bookmarkStart w:id="1" w:name="_Ref189083036"/>
      <w:r w:rsidRPr="00FE02BC">
        <w:rPr>
          <w:rFonts w:ascii="Franklin Gothic Medium" w:hAnsi="Franklin Gothic Medium"/>
          <w:b w:val="0"/>
          <w:i w:val="0"/>
          <w:snapToGrid/>
          <w:color w:val="000000" w:themeColor="text1"/>
          <w:sz w:val="32"/>
          <w:szCs w:val="26"/>
        </w:rPr>
        <w:t xml:space="preserve">Purpose of the </w:t>
      </w:r>
      <w:r w:rsidR="000A027E" w:rsidRPr="00FE02BC">
        <w:rPr>
          <w:rFonts w:ascii="Franklin Gothic Medium" w:hAnsi="Franklin Gothic Medium"/>
          <w:b w:val="0"/>
          <w:i w:val="0"/>
          <w:snapToGrid/>
          <w:color w:val="000000" w:themeColor="text1"/>
          <w:sz w:val="32"/>
          <w:szCs w:val="26"/>
        </w:rPr>
        <w:t>application</w:t>
      </w:r>
      <w:bookmarkEnd w:id="0"/>
      <w:bookmarkEnd w:id="1"/>
      <w:r w:rsidR="00DF0689" w:rsidRPr="00FE02BC">
        <w:rPr>
          <w:rFonts w:ascii="Franklin Gothic Medium" w:hAnsi="Franklin Gothic Medium"/>
          <w:b w:val="0"/>
          <w:i w:val="0"/>
          <w:snapToGrid/>
          <w:color w:val="000000" w:themeColor="text1"/>
          <w:sz w:val="32"/>
          <w:szCs w:val="26"/>
        </w:rPr>
        <w:t xml:space="preserve"> </w:t>
      </w:r>
    </w:p>
    <w:p w14:paraId="0588B57C" w14:textId="3802CB3F" w:rsidR="000A027E" w:rsidRPr="00FE02BC" w:rsidRDefault="000359BA" w:rsidP="00FE02BC">
      <w:pPr>
        <w:pStyle w:val="MSACESParagraph"/>
        <w:rPr>
          <w:rFonts w:ascii="Franklin Gothic Book" w:hAnsi="Franklin Gothic Book"/>
          <w:sz w:val="22"/>
        </w:rPr>
      </w:pPr>
      <w:r w:rsidRPr="00FE02BC">
        <w:rPr>
          <w:rFonts w:ascii="Franklin Gothic Book" w:hAnsi="Franklin Gothic Book"/>
          <w:sz w:val="22"/>
        </w:rPr>
        <w:t xml:space="preserve">The integrated codependent </w:t>
      </w:r>
      <w:r w:rsidR="000A027E" w:rsidRPr="00FE02BC">
        <w:rPr>
          <w:rFonts w:ascii="Franklin Gothic Book" w:hAnsi="Franklin Gothic Book"/>
          <w:sz w:val="22"/>
        </w:rPr>
        <w:t xml:space="preserve">application requested: </w:t>
      </w:r>
    </w:p>
    <w:p w14:paraId="68A71895" w14:textId="1252F845" w:rsidR="000359BA" w:rsidRPr="00FE02BC" w:rsidRDefault="000359BA" w:rsidP="00FE02BC">
      <w:pPr>
        <w:pStyle w:val="MSACESParagraph"/>
        <w:numPr>
          <w:ilvl w:val="0"/>
          <w:numId w:val="12"/>
        </w:numPr>
        <w:rPr>
          <w:rFonts w:ascii="Franklin Gothic Book" w:hAnsi="Franklin Gothic Book" w:cstheme="minorHAnsi"/>
          <w:sz w:val="22"/>
        </w:rPr>
      </w:pPr>
      <w:r w:rsidRPr="00FE02BC">
        <w:rPr>
          <w:rFonts w:ascii="Franklin Gothic Book" w:hAnsi="Franklin Gothic Book" w:cstheme="minorHAnsi"/>
          <w:sz w:val="22"/>
        </w:rPr>
        <w:t xml:space="preserve">Medicare Benefits Schedule (MBS) listing of </w:t>
      </w:r>
      <w:r w:rsidR="00EE5CA6" w:rsidRPr="00FE02BC">
        <w:rPr>
          <w:rFonts w:ascii="Franklin Gothic Book" w:hAnsi="Franklin Gothic Book" w:cstheme="minorHAnsi"/>
          <w:sz w:val="22"/>
        </w:rPr>
        <w:t>testing of tumour tissue to detect fibroblast growth factor receptor 2 (</w:t>
      </w:r>
      <w:r w:rsidR="00EE5CA6" w:rsidRPr="00FE02BC">
        <w:rPr>
          <w:rFonts w:ascii="Franklin Gothic Book" w:hAnsi="Franklin Gothic Book" w:cstheme="minorHAnsi"/>
          <w:i/>
          <w:iCs/>
          <w:sz w:val="22"/>
        </w:rPr>
        <w:t>FGFR2</w:t>
      </w:r>
      <w:r w:rsidR="00EE5CA6" w:rsidRPr="00FE02BC">
        <w:rPr>
          <w:rFonts w:ascii="Franklin Gothic Book" w:hAnsi="Franklin Gothic Book" w:cstheme="minorHAnsi"/>
          <w:sz w:val="22"/>
        </w:rPr>
        <w:t>) fusions or rearrangements</w:t>
      </w:r>
      <w:r w:rsidRPr="00FE02BC">
        <w:rPr>
          <w:rFonts w:ascii="Franklin Gothic Book" w:hAnsi="Franklin Gothic Book" w:cstheme="minorHAnsi"/>
          <w:sz w:val="22"/>
        </w:rPr>
        <w:t>; and</w:t>
      </w:r>
    </w:p>
    <w:p w14:paraId="2AB250F9" w14:textId="21F84FB0" w:rsidR="00415ED8" w:rsidRPr="005B1C7E" w:rsidRDefault="000359BA" w:rsidP="00FE02BC">
      <w:pPr>
        <w:pStyle w:val="MSACESBulletPoint"/>
        <w:rPr>
          <w:rFonts w:ascii="Franklin Gothic Book" w:hAnsi="Franklin Gothic Book"/>
          <w:i/>
          <w:iCs/>
          <w:sz w:val="22"/>
        </w:rPr>
      </w:pPr>
      <w:r w:rsidRPr="00FE02BC">
        <w:rPr>
          <w:rFonts w:ascii="Franklin Gothic Book" w:hAnsi="Franklin Gothic Book"/>
          <w:sz w:val="22"/>
        </w:rPr>
        <w:t xml:space="preserve">Pharmaceutical Benefits Scheme (PBS) </w:t>
      </w:r>
      <w:r w:rsidR="0010121E" w:rsidRPr="00FE02BC">
        <w:rPr>
          <w:rFonts w:ascii="Franklin Gothic Book" w:hAnsi="Franklin Gothic Book"/>
          <w:sz w:val="22"/>
        </w:rPr>
        <w:t xml:space="preserve">Authority required (streamlined) </w:t>
      </w:r>
      <w:r w:rsidRPr="00FE02BC">
        <w:rPr>
          <w:rFonts w:ascii="Franklin Gothic Book" w:hAnsi="Franklin Gothic Book"/>
          <w:sz w:val="22"/>
        </w:rPr>
        <w:t xml:space="preserve">listing </w:t>
      </w:r>
      <w:r w:rsidR="000A027E" w:rsidRPr="00FE02BC">
        <w:rPr>
          <w:rFonts w:ascii="Franklin Gothic Book" w:hAnsi="Franklin Gothic Book"/>
          <w:sz w:val="22"/>
        </w:rPr>
        <w:t xml:space="preserve">of </w:t>
      </w:r>
      <w:r w:rsidR="00EE5CA6" w:rsidRPr="00FE02BC">
        <w:rPr>
          <w:rFonts w:ascii="Franklin Gothic Book" w:hAnsi="Franklin Gothic Book"/>
          <w:sz w:val="22"/>
        </w:rPr>
        <w:t>futibatinib for the treatment of locally advanced or metastatic cholangiocarcinoma</w:t>
      </w:r>
      <w:r w:rsidR="00123227" w:rsidRPr="00FE02BC">
        <w:rPr>
          <w:rFonts w:ascii="Franklin Gothic Book" w:hAnsi="Franklin Gothic Book"/>
          <w:sz w:val="22"/>
        </w:rPr>
        <w:t xml:space="preserve"> (CCA)</w:t>
      </w:r>
      <w:r w:rsidR="00EE5CA6" w:rsidRPr="00FE02BC">
        <w:rPr>
          <w:rFonts w:ascii="Franklin Gothic Book" w:hAnsi="Franklin Gothic Book"/>
          <w:sz w:val="22"/>
        </w:rPr>
        <w:t xml:space="preserve"> in patients with </w:t>
      </w:r>
      <w:r w:rsidR="00EE5CA6" w:rsidRPr="00FE02BC">
        <w:rPr>
          <w:rFonts w:ascii="Franklin Gothic Book" w:hAnsi="Franklin Gothic Book"/>
          <w:i/>
          <w:iCs/>
          <w:sz w:val="22"/>
        </w:rPr>
        <w:t>FGFR2</w:t>
      </w:r>
      <w:r w:rsidR="00EE5CA6" w:rsidRPr="00FE02BC">
        <w:rPr>
          <w:rFonts w:ascii="Franklin Gothic Book" w:hAnsi="Franklin Gothic Book"/>
          <w:sz w:val="22"/>
        </w:rPr>
        <w:t xml:space="preserve"> fusion or rearrangement.</w:t>
      </w:r>
    </w:p>
    <w:p w14:paraId="77F6CEF2" w14:textId="77777777" w:rsidR="00330942" w:rsidRPr="00330942" w:rsidRDefault="00330942"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330942">
        <w:rPr>
          <w:rFonts w:ascii="Franklin Gothic Medium" w:hAnsi="Franklin Gothic Medium"/>
          <w:b w:val="0"/>
          <w:i w:val="0"/>
          <w:snapToGrid/>
          <w:color w:val="000000" w:themeColor="text1"/>
          <w:sz w:val="32"/>
          <w:szCs w:val="26"/>
        </w:rPr>
        <w:t>MSAC’s advice to the Minister</w:t>
      </w:r>
    </w:p>
    <w:p w14:paraId="4C1AA155" w14:textId="36E18FF3" w:rsidR="00981A4C" w:rsidRDefault="00330942" w:rsidP="00071EE3">
      <w:pPr>
        <w:jc w:val="left"/>
        <w:rPr>
          <w:rFonts w:ascii="Franklin Gothic Book" w:eastAsia="Franklin Gothic Book" w:hAnsi="Franklin Gothic Book" w:cs="Franklin Gothic Book"/>
          <w:color w:val="000000" w:themeColor="text1"/>
          <w:sz w:val="22"/>
        </w:rPr>
      </w:pPr>
      <w:r w:rsidRPr="00333EDF">
        <w:rPr>
          <w:rFonts w:ascii="Franklin Gothic Book" w:hAnsi="Franklin Gothic Book"/>
          <w:sz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rPr>
        <w:t>MSAC</w:t>
      </w:r>
      <w:r w:rsidR="00A3629B">
        <w:rPr>
          <w:rFonts w:ascii="Franklin Gothic Book" w:eastAsia="Franklin Gothic Book" w:hAnsi="Franklin Gothic Book"/>
          <w:sz w:val="22"/>
        </w:rPr>
        <w:t xml:space="preserve"> </w:t>
      </w:r>
      <w:r w:rsidR="00981A4C" w:rsidRPr="1465C719">
        <w:rPr>
          <w:rFonts w:ascii="Franklin Gothic Book" w:eastAsia="Franklin Gothic Book" w:hAnsi="Franklin Gothic Book"/>
          <w:color w:val="000000" w:themeColor="text1"/>
          <w:sz w:val="22"/>
        </w:rPr>
        <w:t xml:space="preserve">deferred its advice for testing of tumour tissue to detect </w:t>
      </w:r>
      <w:r w:rsidR="00981A4C" w:rsidRPr="1465C719">
        <w:rPr>
          <w:rFonts w:ascii="Franklin Gothic Book" w:eastAsia="Franklin Gothic Book" w:hAnsi="Franklin Gothic Book"/>
          <w:i/>
          <w:color w:val="000000" w:themeColor="text1"/>
          <w:sz w:val="22"/>
        </w:rPr>
        <w:t>FGFR2</w:t>
      </w:r>
      <w:r w:rsidR="00981A4C" w:rsidRPr="1465C719">
        <w:rPr>
          <w:rFonts w:ascii="Franklin Gothic Book" w:eastAsia="Franklin Gothic Book" w:hAnsi="Franklin Gothic Book"/>
          <w:color w:val="000000" w:themeColor="text1"/>
          <w:sz w:val="22"/>
        </w:rPr>
        <w:t xml:space="preserve"> fusions or rearrangements in people with cholangiocarcinoma (CCA), to determine eligibility for treatment with PBS subsidised futibatinib</w:t>
      </w:r>
      <w:r w:rsidR="00B14FD7">
        <w:rPr>
          <w:rFonts w:ascii="Franklin Gothic Book" w:eastAsia="Franklin Gothic Book" w:hAnsi="Franklin Gothic Book"/>
          <w:color w:val="000000" w:themeColor="text1"/>
          <w:sz w:val="22"/>
        </w:rPr>
        <w:t>.</w:t>
      </w:r>
      <w:r w:rsidR="00981A4C">
        <w:rPr>
          <w:rFonts w:ascii="Franklin Gothic Book" w:eastAsia="Franklin Gothic Book" w:hAnsi="Franklin Gothic Book"/>
          <w:color w:val="000000" w:themeColor="text1"/>
          <w:sz w:val="22"/>
        </w:rPr>
        <w:t xml:space="preserve"> </w:t>
      </w:r>
      <w:r w:rsidR="00981A4C" w:rsidRPr="1465C719">
        <w:rPr>
          <w:rFonts w:ascii="Franklin Gothic Book" w:eastAsia="Franklin Gothic Book" w:hAnsi="Franklin Gothic Book"/>
          <w:color w:val="000000" w:themeColor="text1"/>
          <w:sz w:val="22"/>
        </w:rPr>
        <w:t xml:space="preserve">MSAC noted that the </w:t>
      </w:r>
      <w:r w:rsidR="00981A4C" w:rsidRPr="5B0B7D0C">
        <w:rPr>
          <w:rFonts w:ascii="Franklin Gothic Book" w:eastAsia="Franklin Gothic Book" w:hAnsi="Franklin Gothic Book" w:cs="Franklin Gothic Book"/>
          <w:color w:val="000000" w:themeColor="text1"/>
          <w:sz w:val="22"/>
        </w:rPr>
        <w:t>Pharmaceutical Benefits Advisory Committee (PBAC) did not</w:t>
      </w:r>
      <w:r w:rsidR="00981A4C">
        <w:rPr>
          <w:rFonts w:ascii="Franklin Gothic Book" w:eastAsia="Franklin Gothic Book" w:hAnsi="Franklin Gothic Book" w:cs="Franklin Gothic Book"/>
          <w:color w:val="000000" w:themeColor="text1"/>
          <w:sz w:val="22"/>
        </w:rPr>
        <w:t xml:space="preserve"> recommend futibatinib </w:t>
      </w:r>
      <w:r w:rsidR="00981A4C" w:rsidRPr="00336C83">
        <w:rPr>
          <w:rFonts w:ascii="Franklin Gothic Book" w:eastAsia="Franklin Gothic Book" w:hAnsi="Franklin Gothic Book" w:cs="Franklin Gothic Book"/>
          <w:color w:val="000000" w:themeColor="text1"/>
          <w:sz w:val="22"/>
        </w:rPr>
        <w:t xml:space="preserve">for the treatment of patients with locally advanced or metastatic CCA who have previously progressed on systemic therapy and have a </w:t>
      </w:r>
      <w:r w:rsidR="00981A4C" w:rsidRPr="000B375F">
        <w:rPr>
          <w:rFonts w:ascii="Franklin Gothic Book" w:eastAsia="Franklin Gothic Book" w:hAnsi="Franklin Gothic Book" w:cs="Franklin Gothic Book"/>
          <w:i/>
          <w:color w:val="000000" w:themeColor="text1"/>
          <w:sz w:val="22"/>
        </w:rPr>
        <w:t>FGFR2</w:t>
      </w:r>
      <w:r w:rsidR="00981A4C" w:rsidRPr="00336C83">
        <w:rPr>
          <w:rFonts w:ascii="Franklin Gothic Book" w:eastAsia="Franklin Gothic Book" w:hAnsi="Franklin Gothic Book" w:cs="Franklin Gothic Book"/>
          <w:color w:val="000000" w:themeColor="text1"/>
          <w:sz w:val="22"/>
        </w:rPr>
        <w:t xml:space="preserve"> fusion or rearrangement</w:t>
      </w:r>
      <w:r w:rsidR="00981A4C">
        <w:rPr>
          <w:rFonts w:ascii="Franklin Gothic Book" w:eastAsia="Franklin Gothic Book" w:hAnsi="Franklin Gothic Book" w:cs="Franklin Gothic Book"/>
          <w:color w:val="000000" w:themeColor="text1"/>
          <w:sz w:val="22"/>
        </w:rPr>
        <w:t>, however</w:t>
      </w:r>
      <w:r w:rsidR="00981A4C" w:rsidRPr="002B3B68">
        <w:rPr>
          <w:rFonts w:ascii="Franklin Gothic Book" w:eastAsia="Franklin Gothic Book" w:hAnsi="Franklin Gothic Book" w:cs="Franklin Gothic Book"/>
          <w:color w:val="000000" w:themeColor="text1"/>
          <w:sz w:val="22"/>
        </w:rPr>
        <w:t xml:space="preserve"> considered the outstanding issues could be addressed in an early re-entry submission</w:t>
      </w:r>
      <w:r w:rsidR="00981A4C">
        <w:rPr>
          <w:rFonts w:ascii="Franklin Gothic Book" w:eastAsia="Franklin Gothic Book" w:hAnsi="Franklin Gothic Book" w:cs="Franklin Gothic Book"/>
          <w:color w:val="000000" w:themeColor="text1"/>
          <w:sz w:val="22"/>
        </w:rPr>
        <w:t xml:space="preserve">. </w:t>
      </w:r>
    </w:p>
    <w:p w14:paraId="64A7C5BF" w14:textId="1B391083" w:rsidR="00330942" w:rsidRPr="00071EE3" w:rsidRDefault="00981A4C" w:rsidP="00071EE3">
      <w:pPr>
        <w:pStyle w:val="TableFooter"/>
        <w:spacing w:after="240"/>
        <w:jc w:val="left"/>
        <w:rPr>
          <w:rFonts w:ascii="Franklin Gothic Book" w:eastAsia="Franklin Gothic Book" w:hAnsi="Franklin Gothic Book" w:cs="Franklin Gothic Book"/>
          <w:color w:val="000000" w:themeColor="text1"/>
          <w:sz w:val="22"/>
          <w:szCs w:val="22"/>
        </w:rPr>
      </w:pPr>
      <w:r w:rsidRPr="00E96A3A">
        <w:rPr>
          <w:rFonts w:ascii="Franklin Gothic Book" w:eastAsia="Franklin Gothic Book" w:hAnsi="Franklin Gothic Book" w:cs="Franklin Gothic Book"/>
          <w:color w:val="000000" w:themeColor="text1"/>
          <w:sz w:val="22"/>
          <w:szCs w:val="22"/>
        </w:rPr>
        <w:t xml:space="preserve">MSAC </w:t>
      </w:r>
      <w:r>
        <w:rPr>
          <w:rFonts w:ascii="Franklin Gothic Book" w:eastAsia="Franklin Gothic Book" w:hAnsi="Franklin Gothic Book" w:cs="Franklin Gothic Book"/>
          <w:color w:val="000000" w:themeColor="text1"/>
          <w:sz w:val="22"/>
          <w:szCs w:val="22"/>
        </w:rPr>
        <w:t>acknowledged</w:t>
      </w:r>
      <w:r w:rsidRPr="00E96A3A">
        <w:rPr>
          <w:rFonts w:ascii="Franklin Gothic Book" w:eastAsia="Franklin Gothic Book" w:hAnsi="Franklin Gothic Book" w:cs="Franklin Gothic Book"/>
          <w:color w:val="000000" w:themeColor="text1"/>
          <w:sz w:val="22"/>
          <w:szCs w:val="22"/>
        </w:rPr>
        <w:t xml:space="preserve"> that patients with </w:t>
      </w:r>
      <w:r w:rsidRPr="1CB9E7EE">
        <w:rPr>
          <w:rFonts w:ascii="Franklin Gothic Book" w:eastAsia="Franklin Gothic Book" w:hAnsi="Franklin Gothic Book" w:cs="Franklin Gothic Book"/>
          <w:color w:val="000000" w:themeColor="text1"/>
          <w:sz w:val="22"/>
          <w:szCs w:val="22"/>
        </w:rPr>
        <w:t>CCA</w:t>
      </w:r>
      <w:r w:rsidRPr="00E96A3A">
        <w:rPr>
          <w:rFonts w:ascii="Franklin Gothic Book" w:eastAsia="Franklin Gothic Book" w:hAnsi="Franklin Gothic Book" w:cs="Franklin Gothic Book"/>
          <w:color w:val="000000" w:themeColor="text1"/>
          <w:sz w:val="22"/>
          <w:szCs w:val="22"/>
        </w:rPr>
        <w:t xml:space="preserve"> typically have a poor prognosis, and that there </w:t>
      </w:r>
      <w:r w:rsidRPr="1CB9E7EE">
        <w:rPr>
          <w:rFonts w:ascii="Franklin Gothic Book" w:eastAsia="Franklin Gothic Book" w:hAnsi="Franklin Gothic Book" w:cs="Franklin Gothic Book"/>
          <w:color w:val="000000" w:themeColor="text1"/>
          <w:sz w:val="22"/>
          <w:szCs w:val="22"/>
        </w:rPr>
        <w:t>is</w:t>
      </w:r>
      <w:r w:rsidRPr="00E96A3A">
        <w:rPr>
          <w:rFonts w:ascii="Franklin Gothic Book" w:eastAsia="Franklin Gothic Book" w:hAnsi="Franklin Gothic Book" w:cs="Franklin Gothic Book"/>
          <w:color w:val="000000" w:themeColor="text1"/>
          <w:sz w:val="22"/>
          <w:szCs w:val="22"/>
        </w:rPr>
        <w:t xml:space="preserve"> a high clinical need for </w:t>
      </w:r>
      <w:r>
        <w:rPr>
          <w:rFonts w:ascii="Franklin Gothic Book" w:eastAsia="Franklin Gothic Book" w:hAnsi="Franklin Gothic Book" w:cs="Franklin Gothic Book"/>
          <w:color w:val="000000" w:themeColor="text1"/>
          <w:sz w:val="22"/>
          <w:szCs w:val="22"/>
        </w:rPr>
        <w:t xml:space="preserve">new </w:t>
      </w:r>
      <w:r w:rsidRPr="00E96A3A">
        <w:rPr>
          <w:rFonts w:ascii="Franklin Gothic Book" w:eastAsia="Franklin Gothic Book" w:hAnsi="Franklin Gothic Book" w:cs="Franklin Gothic Book"/>
          <w:color w:val="000000" w:themeColor="text1"/>
          <w:sz w:val="22"/>
          <w:szCs w:val="22"/>
        </w:rPr>
        <w:t>treatment</w:t>
      </w:r>
      <w:r>
        <w:rPr>
          <w:rFonts w:ascii="Franklin Gothic Book" w:eastAsia="Franklin Gothic Book" w:hAnsi="Franklin Gothic Book" w:cs="Franklin Gothic Book"/>
          <w:color w:val="000000" w:themeColor="text1"/>
          <w:sz w:val="22"/>
          <w:szCs w:val="22"/>
        </w:rPr>
        <w:t xml:space="preserve"> option</w:t>
      </w:r>
      <w:r w:rsidRPr="00E96A3A">
        <w:rPr>
          <w:rFonts w:ascii="Franklin Gothic Book" w:eastAsia="Franklin Gothic Book" w:hAnsi="Franklin Gothic Book" w:cs="Franklin Gothic Book"/>
          <w:color w:val="000000" w:themeColor="text1"/>
          <w:sz w:val="22"/>
          <w:szCs w:val="22"/>
        </w:rPr>
        <w:t xml:space="preserve">s for this </w:t>
      </w:r>
      <w:r>
        <w:rPr>
          <w:rFonts w:ascii="Franklin Gothic Book" w:eastAsia="Franklin Gothic Book" w:hAnsi="Franklin Gothic Book" w:cs="Franklin Gothic Book"/>
          <w:color w:val="000000" w:themeColor="text1"/>
          <w:sz w:val="22"/>
          <w:szCs w:val="22"/>
        </w:rPr>
        <w:t>patient population.</w:t>
      </w:r>
      <w:r w:rsidRPr="00E96A3A">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color w:val="000000" w:themeColor="text1"/>
          <w:sz w:val="22"/>
          <w:szCs w:val="22"/>
        </w:rPr>
        <w:t xml:space="preserve">MSAC considered the claim of codependency </w:t>
      </w:r>
      <w:r w:rsidRPr="1CB9E7EE">
        <w:rPr>
          <w:rFonts w:ascii="Franklin Gothic Book" w:eastAsia="Franklin Gothic Book" w:hAnsi="Franklin Gothic Book" w:cs="Franklin Gothic Book"/>
          <w:color w:val="000000" w:themeColor="text1"/>
          <w:sz w:val="22"/>
          <w:szCs w:val="22"/>
        </w:rPr>
        <w:t>of</w:t>
      </w:r>
      <w:r>
        <w:rPr>
          <w:rFonts w:ascii="Franklin Gothic Book" w:eastAsia="Franklin Gothic Book" w:hAnsi="Franklin Gothic Book" w:cs="Franklin Gothic Book"/>
          <w:color w:val="000000" w:themeColor="text1"/>
          <w:sz w:val="22"/>
          <w:szCs w:val="22"/>
        </w:rPr>
        <w:t xml:space="preserve"> </w:t>
      </w:r>
      <w:r w:rsidRPr="1CB9E7EE">
        <w:rPr>
          <w:rFonts w:ascii="Franklin Gothic Book" w:eastAsia="Franklin Gothic Book" w:hAnsi="Franklin Gothic Book" w:cs="Franklin Gothic Book"/>
          <w:i/>
          <w:color w:val="000000" w:themeColor="text1"/>
          <w:sz w:val="22"/>
          <w:szCs w:val="22"/>
        </w:rPr>
        <w:t>FGFR2</w:t>
      </w:r>
      <w:r>
        <w:rPr>
          <w:rFonts w:ascii="Franklin Gothic Book" w:eastAsia="Franklin Gothic Book" w:hAnsi="Franklin Gothic Book" w:cs="Franklin Gothic Book"/>
          <w:color w:val="000000" w:themeColor="text1"/>
          <w:sz w:val="22"/>
          <w:szCs w:val="22"/>
        </w:rPr>
        <w:t xml:space="preserve"> testing and futibatinib </w:t>
      </w:r>
      <w:r w:rsidDel="00C9349D">
        <w:rPr>
          <w:rFonts w:ascii="Franklin Gothic Book" w:eastAsia="Franklin Gothic Book" w:hAnsi="Franklin Gothic Book" w:cs="Franklin Gothic Book"/>
          <w:color w:val="000000" w:themeColor="text1"/>
          <w:sz w:val="22"/>
          <w:szCs w:val="22"/>
        </w:rPr>
        <w:t xml:space="preserve">was </w:t>
      </w:r>
      <w:r w:rsidRPr="1CB9E7EE">
        <w:rPr>
          <w:rFonts w:ascii="Franklin Gothic Book" w:eastAsia="Franklin Gothic Book" w:hAnsi="Franklin Gothic Book" w:cs="Franklin Gothic Book"/>
          <w:color w:val="000000" w:themeColor="text1"/>
          <w:sz w:val="22"/>
          <w:szCs w:val="22"/>
        </w:rPr>
        <w:t xml:space="preserve">reasonable </w:t>
      </w:r>
      <w:r>
        <w:rPr>
          <w:rFonts w:ascii="Franklin Gothic Book" w:eastAsia="Franklin Gothic Book" w:hAnsi="Franklin Gothic Book" w:cs="Franklin Gothic Book"/>
          <w:color w:val="000000" w:themeColor="text1"/>
          <w:sz w:val="22"/>
          <w:szCs w:val="22"/>
        </w:rPr>
        <w:t xml:space="preserve">based on the available </w:t>
      </w:r>
      <w:r w:rsidRPr="1CB9E7EE">
        <w:rPr>
          <w:rFonts w:ascii="Franklin Gothic Book" w:eastAsia="Franklin Gothic Book" w:hAnsi="Franklin Gothic Book" w:cs="Franklin Gothic Book"/>
          <w:color w:val="000000" w:themeColor="text1"/>
          <w:sz w:val="22"/>
          <w:szCs w:val="22"/>
        </w:rPr>
        <w:t>(</w:t>
      </w:r>
      <w:r>
        <w:rPr>
          <w:rFonts w:ascii="Franklin Gothic Book" w:eastAsia="Franklin Gothic Book" w:hAnsi="Franklin Gothic Book" w:cs="Franklin Gothic Book"/>
          <w:color w:val="000000" w:themeColor="text1"/>
          <w:sz w:val="22"/>
          <w:szCs w:val="22"/>
        </w:rPr>
        <w:t xml:space="preserve">albeit limited) </w:t>
      </w:r>
      <w:r w:rsidRPr="1CB9E7EE">
        <w:rPr>
          <w:rFonts w:ascii="Franklin Gothic Book" w:eastAsia="Franklin Gothic Book" w:hAnsi="Franklin Gothic Book" w:cs="Franklin Gothic Book"/>
          <w:color w:val="000000" w:themeColor="text1"/>
          <w:sz w:val="22"/>
          <w:szCs w:val="22"/>
        </w:rPr>
        <w:t xml:space="preserve">information. MSAC </w:t>
      </w:r>
      <w:r>
        <w:rPr>
          <w:rFonts w:ascii="Franklin Gothic Book" w:eastAsia="Franklin Gothic Book" w:hAnsi="Franklin Gothic Book" w:cs="Franklin Gothic Book"/>
          <w:color w:val="000000" w:themeColor="text1"/>
          <w:sz w:val="22"/>
          <w:szCs w:val="22"/>
        </w:rPr>
        <w:t xml:space="preserve">considered that </w:t>
      </w:r>
      <w:r w:rsidRPr="1CB9E7EE">
        <w:rPr>
          <w:rFonts w:ascii="Franklin Gothic Book" w:eastAsia="Franklin Gothic Book" w:hAnsi="Franklin Gothic Book" w:cs="Franklin Gothic Book"/>
          <w:i/>
          <w:color w:val="000000" w:themeColor="text1"/>
          <w:sz w:val="22"/>
          <w:szCs w:val="22"/>
        </w:rPr>
        <w:t>FGFR2</w:t>
      </w:r>
      <w:r>
        <w:rPr>
          <w:rFonts w:ascii="Franklin Gothic Book" w:eastAsia="Franklin Gothic Book" w:hAnsi="Franklin Gothic Book" w:cs="Franklin Gothic Book"/>
          <w:color w:val="000000" w:themeColor="text1"/>
          <w:sz w:val="22"/>
          <w:szCs w:val="22"/>
        </w:rPr>
        <w:t xml:space="preserve"> testing should occur in the whole CCA population</w:t>
      </w:r>
      <w:r w:rsidDel="001A7E90">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color w:val="000000" w:themeColor="text1"/>
          <w:sz w:val="22"/>
          <w:szCs w:val="22"/>
        </w:rPr>
        <w:t xml:space="preserve">at diagnosis to prevent any delays in treatment decisions as it is a rapidly progressing cancer and the tumour samples for testing are small. MSAC considered a combined next generation sequencing (NGS) test on DNA and RNA as the </w:t>
      </w:r>
      <w:r w:rsidRPr="1CB9E7EE">
        <w:rPr>
          <w:rFonts w:ascii="Franklin Gothic Book" w:eastAsia="Franklin Gothic Book" w:hAnsi="Franklin Gothic Book" w:cs="Franklin Gothic Book"/>
          <w:color w:val="000000" w:themeColor="text1"/>
          <w:sz w:val="22"/>
          <w:szCs w:val="22"/>
        </w:rPr>
        <w:t>most</w:t>
      </w:r>
      <w:r>
        <w:rPr>
          <w:rFonts w:ascii="Franklin Gothic Book" w:eastAsia="Franklin Gothic Book" w:hAnsi="Franklin Gothic Book" w:cs="Franklin Gothic Book"/>
          <w:color w:val="000000" w:themeColor="text1"/>
          <w:sz w:val="22"/>
          <w:szCs w:val="22"/>
        </w:rPr>
        <w:t xml:space="preserve"> appropriate method to ensure that </w:t>
      </w:r>
      <w:r w:rsidRPr="1CB9E7EE">
        <w:rPr>
          <w:rFonts w:ascii="Franklin Gothic Book" w:eastAsia="Franklin Gothic Book" w:hAnsi="Franklin Gothic Book" w:cs="Franklin Gothic Book"/>
          <w:i/>
          <w:color w:val="000000" w:themeColor="text1"/>
          <w:sz w:val="22"/>
          <w:szCs w:val="22"/>
        </w:rPr>
        <w:t>FGFR2</w:t>
      </w:r>
      <w:r>
        <w:rPr>
          <w:rFonts w:ascii="Franklin Gothic Book" w:eastAsia="Franklin Gothic Book" w:hAnsi="Franklin Gothic Book" w:cs="Franklin Gothic Book"/>
          <w:color w:val="000000" w:themeColor="text1"/>
          <w:sz w:val="22"/>
          <w:szCs w:val="22"/>
        </w:rPr>
        <w:t xml:space="preserve"> fusions and rearrangements </w:t>
      </w:r>
      <w:r w:rsidRPr="1CB9E7EE">
        <w:rPr>
          <w:rFonts w:ascii="Franklin Gothic Book" w:eastAsia="Franklin Gothic Book" w:hAnsi="Franklin Gothic Book" w:cs="Franklin Gothic Book"/>
          <w:color w:val="000000" w:themeColor="text1"/>
          <w:sz w:val="22"/>
          <w:szCs w:val="22"/>
        </w:rPr>
        <w:t>are</w:t>
      </w:r>
      <w:r>
        <w:rPr>
          <w:rFonts w:ascii="Franklin Gothic Book" w:eastAsia="Franklin Gothic Book" w:hAnsi="Franklin Gothic Book" w:cs="Franklin Gothic Book"/>
          <w:color w:val="000000" w:themeColor="text1"/>
          <w:sz w:val="22"/>
          <w:szCs w:val="22"/>
        </w:rPr>
        <w:t xml:space="preserve"> accurately </w:t>
      </w:r>
      <w:r w:rsidRPr="1CB9E7EE">
        <w:rPr>
          <w:rFonts w:ascii="Franklin Gothic Book" w:eastAsia="Franklin Gothic Book" w:hAnsi="Franklin Gothic Book" w:cs="Franklin Gothic Book"/>
          <w:color w:val="000000" w:themeColor="text1"/>
          <w:sz w:val="22"/>
          <w:szCs w:val="22"/>
        </w:rPr>
        <w:t xml:space="preserve">detected, with </w:t>
      </w:r>
      <w:r>
        <w:rPr>
          <w:rFonts w:ascii="Franklin Gothic Book" w:eastAsia="Franklin Gothic Book" w:hAnsi="Franklin Gothic Book" w:cs="Franklin Gothic Book"/>
          <w:color w:val="000000" w:themeColor="text1"/>
          <w:sz w:val="22"/>
          <w:szCs w:val="22"/>
        </w:rPr>
        <w:t>NGS on RNA</w:t>
      </w:r>
      <w:r w:rsidR="00765C84">
        <w:rPr>
          <w:rFonts w:ascii="Franklin Gothic Book" w:eastAsia="Franklin Gothic Book" w:hAnsi="Franklin Gothic Book" w:cs="Franklin Gothic Book"/>
          <w:color w:val="000000" w:themeColor="text1"/>
          <w:sz w:val="22"/>
          <w:szCs w:val="22"/>
        </w:rPr>
        <w:t xml:space="preserve"> or DNA</w:t>
      </w:r>
      <w:r>
        <w:rPr>
          <w:rFonts w:ascii="Franklin Gothic Book" w:eastAsia="Franklin Gothic Book" w:hAnsi="Franklin Gothic Book" w:cs="Franklin Gothic Book"/>
          <w:color w:val="000000" w:themeColor="text1"/>
          <w:sz w:val="22"/>
          <w:szCs w:val="22"/>
        </w:rPr>
        <w:t xml:space="preserve"> as the next </w:t>
      </w:r>
      <w:r w:rsidRPr="1CB9E7EE">
        <w:rPr>
          <w:rFonts w:ascii="Franklin Gothic Book" w:eastAsia="Franklin Gothic Book" w:hAnsi="Franklin Gothic Book" w:cs="Franklin Gothic Book"/>
          <w:color w:val="000000" w:themeColor="text1"/>
          <w:sz w:val="22"/>
          <w:szCs w:val="22"/>
        </w:rPr>
        <w:t>preferred</w:t>
      </w:r>
      <w:r>
        <w:rPr>
          <w:rFonts w:ascii="Franklin Gothic Book" w:eastAsia="Franklin Gothic Book" w:hAnsi="Franklin Gothic Book" w:cs="Franklin Gothic Book"/>
          <w:color w:val="000000" w:themeColor="text1"/>
          <w:sz w:val="22"/>
          <w:szCs w:val="22"/>
        </w:rPr>
        <w:t xml:space="preserve"> method should a combination test be unavailable. MSAC considered that </w:t>
      </w:r>
      <w:r w:rsidRPr="0002708A">
        <w:rPr>
          <w:rFonts w:ascii="Franklin Gothic Book" w:eastAsia="Franklin Gothic Book" w:hAnsi="Franklin Gothic Book" w:cs="Franklin Gothic Book"/>
          <w:color w:val="000000" w:themeColor="text1"/>
          <w:sz w:val="22"/>
          <w:szCs w:val="22"/>
        </w:rPr>
        <w:t>Fluorescence In Situ Hybridi</w:t>
      </w:r>
      <w:r>
        <w:rPr>
          <w:rFonts w:ascii="Franklin Gothic Book" w:eastAsia="Franklin Gothic Book" w:hAnsi="Franklin Gothic Book" w:cs="Franklin Gothic Book"/>
          <w:color w:val="000000" w:themeColor="text1"/>
          <w:sz w:val="22"/>
          <w:szCs w:val="22"/>
        </w:rPr>
        <w:t>s</w:t>
      </w:r>
      <w:r w:rsidRPr="0002708A">
        <w:rPr>
          <w:rFonts w:ascii="Franklin Gothic Book" w:eastAsia="Franklin Gothic Book" w:hAnsi="Franklin Gothic Book" w:cs="Franklin Gothic Book"/>
          <w:color w:val="000000" w:themeColor="text1"/>
          <w:sz w:val="22"/>
          <w:szCs w:val="22"/>
        </w:rPr>
        <w:t>ation (FISH)</w:t>
      </w:r>
      <w:r>
        <w:rPr>
          <w:rFonts w:ascii="Franklin Gothic Book" w:eastAsia="Franklin Gothic Book" w:hAnsi="Franklin Gothic Book" w:cs="Franklin Gothic Book"/>
          <w:color w:val="000000" w:themeColor="text1"/>
          <w:sz w:val="22"/>
          <w:szCs w:val="22"/>
        </w:rPr>
        <w:t xml:space="preserve"> was not an appropriate testing option as it is less robust (compared to, and superseded by, NGS testing) in detecting tumours with </w:t>
      </w:r>
      <w:r w:rsidRPr="00FB3464">
        <w:rPr>
          <w:rFonts w:ascii="Franklin Gothic Book" w:eastAsia="Franklin Gothic Book" w:hAnsi="Franklin Gothic Book" w:cs="Franklin Gothic Book"/>
          <w:i/>
          <w:iCs/>
          <w:color w:val="000000" w:themeColor="text1"/>
          <w:sz w:val="22"/>
          <w:szCs w:val="22"/>
        </w:rPr>
        <w:t>FGFR2</w:t>
      </w:r>
      <w:r w:rsidRPr="005444F6">
        <w:rPr>
          <w:rFonts w:ascii="Franklin Gothic Book" w:eastAsia="Franklin Gothic Book" w:hAnsi="Franklin Gothic Book" w:cs="Franklin Gothic Book"/>
          <w:color w:val="000000" w:themeColor="text1"/>
          <w:sz w:val="22"/>
          <w:szCs w:val="22"/>
        </w:rPr>
        <w:t xml:space="preserve"> fusions and rearrangements</w:t>
      </w:r>
      <w:r>
        <w:rPr>
          <w:rFonts w:ascii="Franklin Gothic Book" w:eastAsia="Franklin Gothic Book" w:hAnsi="Franklin Gothic Book" w:cs="Franklin Gothic Book"/>
          <w:color w:val="000000" w:themeColor="text1"/>
          <w:sz w:val="22"/>
          <w:szCs w:val="22"/>
        </w:rPr>
        <w:t xml:space="preserve">. MSAC considered that a single MBS item for a DNA and RNA NGS panel test </w:t>
      </w:r>
      <w:r w:rsidRPr="1CB9E7EE">
        <w:rPr>
          <w:rFonts w:ascii="Franklin Gothic Book" w:eastAsia="Franklin Gothic Book" w:hAnsi="Franklin Gothic Book" w:cs="Franklin Gothic Book"/>
          <w:color w:val="000000" w:themeColor="text1"/>
          <w:sz w:val="22"/>
          <w:szCs w:val="22"/>
        </w:rPr>
        <w:t>for</w:t>
      </w:r>
      <w:r w:rsidRPr="000B375F">
        <w:rPr>
          <w:rFonts w:ascii="Franklin Gothic Book" w:eastAsia="Franklin Gothic Book" w:hAnsi="Franklin Gothic Book" w:cs="Franklin Gothic Book"/>
          <w:i/>
          <w:color w:val="000000" w:themeColor="text1"/>
          <w:sz w:val="22"/>
          <w:szCs w:val="22"/>
        </w:rPr>
        <w:t xml:space="preserve"> FGFR2</w:t>
      </w:r>
      <w:r>
        <w:rPr>
          <w:rFonts w:ascii="Franklin Gothic Book" w:eastAsia="Franklin Gothic Book" w:hAnsi="Franklin Gothic Book" w:cs="Franklin Gothic Book"/>
          <w:color w:val="000000" w:themeColor="text1"/>
          <w:sz w:val="22"/>
          <w:szCs w:val="22"/>
        </w:rPr>
        <w:t xml:space="preserve"> fusions and rearrangements and </w:t>
      </w:r>
      <w:r w:rsidRPr="1CB9E7EE">
        <w:rPr>
          <w:rFonts w:ascii="Franklin Gothic Book" w:eastAsia="Franklin Gothic Book" w:hAnsi="Franklin Gothic Book" w:cs="Franklin Gothic Book"/>
          <w:i/>
          <w:color w:val="000000" w:themeColor="text1"/>
          <w:sz w:val="22"/>
          <w:szCs w:val="22"/>
        </w:rPr>
        <w:t>IDH1</w:t>
      </w:r>
      <w:r>
        <w:rPr>
          <w:rFonts w:ascii="Franklin Gothic Book" w:eastAsia="Franklin Gothic Book" w:hAnsi="Franklin Gothic Book" w:cs="Franklin Gothic Book"/>
          <w:color w:val="000000" w:themeColor="text1"/>
          <w:sz w:val="22"/>
          <w:szCs w:val="22"/>
        </w:rPr>
        <w:t xml:space="preserve"> sequencing (</w:t>
      </w:r>
      <w:r w:rsidRPr="1CB9E7EE">
        <w:rPr>
          <w:rFonts w:ascii="Franklin Gothic Book" w:eastAsia="Franklin Gothic Book" w:hAnsi="Franklin Gothic Book" w:cs="Franklin Gothic Book"/>
          <w:color w:val="000000" w:themeColor="text1"/>
          <w:sz w:val="22"/>
          <w:szCs w:val="22"/>
        </w:rPr>
        <w:t>Application</w:t>
      </w:r>
      <w:r>
        <w:rPr>
          <w:rFonts w:ascii="Franklin Gothic Book" w:eastAsia="Franklin Gothic Book" w:hAnsi="Franklin Gothic Book" w:cs="Franklin Gothic Book"/>
          <w:color w:val="000000" w:themeColor="text1"/>
          <w:sz w:val="22"/>
          <w:szCs w:val="22"/>
        </w:rPr>
        <w:t xml:space="preserve"> 1750 supported by MSAC in November 2024 for the whole CCA population) would be appropriate if both tests are funded. MSAC considered an appropriate fee for the panel needed to be determined. MSAC considered there is a risk that test may be used outside of the intended CCA population </w:t>
      </w:r>
      <w:r w:rsidR="004F7A83">
        <w:rPr>
          <w:rFonts w:ascii="Franklin Gothic Book" w:eastAsia="Franklin Gothic Book" w:hAnsi="Franklin Gothic Book" w:cs="Franklin Gothic Book"/>
          <w:color w:val="000000" w:themeColor="text1"/>
          <w:sz w:val="22"/>
          <w:szCs w:val="22"/>
        </w:rPr>
        <w:t xml:space="preserve">for </w:t>
      </w:r>
      <w:r>
        <w:rPr>
          <w:rFonts w:ascii="Franklin Gothic Book" w:eastAsia="Franklin Gothic Book" w:hAnsi="Franklin Gothic Book" w:cs="Franklin Gothic Book"/>
          <w:color w:val="000000" w:themeColor="text1"/>
          <w:sz w:val="22"/>
          <w:szCs w:val="22"/>
        </w:rPr>
        <w:t xml:space="preserve">other cancers as </w:t>
      </w:r>
      <w:r>
        <w:rPr>
          <w:rFonts w:ascii="Franklin Gothic Book" w:eastAsia="Franklin Gothic Book" w:hAnsi="Franklin Gothic Book" w:cs="Franklin Gothic Book"/>
          <w:color w:val="000000" w:themeColor="text1"/>
          <w:sz w:val="22"/>
          <w:szCs w:val="22"/>
        </w:rPr>
        <w:lastRenderedPageBreak/>
        <w:t xml:space="preserve">it can be difficult to differentiate CCA and other cancer in nearby organs (e.g. pancreatic cancers and cancers of unknown primary). MSAC requested further information on the cost effectiveness of a panel test and potential financial impact of testing if testing were to occur in these (unintended) populations in practice. MSAC considered that updated </w:t>
      </w:r>
      <w:r w:rsidRPr="1CB9E7EE">
        <w:rPr>
          <w:rFonts w:ascii="Franklin Gothic Book" w:eastAsia="Franklin Gothic Book" w:hAnsi="Franklin Gothic Book" w:cs="Franklin Gothic Book"/>
          <w:color w:val="000000" w:themeColor="text1"/>
          <w:sz w:val="22"/>
          <w:szCs w:val="22"/>
        </w:rPr>
        <w:t>economic</w:t>
      </w:r>
      <w:r>
        <w:rPr>
          <w:rFonts w:ascii="Franklin Gothic Book" w:eastAsia="Franklin Gothic Book" w:hAnsi="Franklin Gothic Book" w:cs="Franklin Gothic Book"/>
          <w:color w:val="000000" w:themeColor="text1"/>
          <w:sz w:val="22"/>
          <w:szCs w:val="22"/>
        </w:rPr>
        <w:t xml:space="preserve"> and financial analyses should be presented to MSAC via the direct MSAC assessment pathway. </w:t>
      </w:r>
    </w:p>
    <w:tbl>
      <w:tblPr>
        <w:tblStyle w:val="Section3-footnot1"/>
        <w:tblW w:w="0" w:type="auto"/>
        <w:tblLook w:val="04A0" w:firstRow="1" w:lastRow="0" w:firstColumn="1" w:lastColumn="0" w:noHBand="0" w:noVBand="1"/>
        <w:tblDescription w:val="Consumer summary of MSAC consideration"/>
      </w:tblPr>
      <w:tblGrid>
        <w:gridCol w:w="9016"/>
      </w:tblGrid>
      <w:tr w:rsidR="00330942" w:rsidRPr="00F91D6E" w14:paraId="04941337" w14:textId="77777777" w:rsidTr="1BF7A4A3">
        <w:trPr>
          <w:tblHeader/>
        </w:trPr>
        <w:tc>
          <w:tcPr>
            <w:tcW w:w="9016" w:type="dxa"/>
          </w:tcPr>
          <w:p w14:paraId="135A26ED" w14:textId="77777777" w:rsidR="00330942" w:rsidRPr="00F91D6E" w:rsidRDefault="00330942">
            <w:pPr>
              <w:keepNext/>
              <w:keepLines/>
              <w:spacing w:after="120" w:line="259" w:lineRule="auto"/>
              <w:jc w:val="left"/>
              <w:rPr>
                <w:rFonts w:ascii="Franklin Gothic Book" w:eastAsia="Calibri" w:hAnsi="Franklin Gothic Book" w:cs="Times New Roman"/>
                <w:b/>
                <w:bCs/>
                <w:sz w:val="22"/>
              </w:rPr>
            </w:pPr>
            <w:r w:rsidRPr="00F91D6E">
              <w:rPr>
                <w:rFonts w:ascii="Franklin Gothic Book" w:eastAsia="Times New Roman" w:hAnsi="Franklin Gothic Book" w:cs="Times New Roman"/>
                <w:b/>
                <w:bCs/>
                <w:szCs w:val="24"/>
              </w:rPr>
              <w:t>Consumer summary</w:t>
            </w:r>
          </w:p>
        </w:tc>
      </w:tr>
      <w:tr w:rsidR="00330942" w:rsidRPr="00F91D6E" w14:paraId="65A41DDD" w14:textId="77777777" w:rsidTr="1BF7A4A3">
        <w:tc>
          <w:tcPr>
            <w:tcW w:w="9016" w:type="dxa"/>
          </w:tcPr>
          <w:p w14:paraId="20800499" w14:textId="116617B6" w:rsidR="004419CF" w:rsidRPr="004419CF" w:rsidRDefault="004419CF" w:rsidP="00071EE3">
            <w:pPr>
              <w:jc w:val="left"/>
              <w:rPr>
                <w:rFonts w:ascii="Franklin Gothic Book" w:hAnsi="Franklin Gothic Book"/>
                <w:sz w:val="22"/>
              </w:rPr>
            </w:pPr>
            <w:r w:rsidRPr="74465C00">
              <w:rPr>
                <w:rFonts w:ascii="Franklin Gothic Book" w:hAnsi="Franklin Gothic Book"/>
                <w:sz w:val="22"/>
              </w:rPr>
              <w:t xml:space="preserve">This was an application from Taiho Pharma Oceania Pty Ltd requesting Medicare Benefits Schedule (MBS) listing of a tumour tissue test to detect </w:t>
            </w:r>
            <w:r w:rsidRPr="74465C00">
              <w:rPr>
                <w:rFonts w:ascii="Franklin Gothic Book" w:hAnsi="Franklin Gothic Book"/>
                <w:i/>
                <w:iCs/>
                <w:sz w:val="22"/>
              </w:rPr>
              <w:t>fibroblast growth factor receptor 2</w:t>
            </w:r>
            <w:r w:rsidRPr="74465C00">
              <w:rPr>
                <w:rFonts w:ascii="Franklin Gothic Book" w:hAnsi="Franklin Gothic Book"/>
                <w:sz w:val="22"/>
              </w:rPr>
              <w:t xml:space="preserve"> (</w:t>
            </w:r>
            <w:r w:rsidRPr="74465C00">
              <w:rPr>
                <w:rFonts w:ascii="Franklin Gothic Book" w:hAnsi="Franklin Gothic Book"/>
                <w:i/>
                <w:iCs/>
                <w:sz w:val="22"/>
              </w:rPr>
              <w:t>FGFR2</w:t>
            </w:r>
            <w:r w:rsidRPr="74465C00">
              <w:rPr>
                <w:rFonts w:ascii="Franklin Gothic Book" w:hAnsi="Franklin Gothic Book"/>
                <w:sz w:val="22"/>
              </w:rPr>
              <w:t>)</w:t>
            </w:r>
            <w:r w:rsidR="00E351E5" w:rsidRPr="74465C00">
              <w:rPr>
                <w:rFonts w:ascii="Franklin Gothic Book" w:hAnsi="Franklin Gothic Book"/>
                <w:sz w:val="22"/>
              </w:rPr>
              <w:t xml:space="preserve"> gene alterations</w:t>
            </w:r>
            <w:r w:rsidRPr="74465C00">
              <w:rPr>
                <w:rFonts w:ascii="Franklin Gothic Book" w:hAnsi="Franklin Gothic Book"/>
                <w:sz w:val="22"/>
              </w:rPr>
              <w:t xml:space="preserve"> in patients with cholangiocarcinoma. People </w:t>
            </w:r>
            <w:r w:rsidR="00863952" w:rsidRPr="74465C00">
              <w:rPr>
                <w:rFonts w:ascii="Franklin Gothic Book" w:hAnsi="Franklin Gothic Book"/>
                <w:sz w:val="22"/>
              </w:rPr>
              <w:t>who</w:t>
            </w:r>
            <w:r w:rsidR="5082BE33" w:rsidRPr="74465C00">
              <w:rPr>
                <w:rFonts w:ascii="Franklin Gothic Book" w:hAnsi="Franklin Gothic Book"/>
                <w:sz w:val="22"/>
              </w:rPr>
              <w:t>se tumours</w:t>
            </w:r>
            <w:r w:rsidR="00863952" w:rsidRPr="74465C00">
              <w:rPr>
                <w:rFonts w:ascii="Franklin Gothic Book" w:hAnsi="Franklin Gothic Book"/>
                <w:sz w:val="22"/>
              </w:rPr>
              <w:t xml:space="preserve"> are identified as having </w:t>
            </w:r>
            <w:r w:rsidRPr="74465C00">
              <w:rPr>
                <w:rFonts w:ascii="Franklin Gothic Book" w:hAnsi="Franklin Gothic Book"/>
                <w:i/>
                <w:iCs/>
                <w:sz w:val="22"/>
              </w:rPr>
              <w:t xml:space="preserve">FGFR2 </w:t>
            </w:r>
            <w:r w:rsidRPr="74465C00">
              <w:rPr>
                <w:rFonts w:ascii="Franklin Gothic Book" w:hAnsi="Franklin Gothic Book"/>
                <w:sz w:val="22"/>
              </w:rPr>
              <w:t>alterations</w:t>
            </w:r>
            <w:r w:rsidR="00863952" w:rsidRPr="74465C00">
              <w:rPr>
                <w:rFonts w:ascii="Franklin Gothic Book" w:hAnsi="Franklin Gothic Book"/>
                <w:sz w:val="22"/>
              </w:rPr>
              <w:t xml:space="preserve"> through testing</w:t>
            </w:r>
            <w:r w:rsidRPr="74465C00">
              <w:rPr>
                <w:rFonts w:ascii="Franklin Gothic Book" w:hAnsi="Franklin Gothic Book"/>
                <w:sz w:val="22"/>
              </w:rPr>
              <w:t xml:space="preserve"> will then be eligible to access a medicine called futibatinib. </w:t>
            </w:r>
            <w:r w:rsidR="000C5BC7" w:rsidRPr="74465C00">
              <w:rPr>
                <w:rFonts w:ascii="Franklin Gothic Book" w:hAnsi="Franklin Gothic Book"/>
                <w:sz w:val="22"/>
              </w:rPr>
              <w:t xml:space="preserve">The applicant has also requested listing of futibatinib on the Pharmaceutical Benefits Scheme </w:t>
            </w:r>
            <w:r w:rsidR="49403214" w:rsidRPr="74465C00">
              <w:rPr>
                <w:rFonts w:ascii="Franklin Gothic Book" w:hAnsi="Franklin Gothic Book"/>
                <w:sz w:val="22"/>
              </w:rPr>
              <w:t>(PBS)</w:t>
            </w:r>
            <w:r w:rsidR="000C5BC7" w:rsidRPr="74465C00">
              <w:rPr>
                <w:rFonts w:ascii="Franklin Gothic Book" w:hAnsi="Franklin Gothic Book"/>
                <w:sz w:val="22"/>
              </w:rPr>
              <w:t xml:space="preserve"> and this </w:t>
            </w:r>
            <w:r w:rsidR="00D32C9F" w:rsidRPr="74465C00">
              <w:rPr>
                <w:rFonts w:ascii="Franklin Gothic Book" w:hAnsi="Franklin Gothic Book"/>
                <w:sz w:val="22"/>
              </w:rPr>
              <w:t>wa</w:t>
            </w:r>
            <w:r w:rsidR="000C5BC7" w:rsidRPr="74465C00">
              <w:rPr>
                <w:rFonts w:ascii="Franklin Gothic Book" w:hAnsi="Franklin Gothic Book"/>
                <w:sz w:val="22"/>
              </w:rPr>
              <w:t>s considered by the Pharmaceutical Benefits Advisory Committee</w:t>
            </w:r>
            <w:r w:rsidR="00D32C9F" w:rsidRPr="74465C00">
              <w:rPr>
                <w:rFonts w:ascii="Franklin Gothic Book" w:hAnsi="Franklin Gothic Book"/>
                <w:sz w:val="22"/>
              </w:rPr>
              <w:t xml:space="preserve"> (PBAC)</w:t>
            </w:r>
            <w:r w:rsidR="000C5BC7" w:rsidRPr="74465C00">
              <w:rPr>
                <w:rFonts w:ascii="Franklin Gothic Book" w:hAnsi="Franklin Gothic Book"/>
                <w:sz w:val="22"/>
              </w:rPr>
              <w:t xml:space="preserve">. </w:t>
            </w:r>
            <w:r w:rsidR="00D32C9F" w:rsidRPr="74465C00">
              <w:rPr>
                <w:rFonts w:ascii="Franklin Gothic Book" w:hAnsi="Franklin Gothic Book"/>
                <w:sz w:val="22"/>
              </w:rPr>
              <w:t xml:space="preserve"> </w:t>
            </w:r>
          </w:p>
          <w:p w14:paraId="6A3D2BE9" w14:textId="6116681F" w:rsidR="004419CF" w:rsidRPr="004419CF" w:rsidRDefault="004419CF" w:rsidP="00071EE3">
            <w:pPr>
              <w:jc w:val="left"/>
              <w:rPr>
                <w:rFonts w:ascii="Franklin Gothic Book" w:hAnsi="Franklin Gothic Book"/>
                <w:sz w:val="22"/>
              </w:rPr>
            </w:pPr>
            <w:r w:rsidRPr="004419CF">
              <w:rPr>
                <w:rFonts w:ascii="Franklin Gothic Book" w:hAnsi="Franklin Gothic Book"/>
                <w:sz w:val="22"/>
              </w:rPr>
              <w:t xml:space="preserve">Cholangiocarcinoma is also known as bile duct cancer. The bile ducts are a group of thin tubes starting inside the liver that carry bile from the liver and gallbladder into the small intestine. Cholangiocarcinoma is a rare and aggressive form of cancer, with not many treatment options available. </w:t>
            </w:r>
            <w:r w:rsidR="00B10918">
              <w:rPr>
                <w:rFonts w:ascii="Franklin Gothic Book" w:hAnsi="Franklin Gothic Book"/>
                <w:sz w:val="22"/>
              </w:rPr>
              <w:t>Because of this</w:t>
            </w:r>
            <w:r w:rsidR="00E351E5">
              <w:rPr>
                <w:rFonts w:ascii="Franklin Gothic Book" w:hAnsi="Franklin Gothic Book"/>
                <w:sz w:val="22"/>
              </w:rPr>
              <w:t>,</w:t>
            </w:r>
            <w:r w:rsidR="00B10918">
              <w:rPr>
                <w:rFonts w:ascii="Franklin Gothic Book" w:hAnsi="Franklin Gothic Book"/>
                <w:sz w:val="22"/>
              </w:rPr>
              <w:t xml:space="preserve"> s</w:t>
            </w:r>
            <w:r w:rsidRPr="004419CF">
              <w:rPr>
                <w:rFonts w:ascii="Franklin Gothic Book" w:hAnsi="Franklin Gothic Book"/>
                <w:sz w:val="22"/>
              </w:rPr>
              <w:t>urvival after diagnosis is usually relatively short</w:t>
            </w:r>
            <w:r w:rsidR="00376203">
              <w:rPr>
                <w:rFonts w:ascii="Franklin Gothic Book" w:hAnsi="Franklin Gothic Book"/>
                <w:sz w:val="22"/>
              </w:rPr>
              <w:t>, with only half of the patients alive a year after diagnosis.</w:t>
            </w:r>
            <w:r w:rsidRPr="004419CF">
              <w:rPr>
                <w:rFonts w:ascii="Franklin Gothic Book" w:hAnsi="Franklin Gothic Book"/>
                <w:sz w:val="22"/>
              </w:rPr>
              <w:t xml:space="preserve"> </w:t>
            </w:r>
            <w:r w:rsidR="00E351E5">
              <w:rPr>
                <w:rFonts w:ascii="Franklin Gothic Book" w:hAnsi="Franklin Gothic Book"/>
                <w:sz w:val="22"/>
              </w:rPr>
              <w:t>Therefore, there is a need to have access to more effective treatments.</w:t>
            </w:r>
          </w:p>
          <w:p w14:paraId="47CA6AAD" w14:textId="4EBE94B1" w:rsidR="004419CF" w:rsidRPr="004419CF" w:rsidRDefault="006E7992" w:rsidP="00071EE3">
            <w:pPr>
              <w:jc w:val="left"/>
              <w:rPr>
                <w:rFonts w:ascii="Franklin Gothic Book" w:hAnsi="Franklin Gothic Book"/>
                <w:sz w:val="22"/>
              </w:rPr>
            </w:pPr>
            <w:r w:rsidRPr="1BF7A4A3">
              <w:rPr>
                <w:rFonts w:ascii="Franklin Gothic Book" w:hAnsi="Franklin Gothic Book"/>
                <w:sz w:val="22"/>
              </w:rPr>
              <w:t>The target ge</w:t>
            </w:r>
            <w:r w:rsidR="00024178" w:rsidRPr="1BF7A4A3">
              <w:rPr>
                <w:rFonts w:ascii="Franklin Gothic Book" w:hAnsi="Franklin Gothic Book"/>
                <w:sz w:val="22"/>
              </w:rPr>
              <w:t xml:space="preserve">ne </w:t>
            </w:r>
            <w:r w:rsidR="00097366">
              <w:rPr>
                <w:rFonts w:ascii="Franklin Gothic Book" w:hAnsi="Franklin Gothic Book"/>
                <w:sz w:val="22"/>
              </w:rPr>
              <w:t>of</w:t>
            </w:r>
            <w:r w:rsidR="00097366" w:rsidRPr="1BF7A4A3">
              <w:rPr>
                <w:rFonts w:ascii="Franklin Gothic Book" w:hAnsi="Franklin Gothic Book"/>
                <w:sz w:val="22"/>
              </w:rPr>
              <w:t xml:space="preserve"> </w:t>
            </w:r>
            <w:r w:rsidR="00024178" w:rsidRPr="1BF7A4A3">
              <w:rPr>
                <w:rFonts w:ascii="Franklin Gothic Book" w:hAnsi="Franklin Gothic Book"/>
                <w:sz w:val="22"/>
              </w:rPr>
              <w:t xml:space="preserve">the test is the </w:t>
            </w:r>
            <w:r w:rsidR="004419CF" w:rsidRPr="1BF7A4A3">
              <w:rPr>
                <w:rFonts w:ascii="Franklin Gothic Book" w:hAnsi="Franklin Gothic Book"/>
                <w:i/>
                <w:iCs/>
                <w:sz w:val="22"/>
              </w:rPr>
              <w:t xml:space="preserve">FGFR2 </w:t>
            </w:r>
            <w:r w:rsidR="004419CF" w:rsidRPr="1BF7A4A3">
              <w:rPr>
                <w:rFonts w:ascii="Franklin Gothic Book" w:hAnsi="Franklin Gothic Book"/>
                <w:sz w:val="22"/>
              </w:rPr>
              <w:t>gene</w:t>
            </w:r>
            <w:r w:rsidR="00024178" w:rsidRPr="1BF7A4A3">
              <w:rPr>
                <w:rFonts w:ascii="Franklin Gothic Book" w:hAnsi="Franklin Gothic Book"/>
                <w:sz w:val="22"/>
              </w:rPr>
              <w:t xml:space="preserve">. </w:t>
            </w:r>
            <w:r w:rsidR="0086668B" w:rsidRPr="1BF7A4A3">
              <w:rPr>
                <w:rFonts w:ascii="Franklin Gothic Book" w:hAnsi="Franklin Gothic Book"/>
                <w:i/>
                <w:iCs/>
                <w:sz w:val="22"/>
              </w:rPr>
              <w:t>FGFR2</w:t>
            </w:r>
            <w:r w:rsidR="004419CF" w:rsidRPr="1BF7A4A3">
              <w:rPr>
                <w:rFonts w:ascii="Franklin Gothic Book" w:hAnsi="Franklin Gothic Book"/>
                <w:sz w:val="22"/>
              </w:rPr>
              <w:t xml:space="preserve"> is associated with cell growth and differentiation,</w:t>
            </w:r>
            <w:r w:rsidR="0086668B" w:rsidRPr="1BF7A4A3">
              <w:rPr>
                <w:rFonts w:ascii="Franklin Gothic Book" w:hAnsi="Franklin Gothic Book"/>
                <w:sz w:val="22"/>
              </w:rPr>
              <w:t xml:space="preserve"> </w:t>
            </w:r>
            <w:r w:rsidR="004419CF" w:rsidRPr="1BF7A4A3">
              <w:rPr>
                <w:rFonts w:ascii="Franklin Gothic Book" w:hAnsi="Franklin Gothic Book"/>
                <w:sz w:val="22"/>
              </w:rPr>
              <w:t xml:space="preserve">and is implicated in cancer growth. </w:t>
            </w:r>
            <w:r w:rsidR="00BD5424" w:rsidRPr="1BF7A4A3">
              <w:rPr>
                <w:rFonts w:ascii="Franklin Gothic Book" w:hAnsi="Franklin Gothic Book"/>
                <w:i/>
                <w:iCs/>
                <w:sz w:val="22"/>
              </w:rPr>
              <w:t>FGFR2</w:t>
            </w:r>
            <w:r w:rsidR="00BD5424" w:rsidRPr="1BF7A4A3">
              <w:rPr>
                <w:rFonts w:ascii="Franklin Gothic Book" w:hAnsi="Franklin Gothic Book"/>
                <w:sz w:val="22"/>
              </w:rPr>
              <w:t xml:space="preserve"> </w:t>
            </w:r>
            <w:r w:rsidR="00051C1F" w:rsidRPr="1BF7A4A3">
              <w:rPr>
                <w:rFonts w:ascii="Franklin Gothic Book" w:hAnsi="Franklin Gothic Book"/>
                <w:sz w:val="22"/>
              </w:rPr>
              <w:t>alterations</w:t>
            </w:r>
            <w:r w:rsidR="00BD5424" w:rsidRPr="1BF7A4A3">
              <w:rPr>
                <w:rFonts w:ascii="Franklin Gothic Book" w:hAnsi="Franklin Gothic Book"/>
                <w:sz w:val="22"/>
              </w:rPr>
              <w:t xml:space="preserve"> are mainly found in cholangiocarcinoma and not in other cancers.</w:t>
            </w:r>
          </w:p>
          <w:p w14:paraId="49C9BB64" w14:textId="773B1F5E" w:rsidR="0063579F" w:rsidRPr="004419CF" w:rsidRDefault="00C578EB" w:rsidP="00071EE3">
            <w:pPr>
              <w:jc w:val="left"/>
              <w:rPr>
                <w:rFonts w:ascii="Franklin Gothic Book" w:hAnsi="Franklin Gothic Book"/>
                <w:sz w:val="22"/>
              </w:rPr>
            </w:pPr>
            <w:r w:rsidRPr="74465C00">
              <w:rPr>
                <w:rFonts w:ascii="Franklin Gothic Book" w:hAnsi="Franklin Gothic Book"/>
                <w:sz w:val="22"/>
              </w:rPr>
              <w:t xml:space="preserve">The application was </w:t>
            </w:r>
            <w:r w:rsidR="00FD1594" w:rsidRPr="74465C00">
              <w:rPr>
                <w:rFonts w:ascii="Franklin Gothic Book" w:hAnsi="Franklin Gothic Book"/>
                <w:sz w:val="22"/>
              </w:rPr>
              <w:t xml:space="preserve">originally for </w:t>
            </w:r>
            <w:r w:rsidR="009E10A1" w:rsidRPr="74465C00">
              <w:rPr>
                <w:rFonts w:ascii="Franklin Gothic Book" w:hAnsi="Franklin Gothic Book"/>
                <w:sz w:val="22"/>
              </w:rPr>
              <w:t xml:space="preserve">the test to be performed once the spread of the cancer </w:t>
            </w:r>
            <w:r w:rsidR="006015E9" w:rsidRPr="74465C00">
              <w:rPr>
                <w:rFonts w:ascii="Franklin Gothic Book" w:hAnsi="Franklin Gothic Book"/>
                <w:sz w:val="22"/>
              </w:rPr>
              <w:t>(</w:t>
            </w:r>
            <w:r w:rsidR="006F02AD" w:rsidRPr="74465C00">
              <w:rPr>
                <w:rFonts w:ascii="Franklin Gothic Book" w:hAnsi="Franklin Gothic Book"/>
                <w:sz w:val="22"/>
              </w:rPr>
              <w:t>from the bile duct</w:t>
            </w:r>
            <w:r w:rsidR="006015E9" w:rsidRPr="74465C00">
              <w:rPr>
                <w:rFonts w:ascii="Franklin Gothic Book" w:hAnsi="Franklin Gothic Book"/>
                <w:sz w:val="22"/>
              </w:rPr>
              <w:t>)</w:t>
            </w:r>
            <w:r w:rsidR="005050DE" w:rsidRPr="74465C00">
              <w:rPr>
                <w:rFonts w:ascii="Franklin Gothic Book" w:hAnsi="Franklin Gothic Book"/>
                <w:sz w:val="22"/>
              </w:rPr>
              <w:t xml:space="preserve"> was confirmed. However, </w:t>
            </w:r>
            <w:r w:rsidR="00D13C2B" w:rsidRPr="74465C00">
              <w:rPr>
                <w:rFonts w:ascii="Franklin Gothic Book" w:hAnsi="Franklin Gothic Book"/>
                <w:sz w:val="22"/>
              </w:rPr>
              <w:t>MSAC</w:t>
            </w:r>
            <w:r w:rsidR="004419CF" w:rsidRPr="74465C00">
              <w:rPr>
                <w:rFonts w:ascii="Franklin Gothic Book" w:hAnsi="Franklin Gothic Book"/>
                <w:sz w:val="22"/>
              </w:rPr>
              <w:t xml:space="preserve"> proposed </w:t>
            </w:r>
            <w:r w:rsidR="00D13C2B" w:rsidRPr="74465C00">
              <w:rPr>
                <w:rFonts w:ascii="Franklin Gothic Book" w:hAnsi="Franklin Gothic Book"/>
                <w:sz w:val="22"/>
              </w:rPr>
              <w:t xml:space="preserve">that the </w:t>
            </w:r>
            <w:r w:rsidR="004419CF" w:rsidRPr="74465C00">
              <w:rPr>
                <w:rFonts w:ascii="Franklin Gothic Book" w:hAnsi="Franklin Gothic Book"/>
                <w:sz w:val="22"/>
              </w:rPr>
              <w:t xml:space="preserve">test </w:t>
            </w:r>
            <w:r w:rsidR="00BD5424" w:rsidRPr="74465C00">
              <w:rPr>
                <w:rFonts w:ascii="Franklin Gothic Book" w:hAnsi="Franklin Gothic Book"/>
                <w:sz w:val="22"/>
              </w:rPr>
              <w:t xml:space="preserve">should </w:t>
            </w:r>
            <w:r w:rsidR="004419CF" w:rsidRPr="74465C00">
              <w:rPr>
                <w:rFonts w:ascii="Franklin Gothic Book" w:hAnsi="Franklin Gothic Book"/>
                <w:sz w:val="22"/>
              </w:rPr>
              <w:t xml:space="preserve">be </w:t>
            </w:r>
            <w:r w:rsidR="006015E9" w:rsidRPr="74465C00">
              <w:rPr>
                <w:rFonts w:ascii="Franklin Gothic Book" w:hAnsi="Franklin Gothic Book"/>
                <w:sz w:val="22"/>
              </w:rPr>
              <w:t xml:space="preserve">performed </w:t>
            </w:r>
            <w:r w:rsidR="28293FA2" w:rsidRPr="74465C00">
              <w:rPr>
                <w:rFonts w:ascii="Franklin Gothic Book" w:hAnsi="Franklin Gothic Book"/>
                <w:sz w:val="22"/>
              </w:rPr>
              <w:t xml:space="preserve">when a patient is first diagnosed with </w:t>
            </w:r>
            <w:r w:rsidR="006015E9" w:rsidRPr="74465C00">
              <w:rPr>
                <w:rFonts w:ascii="Franklin Gothic Book" w:hAnsi="Franklin Gothic Book"/>
                <w:sz w:val="22"/>
              </w:rPr>
              <w:t xml:space="preserve">cholangiocarcinoma. </w:t>
            </w:r>
            <w:r w:rsidR="00CE0AC4" w:rsidRPr="74465C00">
              <w:rPr>
                <w:rFonts w:ascii="Franklin Gothic Book" w:hAnsi="Franklin Gothic Book"/>
                <w:sz w:val="22"/>
              </w:rPr>
              <w:t xml:space="preserve">This means a </w:t>
            </w:r>
            <w:r w:rsidR="004419CF" w:rsidRPr="74465C00">
              <w:rPr>
                <w:rFonts w:ascii="Franklin Gothic Book" w:hAnsi="Franklin Gothic Book"/>
                <w:sz w:val="22"/>
              </w:rPr>
              <w:t xml:space="preserve">tumour sample </w:t>
            </w:r>
            <w:r w:rsidR="00CE0AC4" w:rsidRPr="74465C00">
              <w:rPr>
                <w:rFonts w:ascii="Franklin Gothic Book" w:hAnsi="Franklin Gothic Book"/>
                <w:sz w:val="22"/>
              </w:rPr>
              <w:t xml:space="preserve">will be </w:t>
            </w:r>
            <w:r w:rsidR="004419CF" w:rsidRPr="74465C00">
              <w:rPr>
                <w:rFonts w:ascii="Franklin Gothic Book" w:hAnsi="Franklin Gothic Book"/>
                <w:sz w:val="22"/>
              </w:rPr>
              <w:t xml:space="preserve">taken during the </w:t>
            </w:r>
            <w:r w:rsidR="00CE0AC4" w:rsidRPr="74465C00">
              <w:rPr>
                <w:rFonts w:ascii="Franklin Gothic Book" w:hAnsi="Franklin Gothic Book"/>
                <w:sz w:val="22"/>
              </w:rPr>
              <w:t xml:space="preserve">initial </w:t>
            </w:r>
            <w:r w:rsidR="004419CF" w:rsidRPr="74465C00">
              <w:rPr>
                <w:rFonts w:ascii="Franklin Gothic Book" w:hAnsi="Franklin Gothic Book"/>
                <w:sz w:val="22"/>
              </w:rPr>
              <w:t xml:space="preserve">biopsy </w:t>
            </w:r>
            <w:r w:rsidR="001509DB" w:rsidRPr="74465C00">
              <w:rPr>
                <w:rFonts w:ascii="Franklin Gothic Book" w:hAnsi="Franklin Gothic Book"/>
                <w:sz w:val="22"/>
              </w:rPr>
              <w:t xml:space="preserve">of a suspected </w:t>
            </w:r>
            <w:r w:rsidR="00275037" w:rsidRPr="74465C00">
              <w:rPr>
                <w:rFonts w:ascii="Franklin Gothic Book" w:hAnsi="Franklin Gothic Book"/>
                <w:sz w:val="22"/>
              </w:rPr>
              <w:t>bile duct tumour</w:t>
            </w:r>
            <w:r w:rsidR="00CE0AC4" w:rsidRPr="74465C00">
              <w:rPr>
                <w:rFonts w:ascii="Franklin Gothic Book" w:hAnsi="Franklin Gothic Book"/>
                <w:sz w:val="22"/>
              </w:rPr>
              <w:t xml:space="preserve"> and tested by a pathology laboratory.</w:t>
            </w:r>
            <w:r w:rsidR="00BD5424" w:rsidRPr="74465C00">
              <w:rPr>
                <w:rFonts w:ascii="Franklin Gothic Book" w:hAnsi="Franklin Gothic Book"/>
                <w:sz w:val="22"/>
              </w:rPr>
              <w:t xml:space="preserve"> If the </w:t>
            </w:r>
            <w:r w:rsidR="00B43058" w:rsidRPr="74465C00">
              <w:rPr>
                <w:rFonts w:ascii="Franklin Gothic Book" w:hAnsi="Franklin Gothic Book"/>
                <w:sz w:val="22"/>
              </w:rPr>
              <w:t xml:space="preserve">treating practitioner </w:t>
            </w:r>
            <w:r w:rsidR="00BD5424" w:rsidRPr="74465C00">
              <w:rPr>
                <w:rFonts w:ascii="Franklin Gothic Book" w:hAnsi="Franklin Gothic Book"/>
                <w:sz w:val="22"/>
              </w:rPr>
              <w:t xml:space="preserve">confirms that the patient has cholangiocarcinoma, then </w:t>
            </w:r>
            <w:r w:rsidR="00BD5424" w:rsidRPr="74465C00">
              <w:rPr>
                <w:rFonts w:ascii="Franklin Gothic Book" w:hAnsi="Franklin Gothic Book"/>
                <w:i/>
                <w:iCs/>
                <w:sz w:val="22"/>
              </w:rPr>
              <w:t>FGFR2</w:t>
            </w:r>
            <w:r w:rsidR="00BD5424" w:rsidRPr="74465C00">
              <w:rPr>
                <w:rFonts w:ascii="Franklin Gothic Book" w:hAnsi="Franklin Gothic Book"/>
                <w:sz w:val="22"/>
              </w:rPr>
              <w:t xml:space="preserve"> testing should be performed.</w:t>
            </w:r>
            <w:r w:rsidR="00CE0AC4" w:rsidRPr="74465C00">
              <w:rPr>
                <w:rFonts w:ascii="Franklin Gothic Book" w:hAnsi="Franklin Gothic Book"/>
                <w:sz w:val="22"/>
              </w:rPr>
              <w:t xml:space="preserve"> </w:t>
            </w:r>
            <w:r w:rsidR="004419CF" w:rsidRPr="74465C00">
              <w:rPr>
                <w:rFonts w:ascii="Franklin Gothic Book" w:hAnsi="Franklin Gothic Book"/>
                <w:sz w:val="22"/>
              </w:rPr>
              <w:t xml:space="preserve">Because </w:t>
            </w:r>
            <w:r w:rsidR="00636CB1" w:rsidRPr="74465C00">
              <w:rPr>
                <w:rFonts w:ascii="Franklin Gothic Book" w:hAnsi="Franklin Gothic Book"/>
                <w:sz w:val="22"/>
              </w:rPr>
              <w:t xml:space="preserve">a biopsy is </w:t>
            </w:r>
            <w:r w:rsidR="00366906" w:rsidRPr="74465C00">
              <w:rPr>
                <w:rFonts w:ascii="Franklin Gothic Book" w:hAnsi="Franklin Gothic Book"/>
                <w:sz w:val="22"/>
              </w:rPr>
              <w:t>currently a standard procedure for tumour diagnosis</w:t>
            </w:r>
            <w:r w:rsidR="004419CF" w:rsidRPr="74465C00">
              <w:rPr>
                <w:rFonts w:ascii="Franklin Gothic Book" w:hAnsi="Franklin Gothic Book"/>
                <w:sz w:val="22"/>
              </w:rPr>
              <w:t xml:space="preserve">, </w:t>
            </w:r>
            <w:r w:rsidR="00051C1F" w:rsidRPr="74465C00">
              <w:rPr>
                <w:rFonts w:ascii="Franklin Gothic Book" w:hAnsi="Franklin Gothic Book"/>
                <w:i/>
                <w:iCs/>
                <w:sz w:val="22"/>
              </w:rPr>
              <w:t>FGFR2</w:t>
            </w:r>
            <w:r w:rsidR="00051C1F" w:rsidRPr="74465C00">
              <w:rPr>
                <w:rFonts w:ascii="Franklin Gothic Book" w:hAnsi="Franklin Gothic Book"/>
                <w:sz w:val="22"/>
              </w:rPr>
              <w:t xml:space="preserve"> testing can done on the same biopsy sample. Because a new biopsy is</w:t>
            </w:r>
            <w:r w:rsidR="00B43058" w:rsidRPr="74465C00">
              <w:rPr>
                <w:rFonts w:ascii="Franklin Gothic Book" w:hAnsi="Franklin Gothic Book"/>
                <w:sz w:val="22"/>
              </w:rPr>
              <w:t xml:space="preserve"> not</w:t>
            </w:r>
            <w:r w:rsidR="00051C1F" w:rsidRPr="74465C00">
              <w:rPr>
                <w:rFonts w:ascii="Franklin Gothic Book" w:hAnsi="Franklin Gothic Book"/>
                <w:sz w:val="22"/>
              </w:rPr>
              <w:t xml:space="preserve"> needed, </w:t>
            </w:r>
            <w:r w:rsidR="004419CF" w:rsidRPr="74465C00">
              <w:rPr>
                <w:rFonts w:ascii="Franklin Gothic Book" w:hAnsi="Franklin Gothic Book"/>
                <w:sz w:val="22"/>
              </w:rPr>
              <w:t xml:space="preserve">MSAC </w:t>
            </w:r>
            <w:r w:rsidR="00051C1F" w:rsidRPr="74465C00">
              <w:rPr>
                <w:rFonts w:ascii="Franklin Gothic Book" w:hAnsi="Franklin Gothic Book"/>
                <w:sz w:val="22"/>
              </w:rPr>
              <w:t xml:space="preserve">considered </w:t>
            </w:r>
            <w:r w:rsidR="004419CF" w:rsidRPr="74465C00">
              <w:rPr>
                <w:rFonts w:ascii="Franklin Gothic Book" w:hAnsi="Franklin Gothic Book"/>
                <w:sz w:val="22"/>
              </w:rPr>
              <w:t>that adding this testing</w:t>
            </w:r>
            <w:r w:rsidR="00051C1F" w:rsidRPr="74465C00">
              <w:rPr>
                <w:rFonts w:ascii="Franklin Gothic Book" w:hAnsi="Franklin Gothic Book"/>
                <w:sz w:val="22"/>
              </w:rPr>
              <w:t xml:space="preserve"> </w:t>
            </w:r>
            <w:r w:rsidR="002E5E33" w:rsidRPr="74465C00">
              <w:rPr>
                <w:rFonts w:ascii="Franklin Gothic Book" w:hAnsi="Franklin Gothic Book"/>
                <w:sz w:val="22"/>
              </w:rPr>
              <w:t>when</w:t>
            </w:r>
            <w:r w:rsidR="00972377" w:rsidRPr="74465C00">
              <w:rPr>
                <w:rFonts w:ascii="Franklin Gothic Book" w:hAnsi="Franklin Gothic Book"/>
                <w:sz w:val="22"/>
              </w:rPr>
              <w:t xml:space="preserve"> diagnosing a patient</w:t>
            </w:r>
            <w:r w:rsidR="00051C1F" w:rsidRPr="74465C00">
              <w:rPr>
                <w:rFonts w:ascii="Franklin Gothic Book" w:hAnsi="Franklin Gothic Book"/>
                <w:sz w:val="22"/>
              </w:rPr>
              <w:t xml:space="preserve"> </w:t>
            </w:r>
            <w:r w:rsidR="004419CF" w:rsidRPr="74465C00">
              <w:rPr>
                <w:rFonts w:ascii="Franklin Gothic Book" w:hAnsi="Franklin Gothic Book"/>
                <w:sz w:val="22"/>
              </w:rPr>
              <w:t>does not change the safety of the diagnostic process for the patient.</w:t>
            </w:r>
            <w:r w:rsidR="00704D58" w:rsidRPr="74465C00">
              <w:rPr>
                <w:rFonts w:ascii="Franklin Gothic Book" w:hAnsi="Franklin Gothic Book"/>
                <w:sz w:val="22"/>
              </w:rPr>
              <w:t xml:space="preserve"> </w:t>
            </w:r>
            <w:r w:rsidR="004419CF" w:rsidRPr="74465C00">
              <w:rPr>
                <w:rFonts w:ascii="Franklin Gothic Book" w:hAnsi="Franklin Gothic Book"/>
                <w:sz w:val="22"/>
              </w:rPr>
              <w:t xml:space="preserve">MSAC considered it appropriate to test all newly diagnosed patients because most (70%) cholangiocarcinoma patients are diagnosed with late-stage cancer, and the cancer tends to progress very quickly. MSAC also considered it beneficial to test patients </w:t>
            </w:r>
            <w:r w:rsidR="00051C1F" w:rsidRPr="74465C00">
              <w:rPr>
                <w:rFonts w:ascii="Franklin Gothic Book" w:hAnsi="Franklin Gothic Book"/>
                <w:sz w:val="22"/>
              </w:rPr>
              <w:t xml:space="preserve">at </w:t>
            </w:r>
            <w:r w:rsidR="004419CF" w:rsidRPr="74465C00">
              <w:rPr>
                <w:rFonts w:ascii="Franklin Gothic Book" w:hAnsi="Franklin Gothic Book"/>
                <w:sz w:val="22"/>
              </w:rPr>
              <w:t>diagnosis, so they can receive test results and access appropriate treatment</w:t>
            </w:r>
            <w:r w:rsidR="00375688" w:rsidRPr="74465C00">
              <w:rPr>
                <w:rFonts w:ascii="Franklin Gothic Book" w:hAnsi="Franklin Gothic Book"/>
                <w:sz w:val="22"/>
              </w:rPr>
              <w:t xml:space="preserve"> as soon as possible</w:t>
            </w:r>
            <w:r w:rsidR="004419CF" w:rsidRPr="74465C00">
              <w:rPr>
                <w:rFonts w:ascii="Franklin Gothic Book" w:hAnsi="Franklin Gothic Book"/>
                <w:sz w:val="22"/>
              </w:rPr>
              <w:t xml:space="preserve">. </w:t>
            </w:r>
          </w:p>
          <w:p w14:paraId="66AC207C" w14:textId="78A94E97" w:rsidR="004419CF" w:rsidRPr="004419CF" w:rsidRDefault="00D32C9F" w:rsidP="00071EE3">
            <w:pPr>
              <w:jc w:val="left"/>
              <w:rPr>
                <w:rFonts w:ascii="Franklin Gothic Book" w:hAnsi="Franklin Gothic Book"/>
                <w:sz w:val="22"/>
              </w:rPr>
            </w:pPr>
            <w:r>
              <w:rPr>
                <w:rFonts w:ascii="Franklin Gothic Book" w:hAnsi="Franklin Gothic Book"/>
                <w:sz w:val="22"/>
              </w:rPr>
              <w:t>A</w:t>
            </w:r>
            <w:r w:rsidR="004419CF" w:rsidRPr="004419CF">
              <w:rPr>
                <w:rFonts w:ascii="Franklin Gothic Book" w:hAnsi="Franklin Gothic Book"/>
                <w:sz w:val="22"/>
              </w:rPr>
              <w:t xml:space="preserve">t its March 2025 meeting, the PBAC did not recommend listing futibatinib on the PBS because </w:t>
            </w:r>
            <w:r w:rsidR="005658F2">
              <w:rPr>
                <w:rFonts w:ascii="Franklin Gothic Book" w:hAnsi="Franklin Gothic Book"/>
                <w:sz w:val="22"/>
              </w:rPr>
              <w:t>of uncertaint</w:t>
            </w:r>
            <w:r w:rsidR="00C522C0">
              <w:rPr>
                <w:rFonts w:ascii="Franklin Gothic Book" w:hAnsi="Franklin Gothic Book"/>
                <w:sz w:val="22"/>
              </w:rPr>
              <w:t>ies</w:t>
            </w:r>
            <w:r w:rsidR="005658F2">
              <w:rPr>
                <w:rFonts w:ascii="Franklin Gothic Book" w:hAnsi="Franklin Gothic Book"/>
                <w:sz w:val="22"/>
              </w:rPr>
              <w:t xml:space="preserve"> in </w:t>
            </w:r>
            <w:r w:rsidR="002E154C">
              <w:rPr>
                <w:rFonts w:ascii="Franklin Gothic Book" w:hAnsi="Franklin Gothic Book"/>
                <w:sz w:val="22"/>
              </w:rPr>
              <w:t xml:space="preserve">the </w:t>
            </w:r>
            <w:r w:rsidR="005776BC">
              <w:rPr>
                <w:rFonts w:ascii="Franklin Gothic Book" w:hAnsi="Franklin Gothic Book"/>
                <w:sz w:val="22"/>
              </w:rPr>
              <w:t xml:space="preserve">economic analysis </w:t>
            </w:r>
            <w:r w:rsidR="00C522C0">
              <w:rPr>
                <w:rFonts w:ascii="Franklin Gothic Book" w:hAnsi="Franklin Gothic Book"/>
                <w:sz w:val="22"/>
              </w:rPr>
              <w:t xml:space="preserve">including the </w:t>
            </w:r>
            <w:r w:rsidR="002E154C">
              <w:rPr>
                <w:rFonts w:ascii="Franklin Gothic Book" w:hAnsi="Franklin Gothic Book"/>
                <w:sz w:val="22"/>
              </w:rPr>
              <w:t xml:space="preserve">effect of the </w:t>
            </w:r>
            <w:r>
              <w:rPr>
                <w:rFonts w:ascii="Franklin Gothic Book" w:hAnsi="Franklin Gothic Book"/>
                <w:sz w:val="22"/>
              </w:rPr>
              <w:t>medicine</w:t>
            </w:r>
            <w:r w:rsidR="00051C1F">
              <w:rPr>
                <w:rFonts w:ascii="Franklin Gothic Book" w:hAnsi="Franklin Gothic Book"/>
                <w:sz w:val="22"/>
              </w:rPr>
              <w:t>,</w:t>
            </w:r>
            <w:r w:rsidR="0063579F">
              <w:rPr>
                <w:rFonts w:ascii="Franklin Gothic Book" w:hAnsi="Franklin Gothic Book"/>
                <w:sz w:val="22"/>
              </w:rPr>
              <w:t xml:space="preserve"> </w:t>
            </w:r>
            <w:r w:rsidR="00C522C0">
              <w:rPr>
                <w:rFonts w:ascii="Franklin Gothic Book" w:hAnsi="Franklin Gothic Book"/>
                <w:sz w:val="22"/>
              </w:rPr>
              <w:t xml:space="preserve">the </w:t>
            </w:r>
            <w:r w:rsidR="001F0900">
              <w:rPr>
                <w:rFonts w:ascii="Franklin Gothic Book" w:hAnsi="Franklin Gothic Book"/>
                <w:sz w:val="22"/>
              </w:rPr>
              <w:t>size of the patient population</w:t>
            </w:r>
            <w:r w:rsidR="0063579F">
              <w:rPr>
                <w:rFonts w:ascii="Franklin Gothic Book" w:hAnsi="Franklin Gothic Book"/>
                <w:sz w:val="22"/>
              </w:rPr>
              <w:t xml:space="preserve"> with cholangiocarcinoma</w:t>
            </w:r>
            <w:r w:rsidR="00051C1F">
              <w:rPr>
                <w:rFonts w:ascii="Franklin Gothic Book" w:hAnsi="Franklin Gothic Book"/>
                <w:sz w:val="22"/>
              </w:rPr>
              <w:t>,</w:t>
            </w:r>
            <w:r>
              <w:rPr>
                <w:rFonts w:ascii="Franklin Gothic Book" w:hAnsi="Franklin Gothic Book"/>
                <w:sz w:val="22"/>
              </w:rPr>
              <w:t xml:space="preserve"> </w:t>
            </w:r>
            <w:r w:rsidR="008D2ED3">
              <w:rPr>
                <w:rFonts w:ascii="Franklin Gothic Book" w:hAnsi="Franklin Gothic Book"/>
                <w:sz w:val="22"/>
              </w:rPr>
              <w:t>and</w:t>
            </w:r>
            <w:r w:rsidR="00FB5DB3">
              <w:rPr>
                <w:rFonts w:ascii="Franklin Gothic Book" w:hAnsi="Franklin Gothic Book"/>
                <w:sz w:val="22"/>
              </w:rPr>
              <w:t xml:space="preserve"> </w:t>
            </w:r>
            <w:r w:rsidR="0063579F">
              <w:rPr>
                <w:rFonts w:ascii="Franklin Gothic Book" w:hAnsi="Franklin Gothic Book"/>
                <w:sz w:val="22"/>
              </w:rPr>
              <w:t>the number</w:t>
            </w:r>
            <w:r w:rsidR="00FB5DB3">
              <w:rPr>
                <w:rFonts w:ascii="Franklin Gothic Book" w:hAnsi="Franklin Gothic Book"/>
                <w:sz w:val="22"/>
              </w:rPr>
              <w:t xml:space="preserve"> of patient</w:t>
            </w:r>
            <w:r w:rsidR="009415FE">
              <w:rPr>
                <w:rFonts w:ascii="Franklin Gothic Book" w:hAnsi="Franklin Gothic Book"/>
                <w:sz w:val="22"/>
              </w:rPr>
              <w:t>s</w:t>
            </w:r>
            <w:r w:rsidR="00FB5DB3">
              <w:rPr>
                <w:rFonts w:ascii="Franklin Gothic Book" w:hAnsi="Franklin Gothic Book"/>
                <w:sz w:val="22"/>
              </w:rPr>
              <w:t xml:space="preserve"> who have</w:t>
            </w:r>
            <w:r w:rsidR="009415FE">
              <w:rPr>
                <w:rFonts w:ascii="Franklin Gothic Book" w:hAnsi="Franklin Gothic Book"/>
                <w:sz w:val="22"/>
              </w:rPr>
              <w:t xml:space="preserve"> </w:t>
            </w:r>
            <w:r w:rsidR="009415FE" w:rsidRPr="00044E09">
              <w:rPr>
                <w:rFonts w:ascii="Franklin Gothic Book" w:hAnsi="Franklin Gothic Book"/>
                <w:i/>
                <w:iCs/>
                <w:sz w:val="22"/>
              </w:rPr>
              <w:t>FGFR2</w:t>
            </w:r>
            <w:r w:rsidR="009415FE">
              <w:rPr>
                <w:rFonts w:ascii="Franklin Gothic Book" w:hAnsi="Franklin Gothic Book"/>
                <w:sz w:val="22"/>
              </w:rPr>
              <w:t xml:space="preserve"> </w:t>
            </w:r>
            <w:r w:rsidR="00051C1F">
              <w:rPr>
                <w:rFonts w:ascii="Franklin Gothic Book" w:hAnsi="Franklin Gothic Book"/>
                <w:sz w:val="22"/>
              </w:rPr>
              <w:t>alterations</w:t>
            </w:r>
            <w:r w:rsidR="00044E09">
              <w:rPr>
                <w:rFonts w:ascii="Franklin Gothic Book" w:hAnsi="Franklin Gothic Book"/>
                <w:sz w:val="22"/>
              </w:rPr>
              <w:t>.</w:t>
            </w:r>
            <w:r w:rsidR="004419CF" w:rsidRPr="004419CF">
              <w:rPr>
                <w:rFonts w:ascii="Franklin Gothic Book" w:hAnsi="Franklin Gothic Book"/>
                <w:sz w:val="22"/>
              </w:rPr>
              <w:t xml:space="preserve"> </w:t>
            </w:r>
            <w:r w:rsidR="0063579F">
              <w:rPr>
                <w:rFonts w:ascii="Franklin Gothic Book" w:hAnsi="Franklin Gothic Book"/>
                <w:sz w:val="22"/>
              </w:rPr>
              <w:t xml:space="preserve">PBAC </w:t>
            </w:r>
            <w:r w:rsidR="006918FA">
              <w:rPr>
                <w:rFonts w:ascii="Franklin Gothic Book" w:hAnsi="Franklin Gothic Book"/>
                <w:sz w:val="22"/>
              </w:rPr>
              <w:t xml:space="preserve">has </w:t>
            </w:r>
            <w:r w:rsidR="0063579F">
              <w:rPr>
                <w:rFonts w:ascii="Franklin Gothic Book" w:hAnsi="Franklin Gothic Book"/>
                <w:sz w:val="22"/>
              </w:rPr>
              <w:t>requested that these issues be addressed in a resubmission</w:t>
            </w:r>
            <w:r w:rsidR="00C81DE0">
              <w:rPr>
                <w:rFonts w:ascii="Franklin Gothic Book" w:hAnsi="Franklin Gothic Book"/>
                <w:sz w:val="22"/>
              </w:rPr>
              <w:t xml:space="preserve"> of the application</w:t>
            </w:r>
            <w:r w:rsidR="0063579F">
              <w:rPr>
                <w:rFonts w:ascii="Franklin Gothic Book" w:hAnsi="Franklin Gothic Book"/>
                <w:sz w:val="22"/>
              </w:rPr>
              <w:t>.</w:t>
            </w:r>
          </w:p>
          <w:p w14:paraId="3FB1D28A" w14:textId="62AE58B0" w:rsidR="00330942" w:rsidRDefault="004419CF" w:rsidP="00071EE3">
            <w:pPr>
              <w:jc w:val="left"/>
              <w:rPr>
                <w:rFonts w:ascii="Franklin Gothic Book" w:hAnsi="Franklin Gothic Book"/>
                <w:sz w:val="22"/>
              </w:rPr>
            </w:pPr>
            <w:r w:rsidRPr="004419CF">
              <w:rPr>
                <w:rFonts w:ascii="Franklin Gothic Book" w:hAnsi="Franklin Gothic Book"/>
                <w:sz w:val="22"/>
              </w:rPr>
              <w:t xml:space="preserve">MSAC highlighted that there are different gene targets that are relevant to cholangiocarcinoma patients (including </w:t>
            </w:r>
            <w:r w:rsidR="005A526B">
              <w:rPr>
                <w:rFonts w:ascii="Franklin Gothic Book" w:hAnsi="Franklin Gothic Book"/>
                <w:sz w:val="22"/>
              </w:rPr>
              <w:t>testing for</w:t>
            </w:r>
            <w:r w:rsidRPr="004419CF">
              <w:rPr>
                <w:rFonts w:ascii="Franklin Gothic Book" w:hAnsi="Franklin Gothic Book"/>
                <w:sz w:val="22"/>
              </w:rPr>
              <w:t xml:space="preserve"> </w:t>
            </w:r>
            <w:r w:rsidRPr="004419CF">
              <w:rPr>
                <w:rFonts w:ascii="Franklin Gothic Book" w:hAnsi="Franklin Gothic Book"/>
                <w:i/>
                <w:iCs/>
                <w:sz w:val="22"/>
              </w:rPr>
              <w:t>IDH1</w:t>
            </w:r>
            <w:r w:rsidRPr="004419CF">
              <w:rPr>
                <w:rFonts w:ascii="Franklin Gothic Book" w:hAnsi="Franklin Gothic Book"/>
                <w:sz w:val="22"/>
              </w:rPr>
              <w:t xml:space="preserve"> [</w:t>
            </w:r>
            <w:hyperlink r:id="rId9" w:history="1">
              <w:r w:rsidRPr="00F30B4D">
                <w:rPr>
                  <w:rStyle w:val="Hyperlink"/>
                  <w:rFonts w:ascii="Franklin Gothic Book" w:hAnsi="Franklin Gothic Book"/>
                  <w:color w:val="0070C0"/>
                  <w:sz w:val="22"/>
                </w:rPr>
                <w:t>Application 1750</w:t>
              </w:r>
            </w:hyperlink>
            <w:r w:rsidRPr="004419CF">
              <w:rPr>
                <w:rFonts w:ascii="Franklin Gothic Book" w:hAnsi="Franklin Gothic Book"/>
                <w:sz w:val="22"/>
              </w:rPr>
              <w:t>], which MSAC supported in November 2024)</w:t>
            </w:r>
            <w:r w:rsidR="00C81DE0">
              <w:rPr>
                <w:rFonts w:ascii="Franklin Gothic Book" w:hAnsi="Franklin Gothic Book"/>
                <w:sz w:val="22"/>
              </w:rPr>
              <w:t>. MSAC</w:t>
            </w:r>
            <w:r w:rsidRPr="004419CF">
              <w:rPr>
                <w:rFonts w:ascii="Franklin Gothic Book" w:hAnsi="Franklin Gothic Book"/>
                <w:sz w:val="22"/>
              </w:rPr>
              <w:t xml:space="preserve"> considered it appropriate that a gene panel be used to test for several genes at </w:t>
            </w:r>
            <w:r w:rsidR="005861EB">
              <w:rPr>
                <w:rFonts w:ascii="Franklin Gothic Book" w:hAnsi="Franklin Gothic Book"/>
                <w:sz w:val="22"/>
              </w:rPr>
              <w:t>the same</w:t>
            </w:r>
            <w:r w:rsidRPr="004419CF">
              <w:rPr>
                <w:rFonts w:ascii="Franklin Gothic Book" w:hAnsi="Franklin Gothic Book"/>
                <w:sz w:val="22"/>
              </w:rPr>
              <w:t xml:space="preserve"> time, rather than having several different MBS items for </w:t>
            </w:r>
            <w:r w:rsidR="005A526B">
              <w:rPr>
                <w:rFonts w:ascii="Franklin Gothic Book" w:hAnsi="Franklin Gothic Book"/>
                <w:sz w:val="22"/>
              </w:rPr>
              <w:t xml:space="preserve">each </w:t>
            </w:r>
            <w:r w:rsidRPr="004419CF">
              <w:rPr>
                <w:rFonts w:ascii="Franklin Gothic Book" w:hAnsi="Franklin Gothic Book"/>
                <w:sz w:val="22"/>
              </w:rPr>
              <w:t>different gene. MSAC was concerned that, if the genes are tested separately, patients may miss out on being tested for other important gene targets, resulting in suboptimal care. MSAC was also concerned that individual gene testing may lead to large out-of-pocket costs</w:t>
            </w:r>
            <w:r w:rsidR="0063579F">
              <w:rPr>
                <w:rFonts w:ascii="Franklin Gothic Book" w:hAnsi="Franklin Gothic Book"/>
                <w:sz w:val="22"/>
              </w:rPr>
              <w:t xml:space="preserve"> for the patient</w:t>
            </w:r>
            <w:r w:rsidRPr="004419CF">
              <w:rPr>
                <w:rFonts w:ascii="Franklin Gothic Book" w:hAnsi="Franklin Gothic Book"/>
                <w:sz w:val="22"/>
              </w:rPr>
              <w:t xml:space="preserve"> if the pathology laboratory chose to perform a gene panel but </w:t>
            </w:r>
            <w:r w:rsidR="005D7378">
              <w:rPr>
                <w:rFonts w:ascii="Franklin Gothic Book" w:hAnsi="Franklin Gothic Book"/>
                <w:sz w:val="22"/>
              </w:rPr>
              <w:t>are</w:t>
            </w:r>
            <w:r w:rsidRPr="004419CF">
              <w:rPr>
                <w:rFonts w:ascii="Franklin Gothic Book" w:hAnsi="Franklin Gothic Book"/>
                <w:sz w:val="22"/>
              </w:rPr>
              <w:t xml:space="preserve"> not adequately reimbursed for it.</w:t>
            </w:r>
          </w:p>
          <w:p w14:paraId="155EAE3D" w14:textId="6AF44C50" w:rsidR="00875221" w:rsidRDefault="00875221" w:rsidP="00071EE3">
            <w:pPr>
              <w:jc w:val="left"/>
              <w:rPr>
                <w:rFonts w:ascii="Franklin Gothic Book" w:hAnsi="Franklin Gothic Book"/>
                <w:sz w:val="22"/>
              </w:rPr>
            </w:pPr>
            <w:r w:rsidRPr="004419CF">
              <w:rPr>
                <w:rFonts w:ascii="Franklin Gothic Book" w:hAnsi="Franklin Gothic Book"/>
                <w:sz w:val="22"/>
              </w:rPr>
              <w:t xml:space="preserve">MSAC acknowledged that </w:t>
            </w:r>
            <w:r w:rsidRPr="004419CF">
              <w:rPr>
                <w:rFonts w:ascii="Franklin Gothic Book" w:hAnsi="Franklin Gothic Book"/>
                <w:i/>
                <w:iCs/>
                <w:sz w:val="22"/>
              </w:rPr>
              <w:t>FGFR2</w:t>
            </w:r>
            <w:r w:rsidRPr="004419CF">
              <w:rPr>
                <w:rFonts w:ascii="Franklin Gothic Book" w:hAnsi="Franklin Gothic Book"/>
                <w:sz w:val="22"/>
              </w:rPr>
              <w:t xml:space="preserve"> testing is safe</w:t>
            </w:r>
            <w:r>
              <w:rPr>
                <w:rFonts w:ascii="Franklin Gothic Book" w:hAnsi="Franklin Gothic Book"/>
                <w:sz w:val="22"/>
              </w:rPr>
              <w:t xml:space="preserve"> and</w:t>
            </w:r>
            <w:r w:rsidRPr="004419CF">
              <w:rPr>
                <w:rFonts w:ascii="Franklin Gothic Book" w:hAnsi="Franklin Gothic Book"/>
                <w:sz w:val="22"/>
              </w:rPr>
              <w:t xml:space="preserve"> effective</w:t>
            </w:r>
            <w:r>
              <w:rPr>
                <w:rFonts w:ascii="Franklin Gothic Book" w:hAnsi="Franklin Gothic Book"/>
                <w:sz w:val="22"/>
              </w:rPr>
              <w:t>.</w:t>
            </w:r>
            <w:r w:rsidRPr="004419CF">
              <w:rPr>
                <w:rFonts w:ascii="Franklin Gothic Book" w:hAnsi="Franklin Gothic Book"/>
                <w:sz w:val="22"/>
              </w:rPr>
              <w:t xml:space="preserve"> </w:t>
            </w:r>
            <w:r>
              <w:rPr>
                <w:rFonts w:ascii="Franklin Gothic Book" w:hAnsi="Franklin Gothic Book"/>
                <w:sz w:val="22"/>
              </w:rPr>
              <w:t>However</w:t>
            </w:r>
            <w:r w:rsidR="008157E7">
              <w:rPr>
                <w:rFonts w:ascii="Franklin Gothic Book" w:hAnsi="Franklin Gothic Book"/>
                <w:sz w:val="22"/>
              </w:rPr>
              <w:t>,</w:t>
            </w:r>
            <w:r>
              <w:rPr>
                <w:rFonts w:ascii="Franklin Gothic Book" w:hAnsi="Franklin Gothic Book"/>
                <w:sz w:val="22"/>
              </w:rPr>
              <w:t xml:space="preserve"> MSAC considered that the test fee proposed was too low and advised that the economic and financial analysis be </w:t>
            </w:r>
            <w:r>
              <w:rPr>
                <w:rFonts w:ascii="Franklin Gothic Book" w:hAnsi="Franklin Gothic Book"/>
                <w:sz w:val="22"/>
              </w:rPr>
              <w:lastRenderedPageBreak/>
              <w:t>revised with a more appropriate fee.</w:t>
            </w:r>
            <w:r w:rsidRPr="004419CF">
              <w:rPr>
                <w:rFonts w:ascii="Franklin Gothic Book" w:hAnsi="Franklin Gothic Book"/>
                <w:sz w:val="22"/>
              </w:rPr>
              <w:t xml:space="preserve"> </w:t>
            </w:r>
            <w:r>
              <w:rPr>
                <w:rFonts w:ascii="Franklin Gothic Book" w:hAnsi="Franklin Gothic Book"/>
                <w:sz w:val="22"/>
              </w:rPr>
              <w:t xml:space="preserve">In addition, MSAC considered that cholangiocarcinoma can be a difficult cancer to diagnose, because </w:t>
            </w:r>
            <w:r w:rsidR="00125BB0">
              <w:rPr>
                <w:rFonts w:ascii="Franklin Gothic Book" w:hAnsi="Franklin Gothic Book"/>
                <w:sz w:val="22"/>
              </w:rPr>
              <w:t>it can look similar to several other cancers when examined under the microscope</w:t>
            </w:r>
            <w:r>
              <w:rPr>
                <w:rFonts w:ascii="Franklin Gothic Book" w:hAnsi="Franklin Gothic Book"/>
                <w:sz w:val="22"/>
              </w:rPr>
              <w:t xml:space="preserve">. MSAC considered that there is possibility that other cancers which are located close to the bile ducts may be thought to be cholangiocarcinoma when in fact </w:t>
            </w:r>
            <w:r w:rsidR="0566A32A" w:rsidRPr="3C637BEE">
              <w:rPr>
                <w:rFonts w:ascii="Franklin Gothic Book" w:hAnsi="Franklin Gothic Book"/>
                <w:sz w:val="22"/>
              </w:rPr>
              <w:t>they</w:t>
            </w:r>
            <w:r w:rsidR="000E7E1D">
              <w:rPr>
                <w:rFonts w:ascii="Franklin Gothic Book" w:hAnsi="Franklin Gothic Book"/>
                <w:sz w:val="22"/>
              </w:rPr>
              <w:t xml:space="preserve"> are</w:t>
            </w:r>
            <w:r>
              <w:rPr>
                <w:rFonts w:ascii="Franklin Gothic Book" w:hAnsi="Franklin Gothic Book"/>
                <w:sz w:val="22"/>
              </w:rPr>
              <w:t xml:space="preserve"> not. Therefore, MSAC considered that this may increase the number of </w:t>
            </w:r>
            <w:r w:rsidRPr="0063579F">
              <w:rPr>
                <w:rFonts w:ascii="Franklin Gothic Book" w:hAnsi="Franklin Gothic Book"/>
                <w:i/>
                <w:iCs/>
                <w:sz w:val="22"/>
              </w:rPr>
              <w:t>FGFR2</w:t>
            </w:r>
            <w:r>
              <w:rPr>
                <w:rFonts w:ascii="Franklin Gothic Book" w:hAnsi="Franklin Gothic Book"/>
                <w:sz w:val="22"/>
              </w:rPr>
              <w:t xml:space="preserve"> testing than expected, and advised that this also be taken into account in the revised economic and financial analyses. MSAC deferred its advice and requested that these issues be addressed and submitted for re-consideration by MSAC.</w:t>
            </w:r>
          </w:p>
          <w:p w14:paraId="23E6BC65" w14:textId="77777777" w:rsidR="00330942" w:rsidRPr="00F91D6E" w:rsidRDefault="00330942" w:rsidP="00071EE3">
            <w:pPr>
              <w:keepNext/>
              <w:keepLines/>
              <w:spacing w:after="120" w:line="259" w:lineRule="auto"/>
              <w:jc w:val="left"/>
              <w:rPr>
                <w:rFonts w:ascii="Franklin Gothic Book" w:eastAsia="Times New Roman" w:hAnsi="Franklin Gothic Book" w:cs="Times New Roman"/>
                <w:b/>
                <w:bCs/>
                <w:szCs w:val="24"/>
              </w:rPr>
            </w:pPr>
            <w:r w:rsidRPr="00F91D6E">
              <w:rPr>
                <w:rFonts w:ascii="Franklin Gothic Book" w:eastAsia="Times New Roman" w:hAnsi="Franklin Gothic Book" w:cs="Times New Roman"/>
                <w:b/>
                <w:bCs/>
                <w:szCs w:val="24"/>
              </w:rPr>
              <w:t>MSAC’s advice to the Commonwealth Minister for Health and Aged Care</w:t>
            </w:r>
          </w:p>
          <w:p w14:paraId="65D6345F" w14:textId="56785AF8" w:rsidR="00330942" w:rsidRPr="001B388B" w:rsidRDefault="001B388B" w:rsidP="00071EE3">
            <w:pPr>
              <w:spacing w:after="120" w:line="259" w:lineRule="auto"/>
              <w:jc w:val="left"/>
              <w:rPr>
                <w:rFonts w:ascii="Franklin Gothic Book" w:hAnsi="Franklin Gothic Book"/>
                <w:sz w:val="22"/>
              </w:rPr>
            </w:pPr>
            <w:r w:rsidRPr="001B388B">
              <w:rPr>
                <w:rFonts w:ascii="Franklin Gothic Book" w:hAnsi="Franklin Gothic Book"/>
                <w:sz w:val="22"/>
              </w:rPr>
              <w:t xml:space="preserve">MSAC deferred its advice on funding </w:t>
            </w:r>
            <w:r w:rsidRPr="001B388B">
              <w:rPr>
                <w:rFonts w:ascii="Franklin Gothic Book" w:hAnsi="Franklin Gothic Book"/>
                <w:i/>
                <w:iCs/>
                <w:sz w:val="22"/>
              </w:rPr>
              <w:t>FGFR2</w:t>
            </w:r>
            <w:r w:rsidRPr="001B388B">
              <w:rPr>
                <w:rFonts w:ascii="Franklin Gothic Book" w:hAnsi="Franklin Gothic Book"/>
                <w:sz w:val="22"/>
              </w:rPr>
              <w:t xml:space="preserve"> genetic testing for patients with cholangiocarcinoma. </w:t>
            </w:r>
            <w:r w:rsidR="00437756">
              <w:rPr>
                <w:rFonts w:ascii="Franklin Gothic Book" w:hAnsi="Franklin Gothic Book"/>
                <w:sz w:val="22"/>
              </w:rPr>
              <w:t>MSAC considered that t</w:t>
            </w:r>
            <w:r w:rsidRPr="001B388B">
              <w:rPr>
                <w:rFonts w:ascii="Franklin Gothic Book" w:hAnsi="Franklin Gothic Book"/>
                <w:sz w:val="22"/>
              </w:rPr>
              <w:t xml:space="preserve">he test is safe and </w:t>
            </w:r>
            <w:r w:rsidR="00840675">
              <w:rPr>
                <w:rFonts w:ascii="Franklin Gothic Book" w:hAnsi="Franklin Gothic Book"/>
                <w:sz w:val="22"/>
              </w:rPr>
              <w:t>effective</w:t>
            </w:r>
            <w:r w:rsidR="002271E2">
              <w:rPr>
                <w:rFonts w:ascii="Franklin Gothic Book" w:hAnsi="Franklin Gothic Book"/>
                <w:sz w:val="22"/>
              </w:rPr>
              <w:t xml:space="preserve">, however has uncertain </w:t>
            </w:r>
            <w:r w:rsidR="00051C1F">
              <w:rPr>
                <w:rFonts w:ascii="Franklin Gothic Book" w:hAnsi="Franklin Gothic Book"/>
                <w:sz w:val="22"/>
              </w:rPr>
              <w:t>economic and financial implications</w:t>
            </w:r>
            <w:r w:rsidRPr="001B388B">
              <w:rPr>
                <w:rFonts w:ascii="Franklin Gothic Book" w:hAnsi="Franklin Gothic Book"/>
                <w:sz w:val="22"/>
              </w:rPr>
              <w:t>. MSAC</w:t>
            </w:r>
            <w:r w:rsidR="00437756">
              <w:rPr>
                <w:rFonts w:ascii="Franklin Gothic Book" w:hAnsi="Franklin Gothic Book"/>
                <w:sz w:val="22"/>
              </w:rPr>
              <w:t xml:space="preserve"> requested that the economic and financial analys</w:t>
            </w:r>
            <w:r w:rsidR="00B817C4">
              <w:rPr>
                <w:rFonts w:ascii="Franklin Gothic Book" w:hAnsi="Franklin Gothic Book"/>
                <w:sz w:val="22"/>
              </w:rPr>
              <w:t>es</w:t>
            </w:r>
            <w:r w:rsidR="00437756">
              <w:rPr>
                <w:rFonts w:ascii="Franklin Gothic Book" w:hAnsi="Franklin Gothic Book"/>
                <w:sz w:val="22"/>
              </w:rPr>
              <w:t xml:space="preserve"> be revised </w:t>
            </w:r>
            <w:r w:rsidR="00B817C4">
              <w:rPr>
                <w:rFonts w:ascii="Franklin Gothic Book" w:hAnsi="Franklin Gothic Book"/>
                <w:sz w:val="22"/>
              </w:rPr>
              <w:t xml:space="preserve">by including a more appropriate test fee and by incorporating more accurate estimates of the number of patients who </w:t>
            </w:r>
            <w:r w:rsidR="00051C1F">
              <w:rPr>
                <w:rFonts w:ascii="Franklin Gothic Book" w:hAnsi="Franklin Gothic Book"/>
                <w:sz w:val="22"/>
              </w:rPr>
              <w:t>would</w:t>
            </w:r>
            <w:r w:rsidR="00B817C4">
              <w:rPr>
                <w:rFonts w:ascii="Franklin Gothic Book" w:hAnsi="Franklin Gothic Book"/>
                <w:sz w:val="22"/>
              </w:rPr>
              <w:t xml:space="preserve"> be tested in practice.</w:t>
            </w:r>
            <w:r w:rsidRPr="001B388B">
              <w:rPr>
                <w:rFonts w:ascii="Franklin Gothic Book" w:hAnsi="Franklin Gothic Book"/>
                <w:sz w:val="22"/>
              </w:rPr>
              <w:t xml:space="preserve"> MSAC also advised that it </w:t>
            </w:r>
            <w:r w:rsidR="00064791">
              <w:rPr>
                <w:rFonts w:ascii="Franklin Gothic Book" w:hAnsi="Franklin Gothic Book"/>
                <w:sz w:val="22"/>
              </w:rPr>
              <w:t>was supportive of</w:t>
            </w:r>
            <w:r w:rsidRPr="001B388B">
              <w:rPr>
                <w:rFonts w:ascii="Franklin Gothic Book" w:hAnsi="Franklin Gothic Book"/>
                <w:sz w:val="22"/>
              </w:rPr>
              <w:t xml:space="preserve"> a single MBS item </w:t>
            </w:r>
            <w:r w:rsidR="00064791">
              <w:rPr>
                <w:rFonts w:ascii="Franklin Gothic Book" w:hAnsi="Franklin Gothic Book"/>
                <w:sz w:val="22"/>
              </w:rPr>
              <w:t>for</w:t>
            </w:r>
            <w:r w:rsidRPr="001B388B">
              <w:rPr>
                <w:rFonts w:ascii="Franklin Gothic Book" w:hAnsi="Franklin Gothic Book"/>
                <w:sz w:val="22"/>
              </w:rPr>
              <w:t xml:space="preserve"> a gene panel </w:t>
            </w:r>
            <w:r w:rsidR="00064791" w:rsidRPr="001B388B">
              <w:rPr>
                <w:rFonts w:ascii="Franklin Gothic Book" w:hAnsi="Franklin Gothic Book"/>
                <w:sz w:val="22"/>
              </w:rPr>
              <w:t>tes</w:t>
            </w:r>
            <w:r w:rsidR="00064791">
              <w:rPr>
                <w:rFonts w:ascii="Franklin Gothic Book" w:hAnsi="Franklin Gothic Book"/>
                <w:sz w:val="22"/>
              </w:rPr>
              <w:t>t</w:t>
            </w:r>
            <w:r w:rsidR="00E56EC7">
              <w:rPr>
                <w:rFonts w:ascii="Franklin Gothic Book" w:hAnsi="Franklin Gothic Book"/>
                <w:sz w:val="22"/>
              </w:rPr>
              <w:t>,</w:t>
            </w:r>
            <w:r w:rsidR="00064791" w:rsidRPr="001B388B">
              <w:rPr>
                <w:rFonts w:ascii="Franklin Gothic Book" w:hAnsi="Franklin Gothic Book"/>
                <w:sz w:val="22"/>
              </w:rPr>
              <w:t xml:space="preserve"> </w:t>
            </w:r>
            <w:r w:rsidRPr="001B388B">
              <w:rPr>
                <w:rFonts w:ascii="Franklin Gothic Book" w:hAnsi="Franklin Gothic Book"/>
                <w:sz w:val="22"/>
              </w:rPr>
              <w:t xml:space="preserve">for </w:t>
            </w:r>
            <w:r w:rsidR="00E56EC7">
              <w:rPr>
                <w:rFonts w:ascii="Franklin Gothic Book" w:hAnsi="Franklin Gothic Book"/>
                <w:sz w:val="22"/>
              </w:rPr>
              <w:t>efficient testing of</w:t>
            </w:r>
            <w:r w:rsidRPr="001B388B">
              <w:rPr>
                <w:rFonts w:ascii="Franklin Gothic Book" w:hAnsi="Franklin Gothic Book"/>
                <w:sz w:val="22"/>
              </w:rPr>
              <w:t xml:space="preserve"> several relevant cholangiocarcinoma gene targets.</w:t>
            </w:r>
          </w:p>
        </w:tc>
      </w:tr>
    </w:tbl>
    <w:p w14:paraId="641AA311" w14:textId="77777777" w:rsidR="00330942" w:rsidRPr="00330942" w:rsidRDefault="00330942"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330942">
        <w:rPr>
          <w:rFonts w:ascii="Franklin Gothic Medium" w:hAnsi="Franklin Gothic Medium"/>
          <w:b w:val="0"/>
          <w:i w:val="0"/>
          <w:snapToGrid/>
          <w:color w:val="000000" w:themeColor="text1"/>
          <w:sz w:val="32"/>
          <w:szCs w:val="26"/>
        </w:rPr>
        <w:lastRenderedPageBreak/>
        <w:t>Summary of consideration and rationale for MSAC’s advice</w:t>
      </w:r>
    </w:p>
    <w:p w14:paraId="2E01F15B" w14:textId="4E11BA8F" w:rsidR="00D64BDD" w:rsidRDefault="006C6104" w:rsidP="00D64BDD">
      <w:pPr>
        <w:pStyle w:val="3-BodyText"/>
        <w:ind w:left="0" w:firstLine="0"/>
        <w:jc w:val="left"/>
        <w:rPr>
          <w:rFonts w:ascii="Franklin Gothic Book" w:hAnsi="Franklin Gothic Book"/>
          <w:sz w:val="22"/>
        </w:rPr>
      </w:pPr>
      <w:r w:rsidRPr="006C6104">
        <w:rPr>
          <w:rFonts w:ascii="Franklin Gothic Book" w:hAnsi="Franklin Gothic Book"/>
          <w:sz w:val="22"/>
        </w:rPr>
        <w:t xml:space="preserve">MSAC noted that this codependent application from Taiho Pharma Oceania Pty Ltd was for the Medicare Benefits Schedule (MBS) listing of </w:t>
      </w:r>
      <w:r w:rsidR="004207C5">
        <w:rPr>
          <w:rFonts w:ascii="Franklin Gothic Book" w:hAnsi="Franklin Gothic Book"/>
          <w:sz w:val="22"/>
        </w:rPr>
        <w:t xml:space="preserve">the testing of </w:t>
      </w:r>
      <w:r w:rsidRPr="006C6104">
        <w:rPr>
          <w:rFonts w:ascii="Franklin Gothic Book" w:hAnsi="Franklin Gothic Book"/>
          <w:sz w:val="22"/>
        </w:rPr>
        <w:t xml:space="preserve">tumour tissue to detect </w:t>
      </w:r>
      <w:r w:rsidRPr="00ED0551">
        <w:rPr>
          <w:rFonts w:ascii="Franklin Gothic Book" w:hAnsi="Franklin Gothic Book"/>
          <w:i/>
          <w:iCs/>
          <w:sz w:val="22"/>
        </w:rPr>
        <w:t>fibroblast growth factor receptor 2</w:t>
      </w:r>
      <w:r w:rsidRPr="006C6104">
        <w:rPr>
          <w:rFonts w:ascii="Franklin Gothic Book" w:hAnsi="Franklin Gothic Book"/>
          <w:sz w:val="22"/>
        </w:rPr>
        <w:t xml:space="preserve"> (</w:t>
      </w:r>
      <w:r w:rsidRPr="00FD01A3">
        <w:rPr>
          <w:rFonts w:ascii="Franklin Gothic Book" w:hAnsi="Franklin Gothic Book"/>
          <w:i/>
          <w:iCs/>
          <w:sz w:val="22"/>
        </w:rPr>
        <w:t>FGFR2</w:t>
      </w:r>
      <w:r w:rsidRPr="006C6104">
        <w:rPr>
          <w:rFonts w:ascii="Franklin Gothic Book" w:hAnsi="Franklin Gothic Book"/>
          <w:sz w:val="22"/>
        </w:rPr>
        <w:t xml:space="preserve">) fusions or rearrangements in people with cholangiocarcinoma (CCA), to determine eligibility for treatment with </w:t>
      </w:r>
      <w:r w:rsidR="00ED0551" w:rsidRPr="00ED0551">
        <w:rPr>
          <w:rFonts w:ascii="Franklin Gothic Book" w:hAnsi="Franklin Gothic Book"/>
          <w:sz w:val="22"/>
        </w:rPr>
        <w:t xml:space="preserve">Pharmaceutical Benefits Scheme </w:t>
      </w:r>
      <w:r w:rsidR="00ED0551">
        <w:rPr>
          <w:rFonts w:ascii="Franklin Gothic Book" w:hAnsi="Franklin Gothic Book"/>
          <w:sz w:val="22"/>
        </w:rPr>
        <w:t xml:space="preserve">(PBS) subsidised </w:t>
      </w:r>
      <w:r w:rsidRPr="006C6104">
        <w:rPr>
          <w:rFonts w:ascii="Franklin Gothic Book" w:hAnsi="Franklin Gothic Book"/>
          <w:sz w:val="22"/>
        </w:rPr>
        <w:t xml:space="preserve">futibatinib. </w:t>
      </w:r>
    </w:p>
    <w:p w14:paraId="701B5F59" w14:textId="1561BEE9" w:rsidR="006C6104" w:rsidRDefault="006C6104" w:rsidP="74465C00">
      <w:pPr>
        <w:jc w:val="left"/>
        <w:rPr>
          <w:rFonts w:ascii="Franklin Gothic Book" w:hAnsi="Franklin Gothic Book"/>
          <w:sz w:val="22"/>
        </w:rPr>
      </w:pPr>
      <w:r w:rsidRPr="74465C00">
        <w:rPr>
          <w:rFonts w:ascii="Franklin Gothic Book" w:hAnsi="Franklin Gothic Book"/>
          <w:sz w:val="22"/>
        </w:rPr>
        <w:t xml:space="preserve">MSAC noted that, at its March 2025 meeting, the Pharmaceutical Benefits Advisory Committee (PBAC) did not </w:t>
      </w:r>
      <w:r w:rsidR="00F41CE2" w:rsidRPr="74465C00">
        <w:rPr>
          <w:rFonts w:ascii="Franklin Gothic Book" w:hAnsi="Franklin Gothic Book"/>
          <w:sz w:val="22"/>
        </w:rPr>
        <w:t xml:space="preserve">recommend </w:t>
      </w:r>
      <w:r w:rsidR="00F91D6A" w:rsidRPr="74465C00">
        <w:rPr>
          <w:rFonts w:ascii="Franklin Gothic Book" w:hAnsi="Franklin Gothic Book"/>
          <w:sz w:val="22"/>
        </w:rPr>
        <w:t xml:space="preserve">the </w:t>
      </w:r>
      <w:r w:rsidRPr="74465C00">
        <w:rPr>
          <w:rFonts w:ascii="Franklin Gothic Book" w:hAnsi="Franklin Gothic Book"/>
          <w:sz w:val="22"/>
        </w:rPr>
        <w:t xml:space="preserve">listing </w:t>
      </w:r>
      <w:r w:rsidR="00F91D6A" w:rsidRPr="74465C00">
        <w:rPr>
          <w:rFonts w:ascii="Franklin Gothic Book" w:hAnsi="Franklin Gothic Book"/>
          <w:sz w:val="22"/>
        </w:rPr>
        <w:t xml:space="preserve">of </w:t>
      </w:r>
      <w:r w:rsidRPr="74465C00">
        <w:rPr>
          <w:rFonts w:ascii="Franklin Gothic Book" w:hAnsi="Franklin Gothic Book"/>
          <w:sz w:val="22"/>
        </w:rPr>
        <w:t>futibatinib on the PBS</w:t>
      </w:r>
      <w:r w:rsidR="003F6B08" w:rsidRPr="74465C00">
        <w:rPr>
          <w:rFonts w:ascii="Franklin Gothic Book" w:hAnsi="Franklin Gothic Book"/>
          <w:sz w:val="22"/>
        </w:rPr>
        <w:t xml:space="preserve"> for the treatment of patients with locally advanced or metastatic cholangiocarcinoma who have previously progressed on systemic therapy and have a </w:t>
      </w:r>
      <w:r w:rsidR="003F6B08" w:rsidRPr="74465C00">
        <w:rPr>
          <w:rFonts w:ascii="Franklin Gothic Book" w:hAnsi="Franklin Gothic Book"/>
          <w:i/>
          <w:iCs/>
          <w:sz w:val="22"/>
        </w:rPr>
        <w:t>FGFR2</w:t>
      </w:r>
      <w:r w:rsidR="003F6B08" w:rsidRPr="74465C00">
        <w:rPr>
          <w:rFonts w:ascii="Franklin Gothic Book" w:hAnsi="Franklin Gothic Book"/>
          <w:sz w:val="22"/>
        </w:rPr>
        <w:t xml:space="preserve"> fusion or rearrangement</w:t>
      </w:r>
      <w:r w:rsidR="00863952" w:rsidRPr="74465C00">
        <w:rPr>
          <w:rFonts w:ascii="Franklin Gothic Book" w:hAnsi="Franklin Gothic Book"/>
          <w:sz w:val="22"/>
        </w:rPr>
        <w:t>.</w:t>
      </w:r>
      <w:r w:rsidR="00AF1262">
        <w:rPr>
          <w:rFonts w:ascii="Franklin Gothic Book" w:hAnsi="Franklin Gothic Book"/>
          <w:sz w:val="22"/>
        </w:rPr>
        <w:t xml:space="preserve"> </w:t>
      </w:r>
      <w:r w:rsidR="00AF1262" w:rsidRPr="00AF1262">
        <w:rPr>
          <w:rFonts w:ascii="Franklin Gothic Book" w:hAnsi="Franklin Gothic Book"/>
          <w:sz w:val="22"/>
        </w:rPr>
        <w:t xml:space="preserve">The PBAC </w:t>
      </w:r>
      <w:r w:rsidR="00D27648">
        <w:rPr>
          <w:rFonts w:ascii="Franklin Gothic Book" w:hAnsi="Franklin Gothic Book"/>
          <w:sz w:val="22"/>
        </w:rPr>
        <w:t>considered</w:t>
      </w:r>
      <w:r w:rsidR="00AF1262" w:rsidRPr="00AF1262">
        <w:rPr>
          <w:rFonts w:ascii="Franklin Gothic Book" w:hAnsi="Franklin Gothic Book"/>
          <w:sz w:val="22"/>
        </w:rPr>
        <w:t xml:space="preserve"> that it can be difficult to differentiate between intrahepatic</w:t>
      </w:r>
      <w:r w:rsidR="00F668C1">
        <w:rPr>
          <w:rFonts w:ascii="Franklin Gothic Book" w:hAnsi="Franklin Gothic Book"/>
          <w:sz w:val="22"/>
        </w:rPr>
        <w:t xml:space="preserve"> CCA (iCCA)</w:t>
      </w:r>
      <w:r w:rsidR="00AF1262" w:rsidRPr="00AF1262">
        <w:rPr>
          <w:rFonts w:ascii="Franklin Gothic Book" w:hAnsi="Franklin Gothic Book"/>
          <w:sz w:val="22"/>
        </w:rPr>
        <w:t xml:space="preserve"> and extrahepatic CCA and </w:t>
      </w:r>
      <w:r w:rsidR="00D27648">
        <w:rPr>
          <w:rFonts w:ascii="Franklin Gothic Book" w:hAnsi="Franklin Gothic Book"/>
          <w:sz w:val="22"/>
        </w:rPr>
        <w:t xml:space="preserve">that </w:t>
      </w:r>
      <w:r w:rsidR="00AF1262" w:rsidRPr="00AF1262">
        <w:rPr>
          <w:rFonts w:ascii="Franklin Gothic Book" w:hAnsi="Franklin Gothic Book"/>
          <w:sz w:val="22"/>
        </w:rPr>
        <w:t xml:space="preserve">it was likely futibatinib would provide benefit in the small </w:t>
      </w:r>
      <w:r w:rsidR="00D27648">
        <w:rPr>
          <w:rFonts w:ascii="Franklin Gothic Book" w:hAnsi="Franklin Gothic Book"/>
          <w:sz w:val="22"/>
        </w:rPr>
        <w:t>number</w:t>
      </w:r>
      <w:r w:rsidR="00AF1262" w:rsidRPr="00AF1262">
        <w:rPr>
          <w:rFonts w:ascii="Franklin Gothic Book" w:hAnsi="Franklin Gothic Book"/>
          <w:sz w:val="22"/>
        </w:rPr>
        <w:t xml:space="preserve"> of patients with non-iCCA who have an </w:t>
      </w:r>
      <w:r w:rsidR="00AF1262" w:rsidRPr="00F668C1">
        <w:rPr>
          <w:rFonts w:ascii="Franklin Gothic Book" w:hAnsi="Franklin Gothic Book"/>
          <w:i/>
          <w:iCs/>
          <w:sz w:val="22"/>
        </w:rPr>
        <w:t>FGFR2</w:t>
      </w:r>
      <w:r w:rsidR="00AF1262" w:rsidRPr="00AF1262">
        <w:rPr>
          <w:rFonts w:ascii="Franklin Gothic Book" w:hAnsi="Franklin Gothic Book"/>
          <w:sz w:val="22"/>
        </w:rPr>
        <w:t xml:space="preserve"> fusion or rearrangement.</w:t>
      </w:r>
      <w:r w:rsidR="00863952" w:rsidRPr="74465C00">
        <w:rPr>
          <w:rFonts w:ascii="Franklin Gothic Book" w:hAnsi="Franklin Gothic Book"/>
          <w:sz w:val="22"/>
        </w:rPr>
        <w:t xml:space="preserve"> PBAC</w:t>
      </w:r>
      <w:r w:rsidR="00B51CDB" w:rsidRPr="74465C00">
        <w:rPr>
          <w:rFonts w:ascii="Franklin Gothic Book" w:hAnsi="Franklin Gothic Book"/>
          <w:sz w:val="22"/>
        </w:rPr>
        <w:t xml:space="preserve"> advised that a resubmission</w:t>
      </w:r>
      <w:r w:rsidR="00B401FF" w:rsidRPr="74465C00">
        <w:rPr>
          <w:rFonts w:ascii="Franklin Gothic Book" w:hAnsi="Franklin Gothic Book"/>
          <w:sz w:val="22"/>
        </w:rPr>
        <w:t>,</w:t>
      </w:r>
      <w:r w:rsidR="00B51CDB" w:rsidRPr="74465C00">
        <w:rPr>
          <w:rFonts w:ascii="Franklin Gothic Book" w:hAnsi="Franklin Gothic Book"/>
          <w:sz w:val="22"/>
        </w:rPr>
        <w:t xml:space="preserve"> through an early re-entry pathway</w:t>
      </w:r>
      <w:r w:rsidR="00B401FF" w:rsidRPr="74465C00">
        <w:rPr>
          <w:rFonts w:ascii="Franklin Gothic Book" w:hAnsi="Franklin Gothic Book"/>
          <w:sz w:val="22"/>
        </w:rPr>
        <w:t>,</w:t>
      </w:r>
      <w:r w:rsidR="00B51CDB" w:rsidRPr="74465C00">
        <w:rPr>
          <w:rFonts w:ascii="Franklin Gothic Book" w:hAnsi="Franklin Gothic Book"/>
          <w:sz w:val="22"/>
        </w:rPr>
        <w:t xml:space="preserve"> include a more realistic estimate of the clinical benefit in the economic model and revise utilisation estimates to more accurately reflect the prevalence of CCA and the number of patients with </w:t>
      </w:r>
      <w:r w:rsidR="00B51CDB" w:rsidRPr="74465C00">
        <w:rPr>
          <w:rFonts w:ascii="Franklin Gothic Book" w:hAnsi="Franklin Gothic Book"/>
          <w:i/>
          <w:iCs/>
          <w:sz w:val="22"/>
        </w:rPr>
        <w:t>FGFR2</w:t>
      </w:r>
      <w:r w:rsidR="00B51CDB" w:rsidRPr="74465C00">
        <w:rPr>
          <w:rFonts w:ascii="Franklin Gothic Book" w:hAnsi="Franklin Gothic Book"/>
          <w:sz w:val="22"/>
        </w:rPr>
        <w:t xml:space="preserve"> fusions or rearrangements.</w:t>
      </w:r>
      <w:r w:rsidR="00FA0898" w:rsidRPr="74465C00">
        <w:rPr>
          <w:rFonts w:ascii="Franklin Gothic Book" w:hAnsi="Franklin Gothic Book"/>
          <w:sz w:val="22"/>
        </w:rPr>
        <w:t xml:space="preserve"> </w:t>
      </w:r>
    </w:p>
    <w:p w14:paraId="6525D09E" w14:textId="49F11BF3" w:rsidR="006C6104" w:rsidRDefault="006C6104" w:rsidP="74465C00">
      <w:pPr>
        <w:jc w:val="left"/>
        <w:rPr>
          <w:rFonts w:ascii="Franklin Gothic Book" w:hAnsi="Franklin Gothic Book"/>
          <w:sz w:val="22"/>
        </w:rPr>
      </w:pPr>
      <w:r w:rsidRPr="74465C00">
        <w:rPr>
          <w:rFonts w:ascii="Franklin Gothic Book" w:hAnsi="Franklin Gothic Book"/>
          <w:sz w:val="22"/>
        </w:rPr>
        <w:t xml:space="preserve">MSAC noted that CCA is a rare (1,300 cases in Australia each year) </w:t>
      </w:r>
      <w:r w:rsidR="00F33BB4" w:rsidRPr="74465C00">
        <w:rPr>
          <w:rFonts w:ascii="Franklin Gothic Book" w:hAnsi="Franklin Gothic Book"/>
          <w:sz w:val="22"/>
        </w:rPr>
        <w:t>and</w:t>
      </w:r>
      <w:r w:rsidRPr="74465C00">
        <w:rPr>
          <w:rFonts w:ascii="Franklin Gothic Book" w:hAnsi="Franklin Gothic Book"/>
          <w:sz w:val="22"/>
        </w:rPr>
        <w:t xml:space="preserve"> </w:t>
      </w:r>
      <w:r w:rsidR="00F33BB4" w:rsidRPr="74465C00">
        <w:rPr>
          <w:rFonts w:ascii="Franklin Gothic Book" w:hAnsi="Franklin Gothic Book"/>
          <w:sz w:val="22"/>
        </w:rPr>
        <w:t xml:space="preserve">aggressive </w:t>
      </w:r>
      <w:r w:rsidRPr="74465C00">
        <w:rPr>
          <w:rFonts w:ascii="Franklin Gothic Book" w:hAnsi="Franklin Gothic Book"/>
          <w:sz w:val="22"/>
        </w:rPr>
        <w:t xml:space="preserve">cancer. </w:t>
      </w:r>
      <w:r w:rsidR="00734B05" w:rsidRPr="74465C00">
        <w:rPr>
          <w:rFonts w:ascii="Franklin Gothic Book" w:hAnsi="Franklin Gothic Book"/>
          <w:sz w:val="22"/>
        </w:rPr>
        <w:t>CCA has a median survival of 12 months with m</w:t>
      </w:r>
      <w:r w:rsidRPr="74465C00">
        <w:rPr>
          <w:rFonts w:ascii="Franklin Gothic Book" w:hAnsi="Franklin Gothic Book"/>
          <w:sz w:val="22"/>
        </w:rPr>
        <w:t>ost cases</w:t>
      </w:r>
      <w:r w:rsidR="00CC5557" w:rsidRPr="74465C00">
        <w:rPr>
          <w:rFonts w:ascii="Franklin Gothic Book" w:hAnsi="Franklin Gothic Book"/>
          <w:sz w:val="22"/>
        </w:rPr>
        <w:t xml:space="preserve"> (70%)</w:t>
      </w:r>
      <w:r w:rsidRPr="74465C00">
        <w:rPr>
          <w:rFonts w:ascii="Franklin Gothic Book" w:hAnsi="Franklin Gothic Book"/>
          <w:sz w:val="22"/>
        </w:rPr>
        <w:t xml:space="preserve"> </w:t>
      </w:r>
      <w:r w:rsidR="00734B05" w:rsidRPr="74465C00">
        <w:rPr>
          <w:rFonts w:ascii="Franklin Gothic Book" w:hAnsi="Franklin Gothic Book"/>
          <w:sz w:val="22"/>
        </w:rPr>
        <w:t>being</w:t>
      </w:r>
      <w:r w:rsidRPr="74465C00">
        <w:rPr>
          <w:rFonts w:ascii="Franklin Gothic Book" w:hAnsi="Franklin Gothic Book"/>
          <w:sz w:val="22"/>
        </w:rPr>
        <w:t xml:space="preserve"> diagnosed when already </w:t>
      </w:r>
      <w:r w:rsidR="00CC5557" w:rsidRPr="74465C00">
        <w:rPr>
          <w:rFonts w:ascii="Franklin Gothic Book" w:hAnsi="Franklin Gothic Book"/>
          <w:sz w:val="22"/>
        </w:rPr>
        <w:t xml:space="preserve">at the </w:t>
      </w:r>
      <w:r w:rsidRPr="74465C00">
        <w:rPr>
          <w:rFonts w:ascii="Franklin Gothic Book" w:hAnsi="Franklin Gothic Book"/>
          <w:sz w:val="22"/>
        </w:rPr>
        <w:t>advanced</w:t>
      </w:r>
      <w:r w:rsidR="00CC5557" w:rsidRPr="74465C00">
        <w:rPr>
          <w:rFonts w:ascii="Franklin Gothic Book" w:hAnsi="Franklin Gothic Book"/>
          <w:sz w:val="22"/>
        </w:rPr>
        <w:t xml:space="preserve"> or </w:t>
      </w:r>
      <w:r w:rsidR="00EA3444" w:rsidRPr="74465C00">
        <w:rPr>
          <w:rFonts w:ascii="Franklin Gothic Book" w:hAnsi="Franklin Gothic Book"/>
          <w:sz w:val="22"/>
        </w:rPr>
        <w:t>metastatic stage</w:t>
      </w:r>
      <w:r w:rsidRPr="74465C00">
        <w:rPr>
          <w:rFonts w:ascii="Franklin Gothic Book" w:hAnsi="Franklin Gothic Book"/>
          <w:sz w:val="22"/>
        </w:rPr>
        <w:t xml:space="preserve"> and</w:t>
      </w:r>
      <w:r w:rsidR="00924D69" w:rsidRPr="74465C00">
        <w:rPr>
          <w:rFonts w:ascii="Franklin Gothic Book" w:hAnsi="Franklin Gothic Book"/>
          <w:sz w:val="22"/>
        </w:rPr>
        <w:t xml:space="preserve"> </w:t>
      </w:r>
      <w:r w:rsidRPr="74465C00">
        <w:rPr>
          <w:rFonts w:ascii="Franklin Gothic Book" w:hAnsi="Franklin Gothic Book"/>
          <w:sz w:val="22"/>
        </w:rPr>
        <w:t xml:space="preserve">only 2% </w:t>
      </w:r>
      <w:r w:rsidR="00734B05" w:rsidRPr="74465C00">
        <w:rPr>
          <w:rFonts w:ascii="Franklin Gothic Book" w:hAnsi="Franklin Gothic Book"/>
          <w:sz w:val="22"/>
        </w:rPr>
        <w:t xml:space="preserve">of </w:t>
      </w:r>
      <w:r w:rsidR="00051C1F" w:rsidRPr="74465C00">
        <w:rPr>
          <w:rFonts w:ascii="Franklin Gothic Book" w:hAnsi="Franklin Gothic Book"/>
          <w:sz w:val="22"/>
        </w:rPr>
        <w:t xml:space="preserve">these </w:t>
      </w:r>
      <w:r w:rsidR="00734B05" w:rsidRPr="74465C00">
        <w:rPr>
          <w:rFonts w:ascii="Franklin Gothic Book" w:hAnsi="Franklin Gothic Book"/>
          <w:sz w:val="22"/>
        </w:rPr>
        <w:t xml:space="preserve">patients </w:t>
      </w:r>
      <w:r w:rsidRPr="74465C00">
        <w:rPr>
          <w:rFonts w:ascii="Franklin Gothic Book" w:hAnsi="Franklin Gothic Book"/>
          <w:sz w:val="22"/>
        </w:rPr>
        <w:t>surviving 5 years past diagnosis.</w:t>
      </w:r>
      <w:r w:rsidR="00734B05" w:rsidRPr="74465C00">
        <w:rPr>
          <w:rFonts w:ascii="Franklin Gothic Book" w:hAnsi="Franklin Gothic Book"/>
          <w:sz w:val="22"/>
        </w:rPr>
        <w:t xml:space="preserve"> </w:t>
      </w:r>
      <w:r w:rsidR="00D04956" w:rsidRPr="74465C00">
        <w:rPr>
          <w:rFonts w:ascii="Franklin Gothic Book" w:hAnsi="Franklin Gothic Book"/>
          <w:sz w:val="22"/>
        </w:rPr>
        <w:t xml:space="preserve">As such, </w:t>
      </w:r>
      <w:r w:rsidR="00734B05" w:rsidRPr="74465C00">
        <w:rPr>
          <w:rFonts w:ascii="Franklin Gothic Book" w:hAnsi="Franklin Gothic Book"/>
          <w:sz w:val="22"/>
        </w:rPr>
        <w:t xml:space="preserve">MSAC considered there was a </w:t>
      </w:r>
      <w:r w:rsidR="00785E75" w:rsidRPr="74465C00">
        <w:rPr>
          <w:rFonts w:ascii="Franklin Gothic Book" w:hAnsi="Franklin Gothic Book"/>
          <w:sz w:val="22"/>
        </w:rPr>
        <w:t xml:space="preserve">significant </w:t>
      </w:r>
      <w:r w:rsidR="00F33BB4" w:rsidRPr="74465C00">
        <w:rPr>
          <w:rFonts w:ascii="Franklin Gothic Book" w:hAnsi="Franklin Gothic Book"/>
          <w:sz w:val="22"/>
        </w:rPr>
        <w:t xml:space="preserve">unmet </w:t>
      </w:r>
      <w:r w:rsidR="00785E75" w:rsidRPr="74465C00">
        <w:rPr>
          <w:rFonts w:ascii="Franklin Gothic Book" w:hAnsi="Franklin Gothic Book"/>
          <w:sz w:val="22"/>
        </w:rPr>
        <w:t xml:space="preserve">clinical need </w:t>
      </w:r>
      <w:r w:rsidR="00F33BB4" w:rsidRPr="74465C00">
        <w:rPr>
          <w:rFonts w:ascii="Franklin Gothic Book" w:hAnsi="Franklin Gothic Book"/>
          <w:sz w:val="22"/>
        </w:rPr>
        <w:t>for more effective treatments for the management of</w:t>
      </w:r>
      <w:r w:rsidR="00785E75" w:rsidRPr="74465C00">
        <w:rPr>
          <w:rFonts w:ascii="Franklin Gothic Book" w:hAnsi="Franklin Gothic Book"/>
          <w:sz w:val="22"/>
        </w:rPr>
        <w:t xml:space="preserve"> CCA.</w:t>
      </w:r>
      <w:r w:rsidRPr="74465C00">
        <w:rPr>
          <w:rFonts w:ascii="Franklin Gothic Book" w:hAnsi="Franklin Gothic Book"/>
          <w:sz w:val="22"/>
        </w:rPr>
        <w:t xml:space="preserve"> MSAC noted the applicant-developed assessment report (ADAR) requested </w:t>
      </w:r>
      <w:r w:rsidR="00823121" w:rsidRPr="74465C00">
        <w:rPr>
          <w:rFonts w:ascii="Franklin Gothic Book" w:hAnsi="Franklin Gothic Book"/>
          <w:sz w:val="22"/>
        </w:rPr>
        <w:t xml:space="preserve">testing only </w:t>
      </w:r>
      <w:r w:rsidRPr="74465C00">
        <w:rPr>
          <w:rFonts w:ascii="Franklin Gothic Book" w:hAnsi="Franklin Gothic Book"/>
          <w:sz w:val="22"/>
        </w:rPr>
        <w:t xml:space="preserve">for </w:t>
      </w:r>
      <w:r w:rsidR="004C730F" w:rsidRPr="74465C00">
        <w:rPr>
          <w:rFonts w:ascii="Franklin Gothic Book" w:hAnsi="Franklin Gothic Book"/>
          <w:sz w:val="22"/>
        </w:rPr>
        <w:t xml:space="preserve">adults with </w:t>
      </w:r>
      <w:r w:rsidRPr="74465C00">
        <w:rPr>
          <w:rFonts w:ascii="Franklin Gothic Book" w:hAnsi="Franklin Gothic Book"/>
          <w:sz w:val="22"/>
        </w:rPr>
        <w:t xml:space="preserve">locally advanced or metastatic CCA. However, MSAC considered it appropriate to expand the testing to all newly diagnosed </w:t>
      </w:r>
      <w:r w:rsidR="00F33BB4" w:rsidRPr="74465C00">
        <w:rPr>
          <w:rFonts w:ascii="Franklin Gothic Book" w:hAnsi="Franklin Gothic Book"/>
          <w:sz w:val="22"/>
        </w:rPr>
        <w:t xml:space="preserve">patients with </w:t>
      </w:r>
      <w:r w:rsidRPr="74465C00">
        <w:rPr>
          <w:rFonts w:ascii="Franklin Gothic Book" w:hAnsi="Franklin Gothic Book"/>
          <w:sz w:val="22"/>
        </w:rPr>
        <w:t>CCA</w:t>
      </w:r>
      <w:r w:rsidR="00EA23BB" w:rsidRPr="74465C00">
        <w:rPr>
          <w:rFonts w:ascii="Franklin Gothic Book" w:hAnsi="Franklin Gothic Book"/>
          <w:sz w:val="22"/>
        </w:rPr>
        <w:t xml:space="preserve">, in agreement with </w:t>
      </w:r>
      <w:r w:rsidR="006861EC" w:rsidRPr="74465C00">
        <w:rPr>
          <w:rFonts w:ascii="Franklin Gothic Book" w:hAnsi="Franklin Gothic Book"/>
          <w:sz w:val="22"/>
        </w:rPr>
        <w:t xml:space="preserve">the </w:t>
      </w:r>
      <w:r w:rsidR="00EA23BB" w:rsidRPr="74465C00">
        <w:rPr>
          <w:rFonts w:ascii="Franklin Gothic Book" w:hAnsi="Franklin Gothic Book"/>
          <w:sz w:val="22"/>
        </w:rPr>
        <w:t>ESC</w:t>
      </w:r>
      <w:r w:rsidR="006861EC" w:rsidRPr="74465C00">
        <w:rPr>
          <w:rFonts w:ascii="Franklin Gothic Book" w:hAnsi="Franklin Gothic Book"/>
          <w:sz w:val="22"/>
        </w:rPr>
        <w:t>s</w:t>
      </w:r>
      <w:r w:rsidR="00EA23BB" w:rsidRPr="74465C00">
        <w:rPr>
          <w:rFonts w:ascii="Franklin Gothic Book" w:hAnsi="Franklin Gothic Book"/>
          <w:sz w:val="22"/>
        </w:rPr>
        <w:t xml:space="preserve"> advice, </w:t>
      </w:r>
      <w:r w:rsidR="004E698E" w:rsidRPr="74465C00">
        <w:rPr>
          <w:rFonts w:ascii="Franklin Gothic Book" w:hAnsi="Franklin Gothic Book"/>
          <w:sz w:val="22"/>
        </w:rPr>
        <w:t xml:space="preserve">as CCA is a rapidly progressive disease and therefore testing at diagnosis will prevent any delays </w:t>
      </w:r>
      <w:r w:rsidR="00151CC6" w:rsidRPr="74465C00">
        <w:rPr>
          <w:rFonts w:ascii="Franklin Gothic Book" w:hAnsi="Franklin Gothic Book"/>
          <w:sz w:val="22"/>
        </w:rPr>
        <w:t>and allow</w:t>
      </w:r>
      <w:r w:rsidR="00052C4F" w:rsidRPr="74465C00">
        <w:rPr>
          <w:rFonts w:ascii="Franklin Gothic Book" w:hAnsi="Franklin Gothic Book"/>
          <w:sz w:val="22"/>
        </w:rPr>
        <w:t xml:space="preserve"> swift access to treatment on progression to advanced or metastatic disease.</w:t>
      </w:r>
      <w:r w:rsidRPr="74465C00">
        <w:rPr>
          <w:rFonts w:ascii="Franklin Gothic Book" w:hAnsi="Franklin Gothic Book"/>
          <w:sz w:val="22"/>
        </w:rPr>
        <w:t xml:space="preserve"> MSAC </w:t>
      </w:r>
      <w:r w:rsidR="00F039FA" w:rsidRPr="74465C00">
        <w:rPr>
          <w:rFonts w:ascii="Franklin Gothic Book" w:hAnsi="Franklin Gothic Book"/>
          <w:sz w:val="22"/>
        </w:rPr>
        <w:t>noted that this</w:t>
      </w:r>
      <w:r w:rsidR="00BE5108" w:rsidRPr="74465C00">
        <w:rPr>
          <w:rFonts w:ascii="Franklin Gothic Book" w:hAnsi="Franklin Gothic Book"/>
          <w:sz w:val="22"/>
        </w:rPr>
        <w:t xml:space="preserve"> population</w:t>
      </w:r>
      <w:r w:rsidR="00F039FA" w:rsidRPr="74465C00">
        <w:rPr>
          <w:rFonts w:ascii="Franklin Gothic Book" w:hAnsi="Franklin Gothic Book"/>
          <w:sz w:val="22"/>
        </w:rPr>
        <w:t xml:space="preserve"> also aligns with </w:t>
      </w:r>
      <w:r w:rsidR="00C539CF" w:rsidRPr="74465C00">
        <w:rPr>
          <w:rFonts w:ascii="Franklin Gothic Book" w:hAnsi="Franklin Gothic Book"/>
          <w:sz w:val="22"/>
        </w:rPr>
        <w:t xml:space="preserve">testing of CCA patients for </w:t>
      </w:r>
      <w:r w:rsidR="00C539CF" w:rsidRPr="74465C00">
        <w:rPr>
          <w:rFonts w:ascii="Franklin Gothic Book" w:hAnsi="Franklin Gothic Book"/>
          <w:i/>
          <w:iCs/>
          <w:sz w:val="22"/>
        </w:rPr>
        <w:t>IDH1</w:t>
      </w:r>
      <w:r w:rsidR="00C539CF" w:rsidRPr="74465C00">
        <w:rPr>
          <w:rFonts w:ascii="Franklin Gothic Book" w:hAnsi="Franklin Gothic Book"/>
          <w:sz w:val="22"/>
        </w:rPr>
        <w:t xml:space="preserve"> variant</w:t>
      </w:r>
      <w:r w:rsidR="00BE5108" w:rsidRPr="74465C00">
        <w:rPr>
          <w:rFonts w:ascii="Franklin Gothic Book" w:hAnsi="Franklin Gothic Book"/>
          <w:sz w:val="22"/>
        </w:rPr>
        <w:t>s</w:t>
      </w:r>
      <w:r w:rsidR="00AE1A99" w:rsidRPr="74465C00">
        <w:rPr>
          <w:rFonts w:ascii="Franklin Gothic Book" w:hAnsi="Franklin Gothic Book"/>
          <w:sz w:val="22"/>
        </w:rPr>
        <w:t>, which MSAC supported at its November 2024 meeting</w:t>
      </w:r>
      <w:r w:rsidR="00BE5108" w:rsidRPr="74465C00">
        <w:rPr>
          <w:rFonts w:ascii="Franklin Gothic Book" w:hAnsi="Franklin Gothic Book"/>
          <w:sz w:val="22"/>
        </w:rPr>
        <w:t xml:space="preserve"> (MSAC application 1750)</w:t>
      </w:r>
      <w:r w:rsidRPr="74465C00">
        <w:rPr>
          <w:rFonts w:ascii="Franklin Gothic Book" w:hAnsi="Franklin Gothic Book"/>
          <w:sz w:val="22"/>
        </w:rPr>
        <w:t xml:space="preserve">. </w:t>
      </w:r>
      <w:r w:rsidR="00A85977" w:rsidRPr="74465C00">
        <w:rPr>
          <w:rFonts w:ascii="Franklin Gothic Book" w:hAnsi="Franklin Gothic Book"/>
          <w:sz w:val="22"/>
        </w:rPr>
        <w:t xml:space="preserve">MSAC considered that given there is no </w:t>
      </w:r>
      <w:r w:rsidR="00BE3152" w:rsidRPr="74465C00">
        <w:rPr>
          <w:rFonts w:ascii="Franklin Gothic Book" w:hAnsi="Franklin Gothic Book"/>
          <w:sz w:val="22"/>
        </w:rPr>
        <w:t>definitive</w:t>
      </w:r>
      <w:r w:rsidR="00A85977" w:rsidRPr="74465C00">
        <w:rPr>
          <w:rFonts w:ascii="Franklin Gothic Book" w:hAnsi="Franklin Gothic Book"/>
          <w:sz w:val="22"/>
        </w:rPr>
        <w:t xml:space="preserve"> </w:t>
      </w:r>
      <w:r w:rsidR="2FB324ED" w:rsidRPr="74465C00">
        <w:rPr>
          <w:rFonts w:ascii="Franklin Gothic Book" w:hAnsi="Franklin Gothic Book"/>
          <w:sz w:val="22"/>
        </w:rPr>
        <w:t xml:space="preserve">histological </w:t>
      </w:r>
      <w:r w:rsidR="00A85977" w:rsidRPr="74465C00">
        <w:rPr>
          <w:rFonts w:ascii="Franklin Gothic Book" w:hAnsi="Franklin Gothic Book"/>
          <w:sz w:val="22"/>
        </w:rPr>
        <w:t>marker for CCA, it can be difficult to distinguish CCA and other adenocarcinomas which occur at nearby sites, such as pancreatic cancer and cancers of unknown primary</w:t>
      </w:r>
      <w:r w:rsidR="00A46D85" w:rsidRPr="74465C00">
        <w:rPr>
          <w:rFonts w:ascii="Franklin Gothic Book" w:hAnsi="Franklin Gothic Book"/>
          <w:sz w:val="22"/>
        </w:rPr>
        <w:t xml:space="preserve">. </w:t>
      </w:r>
      <w:r w:rsidR="00EB6F44" w:rsidRPr="74465C00">
        <w:rPr>
          <w:rFonts w:ascii="Franklin Gothic Book" w:hAnsi="Franklin Gothic Book"/>
          <w:sz w:val="22"/>
        </w:rPr>
        <w:t>Due to this diagnostic uncertainty</w:t>
      </w:r>
      <w:r w:rsidR="00A46D85" w:rsidRPr="74465C00">
        <w:rPr>
          <w:rFonts w:ascii="Franklin Gothic Book" w:hAnsi="Franklin Gothic Book"/>
          <w:sz w:val="22"/>
        </w:rPr>
        <w:t xml:space="preserve">, MSAC considered that there is a risk that </w:t>
      </w:r>
      <w:r w:rsidR="00EB6F44" w:rsidRPr="74465C00">
        <w:rPr>
          <w:rFonts w:ascii="Franklin Gothic Book" w:hAnsi="Franklin Gothic Book"/>
          <w:sz w:val="22"/>
        </w:rPr>
        <w:t xml:space="preserve">the use of </w:t>
      </w:r>
      <w:r w:rsidR="00A46D85" w:rsidRPr="74465C00">
        <w:rPr>
          <w:rFonts w:ascii="Franklin Gothic Book" w:hAnsi="Franklin Gothic Book"/>
          <w:i/>
          <w:iCs/>
          <w:sz w:val="22"/>
        </w:rPr>
        <w:t>FGFR2</w:t>
      </w:r>
      <w:r w:rsidR="00A46D85" w:rsidRPr="74465C00">
        <w:rPr>
          <w:rFonts w:ascii="Franklin Gothic Book" w:hAnsi="Franklin Gothic Book"/>
          <w:sz w:val="22"/>
        </w:rPr>
        <w:t xml:space="preserve"> testing may</w:t>
      </w:r>
      <w:r w:rsidR="00EB6F44" w:rsidRPr="74465C00">
        <w:rPr>
          <w:rFonts w:ascii="Franklin Gothic Book" w:hAnsi="Franklin Gothic Book"/>
          <w:sz w:val="22"/>
        </w:rPr>
        <w:t xml:space="preserve"> </w:t>
      </w:r>
      <w:r w:rsidR="00A46D85" w:rsidRPr="74465C00">
        <w:rPr>
          <w:rFonts w:ascii="Franklin Gothic Book" w:hAnsi="Franklin Gothic Book"/>
          <w:sz w:val="22"/>
        </w:rPr>
        <w:t xml:space="preserve">be </w:t>
      </w:r>
      <w:r w:rsidR="00EB6F44" w:rsidRPr="74465C00">
        <w:rPr>
          <w:rFonts w:ascii="Franklin Gothic Book" w:hAnsi="Franklin Gothic Book"/>
          <w:sz w:val="22"/>
        </w:rPr>
        <w:t>higher than expected</w:t>
      </w:r>
      <w:r w:rsidR="00863952" w:rsidRPr="74465C00">
        <w:rPr>
          <w:rFonts w:ascii="Franklin Gothic Book" w:hAnsi="Franklin Gothic Book"/>
          <w:sz w:val="22"/>
        </w:rPr>
        <w:t xml:space="preserve"> (due to </w:t>
      </w:r>
      <w:r w:rsidR="00863952" w:rsidRPr="74465C00">
        <w:rPr>
          <w:rFonts w:ascii="Franklin Gothic Book" w:hAnsi="Franklin Gothic Book"/>
          <w:sz w:val="22"/>
        </w:rPr>
        <w:lastRenderedPageBreak/>
        <w:t>testing non-CCA tumours which are presumed to be CCA)</w:t>
      </w:r>
      <w:r w:rsidR="00EB6F44" w:rsidRPr="74465C00">
        <w:rPr>
          <w:rFonts w:ascii="Franklin Gothic Book" w:hAnsi="Franklin Gothic Book"/>
          <w:sz w:val="22"/>
        </w:rPr>
        <w:t xml:space="preserve"> </w:t>
      </w:r>
      <w:r w:rsidR="0001464D" w:rsidRPr="74465C00">
        <w:rPr>
          <w:rFonts w:ascii="Franklin Gothic Book" w:hAnsi="Franklin Gothic Book"/>
          <w:sz w:val="22"/>
        </w:rPr>
        <w:t>and considered that the economic and financial assessment should take this into account</w:t>
      </w:r>
      <w:r w:rsidR="00B02D9D" w:rsidRPr="74465C00">
        <w:rPr>
          <w:rFonts w:ascii="Franklin Gothic Book" w:hAnsi="Franklin Gothic Book"/>
          <w:sz w:val="22"/>
        </w:rPr>
        <w:t xml:space="preserve"> and post implementation monitoring may be appropriate to review test and drug usage.</w:t>
      </w:r>
    </w:p>
    <w:p w14:paraId="28B82570" w14:textId="794022DE" w:rsidR="00441C85" w:rsidRDefault="006C6104" w:rsidP="006C6104">
      <w:pPr>
        <w:jc w:val="left"/>
        <w:rPr>
          <w:rFonts w:ascii="Franklin Gothic Book" w:hAnsi="Franklin Gothic Book"/>
          <w:sz w:val="22"/>
        </w:rPr>
      </w:pPr>
      <w:r w:rsidRPr="006C6104">
        <w:rPr>
          <w:rFonts w:ascii="Franklin Gothic Book" w:hAnsi="Franklin Gothic Book"/>
          <w:sz w:val="22"/>
        </w:rPr>
        <w:t xml:space="preserve">MSAC noted that the proposed test was next-generation sequencing (NGS) of the </w:t>
      </w:r>
      <w:r w:rsidRPr="00032EA4">
        <w:rPr>
          <w:rFonts w:ascii="Franklin Gothic Book" w:hAnsi="Franklin Gothic Book"/>
          <w:i/>
          <w:iCs/>
          <w:sz w:val="22"/>
        </w:rPr>
        <w:t>FGFR2</w:t>
      </w:r>
      <w:r w:rsidRPr="006C6104">
        <w:rPr>
          <w:rFonts w:ascii="Franklin Gothic Book" w:hAnsi="Franklin Gothic Book"/>
          <w:sz w:val="22"/>
        </w:rPr>
        <w:t xml:space="preserve"> gene to detect fusions </w:t>
      </w:r>
      <w:r w:rsidR="0001464D">
        <w:rPr>
          <w:rFonts w:ascii="Franklin Gothic Book" w:hAnsi="Franklin Gothic Book"/>
          <w:sz w:val="22"/>
        </w:rPr>
        <w:t>and</w:t>
      </w:r>
      <w:r w:rsidR="0001464D" w:rsidRPr="006C6104">
        <w:rPr>
          <w:rFonts w:ascii="Franklin Gothic Book" w:hAnsi="Franklin Gothic Book"/>
          <w:sz w:val="22"/>
        </w:rPr>
        <w:t xml:space="preserve"> </w:t>
      </w:r>
      <w:r w:rsidRPr="006C6104">
        <w:rPr>
          <w:rFonts w:ascii="Franklin Gothic Book" w:hAnsi="Franklin Gothic Book"/>
          <w:sz w:val="22"/>
        </w:rPr>
        <w:t xml:space="preserve">rearrangements. </w:t>
      </w:r>
      <w:r w:rsidR="00C4706D">
        <w:rPr>
          <w:rFonts w:ascii="Franklin Gothic Book" w:hAnsi="Franklin Gothic Book"/>
          <w:sz w:val="22"/>
        </w:rPr>
        <w:t>MSAC noted d</w:t>
      </w:r>
      <w:r w:rsidRPr="006C6104">
        <w:rPr>
          <w:rFonts w:ascii="Franklin Gothic Book" w:hAnsi="Franklin Gothic Book"/>
          <w:sz w:val="22"/>
        </w:rPr>
        <w:t xml:space="preserve">etecting </w:t>
      </w:r>
      <w:r w:rsidRPr="00032EA4">
        <w:rPr>
          <w:rFonts w:ascii="Franklin Gothic Book" w:hAnsi="Franklin Gothic Book"/>
          <w:i/>
          <w:iCs/>
          <w:sz w:val="22"/>
        </w:rPr>
        <w:t>FGFR2</w:t>
      </w:r>
      <w:r w:rsidRPr="006C6104">
        <w:rPr>
          <w:rFonts w:ascii="Franklin Gothic Book" w:hAnsi="Franklin Gothic Book"/>
          <w:sz w:val="22"/>
        </w:rPr>
        <w:t xml:space="preserve"> fusions is technically challenging because of the large number of possible fusion partners (&gt;140 detected to date), some of which are within the same chromosome or are intragenic.</w:t>
      </w:r>
      <w:r w:rsidR="00C40DFD">
        <w:rPr>
          <w:rFonts w:ascii="Franklin Gothic Book" w:hAnsi="Franklin Gothic Book"/>
          <w:sz w:val="22"/>
        </w:rPr>
        <w:t xml:space="preserve"> Due to the large number of possible fusion partners, MSAC considered </w:t>
      </w:r>
      <w:r w:rsidR="00765C84">
        <w:rPr>
          <w:rFonts w:ascii="Franklin Gothic Book" w:hAnsi="Franklin Gothic Book"/>
          <w:sz w:val="22"/>
        </w:rPr>
        <w:t>that current evidence</w:t>
      </w:r>
      <w:bookmarkStart w:id="2" w:name="_Ref197436858"/>
      <w:r w:rsidR="00E85B28">
        <w:rPr>
          <w:rStyle w:val="FootnoteReference"/>
          <w:rFonts w:ascii="Franklin Gothic Book" w:hAnsi="Franklin Gothic Book"/>
          <w:sz w:val="22"/>
        </w:rPr>
        <w:footnoteReference w:id="2"/>
      </w:r>
      <w:bookmarkEnd w:id="2"/>
      <w:r w:rsidR="00E85B28" w:rsidRPr="00E85B28">
        <w:rPr>
          <w:rFonts w:ascii="Franklin Gothic Book" w:hAnsi="Franklin Gothic Book"/>
          <w:sz w:val="22"/>
          <w:vertAlign w:val="superscript"/>
        </w:rPr>
        <w:t>,</w:t>
      </w:r>
      <w:r w:rsidR="00E85B28">
        <w:rPr>
          <w:rStyle w:val="FootnoteReference"/>
          <w:rFonts w:ascii="Franklin Gothic Book" w:hAnsi="Franklin Gothic Book"/>
          <w:sz w:val="22"/>
        </w:rPr>
        <w:footnoteReference w:id="3"/>
      </w:r>
      <w:r w:rsidR="00E85B28">
        <w:rPr>
          <w:rFonts w:ascii="Franklin Gothic Book" w:hAnsi="Franklin Gothic Book"/>
          <w:sz w:val="22"/>
        </w:rPr>
        <w:t xml:space="preserve"> </w:t>
      </w:r>
      <w:r w:rsidR="00765C84">
        <w:rPr>
          <w:rFonts w:ascii="Franklin Gothic Book" w:hAnsi="Franklin Gothic Book"/>
          <w:sz w:val="22"/>
        </w:rPr>
        <w:t xml:space="preserve">strongly supports </w:t>
      </w:r>
      <w:r w:rsidR="00C40DFD">
        <w:rPr>
          <w:rFonts w:ascii="Franklin Gothic Book" w:hAnsi="Franklin Gothic Book"/>
          <w:sz w:val="22"/>
        </w:rPr>
        <w:t xml:space="preserve">a fusion partner agnostic </w:t>
      </w:r>
      <w:r w:rsidR="00843E85">
        <w:rPr>
          <w:rFonts w:ascii="Franklin Gothic Book" w:hAnsi="Franklin Gothic Book"/>
          <w:sz w:val="22"/>
        </w:rPr>
        <w:t xml:space="preserve">testing </w:t>
      </w:r>
      <w:r w:rsidR="00C40DFD">
        <w:rPr>
          <w:rFonts w:ascii="Franklin Gothic Book" w:hAnsi="Franklin Gothic Book"/>
          <w:sz w:val="22"/>
        </w:rPr>
        <w:t xml:space="preserve">approach </w:t>
      </w:r>
      <w:r w:rsidR="00843E85">
        <w:rPr>
          <w:rFonts w:ascii="Franklin Gothic Book" w:hAnsi="Franklin Gothic Book"/>
          <w:sz w:val="22"/>
        </w:rPr>
        <w:t>and</w:t>
      </w:r>
      <w:r w:rsidR="00843E85" w:rsidRPr="006C6104">
        <w:rPr>
          <w:rFonts w:ascii="Franklin Gothic Book" w:hAnsi="Franklin Gothic Book"/>
          <w:sz w:val="22"/>
        </w:rPr>
        <w:t xml:space="preserve"> that </w:t>
      </w:r>
      <w:r w:rsidR="00843E85">
        <w:rPr>
          <w:rFonts w:ascii="Franklin Gothic Book" w:hAnsi="Franklin Gothic Book"/>
          <w:sz w:val="22"/>
        </w:rPr>
        <w:t xml:space="preserve">an </w:t>
      </w:r>
      <w:r w:rsidR="00843E85" w:rsidRPr="006C6104">
        <w:rPr>
          <w:rFonts w:ascii="Franklin Gothic Book" w:hAnsi="Franklin Gothic Book"/>
          <w:sz w:val="22"/>
        </w:rPr>
        <w:t xml:space="preserve">amplicon-based </w:t>
      </w:r>
      <w:r w:rsidR="00843E85">
        <w:rPr>
          <w:rFonts w:ascii="Franklin Gothic Book" w:hAnsi="Franklin Gothic Book"/>
          <w:sz w:val="22"/>
        </w:rPr>
        <w:t>approach</w:t>
      </w:r>
      <w:r w:rsidR="00843E85" w:rsidRPr="006C6104">
        <w:rPr>
          <w:rFonts w:ascii="Franklin Gothic Book" w:hAnsi="Franklin Gothic Book"/>
          <w:sz w:val="22"/>
        </w:rPr>
        <w:t xml:space="preserve"> </w:t>
      </w:r>
      <w:r w:rsidR="00843E85">
        <w:rPr>
          <w:rFonts w:ascii="Franklin Gothic Book" w:hAnsi="Franklin Gothic Book"/>
          <w:sz w:val="22"/>
        </w:rPr>
        <w:t>is</w:t>
      </w:r>
      <w:r w:rsidR="00843E85" w:rsidRPr="006C6104">
        <w:rPr>
          <w:rFonts w:ascii="Franklin Gothic Book" w:hAnsi="Franklin Gothic Book"/>
          <w:sz w:val="22"/>
        </w:rPr>
        <w:t xml:space="preserve"> </w:t>
      </w:r>
      <w:r w:rsidR="00765C84">
        <w:rPr>
          <w:rFonts w:ascii="Franklin Gothic Book" w:hAnsi="Franklin Gothic Book"/>
          <w:sz w:val="22"/>
        </w:rPr>
        <w:t>suboptimal</w:t>
      </w:r>
      <w:r w:rsidR="00843E85" w:rsidRPr="006C6104">
        <w:rPr>
          <w:rFonts w:ascii="Franklin Gothic Book" w:hAnsi="Franklin Gothic Book"/>
          <w:sz w:val="22"/>
        </w:rPr>
        <w:t xml:space="preserve"> as </w:t>
      </w:r>
      <w:r w:rsidR="00843E85">
        <w:rPr>
          <w:rFonts w:ascii="Franklin Gothic Book" w:hAnsi="Franklin Gothic Book"/>
          <w:sz w:val="22"/>
        </w:rPr>
        <w:t>it is</w:t>
      </w:r>
      <w:r w:rsidR="00843E85" w:rsidRPr="006C6104">
        <w:rPr>
          <w:rFonts w:ascii="Franklin Gothic Book" w:hAnsi="Franklin Gothic Book"/>
          <w:sz w:val="22"/>
        </w:rPr>
        <w:t xml:space="preserve"> limited to a predefined set of fusions determined by the primer design.</w:t>
      </w:r>
      <w:r w:rsidR="00843E85">
        <w:rPr>
          <w:rFonts w:ascii="Franklin Gothic Book" w:hAnsi="Franklin Gothic Book"/>
          <w:sz w:val="22"/>
        </w:rPr>
        <w:t xml:space="preserve"> </w:t>
      </w:r>
      <w:r w:rsidR="00843E85" w:rsidRPr="006C6104">
        <w:rPr>
          <w:rFonts w:ascii="Franklin Gothic Book" w:hAnsi="Franklin Gothic Book"/>
          <w:sz w:val="22"/>
        </w:rPr>
        <w:t xml:space="preserve">MSAC </w:t>
      </w:r>
      <w:r w:rsidR="00843E85">
        <w:rPr>
          <w:rFonts w:ascii="Franklin Gothic Book" w:hAnsi="Franklin Gothic Book"/>
          <w:sz w:val="22"/>
        </w:rPr>
        <w:t xml:space="preserve">also </w:t>
      </w:r>
      <w:r w:rsidR="00843E85" w:rsidRPr="006C6104">
        <w:rPr>
          <w:rFonts w:ascii="Franklin Gothic Book" w:hAnsi="Franklin Gothic Book"/>
          <w:sz w:val="22"/>
        </w:rPr>
        <w:t xml:space="preserve">considered the use of fluorescent in-situ hybridisation (FISH) assays for this testing to be inappropriate because such assays </w:t>
      </w:r>
      <w:r w:rsidR="00843E85">
        <w:rPr>
          <w:rFonts w:ascii="Franklin Gothic Book" w:hAnsi="Franklin Gothic Book"/>
          <w:sz w:val="22"/>
        </w:rPr>
        <w:t>have a poor performance in detecting</w:t>
      </w:r>
      <w:r w:rsidR="00843E85" w:rsidRPr="006C6104">
        <w:rPr>
          <w:rFonts w:ascii="Franklin Gothic Book" w:hAnsi="Franklin Gothic Book"/>
          <w:sz w:val="22"/>
        </w:rPr>
        <w:t xml:space="preserve"> rearrangements, particularly </w:t>
      </w:r>
      <w:r w:rsidR="00843E85">
        <w:rPr>
          <w:rFonts w:ascii="Franklin Gothic Book" w:hAnsi="Franklin Gothic Book"/>
          <w:sz w:val="22"/>
        </w:rPr>
        <w:t>rearrangements which are spatially closer to each other</w:t>
      </w:r>
      <w:r w:rsidR="00843E85" w:rsidRPr="006C6104">
        <w:rPr>
          <w:rFonts w:ascii="Franklin Gothic Book" w:hAnsi="Franklin Gothic Book"/>
          <w:sz w:val="22"/>
        </w:rPr>
        <w:t>.</w:t>
      </w:r>
      <w:r w:rsidRPr="006C6104">
        <w:rPr>
          <w:rFonts w:ascii="Franklin Gothic Book" w:hAnsi="Franklin Gothic Book"/>
          <w:sz w:val="22"/>
        </w:rPr>
        <w:t xml:space="preserve"> </w:t>
      </w:r>
    </w:p>
    <w:p w14:paraId="69A24573" w14:textId="563C4CDA" w:rsidR="006C6104" w:rsidRPr="006C6104" w:rsidRDefault="006C6104" w:rsidP="006C6104">
      <w:pPr>
        <w:jc w:val="left"/>
        <w:rPr>
          <w:rFonts w:ascii="Franklin Gothic Book" w:hAnsi="Franklin Gothic Book"/>
          <w:sz w:val="22"/>
        </w:rPr>
      </w:pPr>
      <w:r w:rsidRPr="006C6104">
        <w:rPr>
          <w:rFonts w:ascii="Franklin Gothic Book" w:hAnsi="Franklin Gothic Book"/>
          <w:sz w:val="22"/>
        </w:rPr>
        <w:t xml:space="preserve">MSAC noted </w:t>
      </w:r>
      <w:r w:rsidR="0014291F">
        <w:rPr>
          <w:rFonts w:ascii="Franklin Gothic Book" w:hAnsi="Franklin Gothic Book"/>
          <w:sz w:val="22"/>
        </w:rPr>
        <w:t>from</w:t>
      </w:r>
      <w:r w:rsidR="0014291F" w:rsidRPr="006C6104">
        <w:rPr>
          <w:rFonts w:ascii="Franklin Gothic Book" w:hAnsi="Franklin Gothic Book"/>
          <w:sz w:val="22"/>
        </w:rPr>
        <w:t xml:space="preserve"> </w:t>
      </w:r>
      <w:r w:rsidRPr="006C6104">
        <w:rPr>
          <w:rFonts w:ascii="Franklin Gothic Book" w:hAnsi="Franklin Gothic Book"/>
          <w:sz w:val="22"/>
        </w:rPr>
        <w:t xml:space="preserve">the clinical evidence </w:t>
      </w:r>
      <w:r w:rsidR="0014291F">
        <w:rPr>
          <w:rFonts w:ascii="Franklin Gothic Book" w:hAnsi="Franklin Gothic Book"/>
          <w:sz w:val="22"/>
        </w:rPr>
        <w:t xml:space="preserve">presented in the ADAR </w:t>
      </w:r>
      <w:r w:rsidRPr="006C6104">
        <w:rPr>
          <w:rFonts w:ascii="Franklin Gothic Book" w:hAnsi="Franklin Gothic Book"/>
          <w:sz w:val="22"/>
        </w:rPr>
        <w:t>that</w:t>
      </w:r>
      <w:r w:rsidR="0014291F">
        <w:rPr>
          <w:rFonts w:ascii="Franklin Gothic Book" w:hAnsi="Franklin Gothic Book"/>
          <w:sz w:val="22"/>
        </w:rPr>
        <w:t xml:space="preserve"> the concordance between</w:t>
      </w:r>
      <w:r w:rsidRPr="006C6104">
        <w:rPr>
          <w:rFonts w:ascii="Franklin Gothic Book" w:hAnsi="Franklin Gothic Book"/>
          <w:sz w:val="22"/>
        </w:rPr>
        <w:t xml:space="preserve"> NGS on </w:t>
      </w:r>
      <w:r w:rsidR="0014291F">
        <w:rPr>
          <w:rFonts w:ascii="Franklin Gothic Book" w:hAnsi="Franklin Gothic Book"/>
          <w:sz w:val="22"/>
        </w:rPr>
        <w:t>D</w:t>
      </w:r>
      <w:r w:rsidRPr="006C6104">
        <w:rPr>
          <w:rFonts w:ascii="Franklin Gothic Book" w:hAnsi="Franklin Gothic Book"/>
          <w:sz w:val="22"/>
        </w:rPr>
        <w:t>NA</w:t>
      </w:r>
      <w:r w:rsidR="00FF3890">
        <w:rPr>
          <w:rFonts w:ascii="Franklin Gothic Book" w:hAnsi="Franklin Gothic Book"/>
          <w:sz w:val="22"/>
        </w:rPr>
        <w:t xml:space="preserve"> (clinical utility standard)</w:t>
      </w:r>
      <w:r w:rsidR="0014291F">
        <w:rPr>
          <w:rFonts w:ascii="Franklin Gothic Book" w:hAnsi="Franklin Gothic Book"/>
          <w:sz w:val="22"/>
        </w:rPr>
        <w:t xml:space="preserve"> and NGS on RNA is high </w:t>
      </w:r>
      <w:r w:rsidR="0014291F" w:rsidRPr="006C6104">
        <w:rPr>
          <w:rFonts w:ascii="Franklin Gothic Book" w:hAnsi="Franklin Gothic Book"/>
          <w:sz w:val="22"/>
        </w:rPr>
        <w:t>(overall percentage agreement = 98.3%</w:t>
      </w:r>
      <w:r w:rsidR="0014291F">
        <w:rPr>
          <w:rFonts w:ascii="Franklin Gothic Book" w:hAnsi="Franklin Gothic Book"/>
          <w:sz w:val="22"/>
        </w:rPr>
        <w:t xml:space="preserve"> [95% CI 93.3-99.8%]</w:t>
      </w:r>
      <w:r w:rsidR="0014291F" w:rsidRPr="006C6104">
        <w:rPr>
          <w:rFonts w:ascii="Franklin Gothic Book" w:hAnsi="Franklin Gothic Book"/>
          <w:sz w:val="22"/>
        </w:rPr>
        <w:t>, adjusted positive predicted value</w:t>
      </w:r>
      <w:r w:rsidR="0014291F">
        <w:rPr>
          <w:rFonts w:ascii="Franklin Gothic Book" w:hAnsi="Franklin Gothic Book"/>
          <w:sz w:val="22"/>
        </w:rPr>
        <w:t xml:space="preserve"> </w:t>
      </w:r>
      <w:r w:rsidR="0014291F" w:rsidRPr="006C6104">
        <w:rPr>
          <w:rFonts w:ascii="Franklin Gothic Book" w:hAnsi="Franklin Gothic Book"/>
          <w:sz w:val="22"/>
        </w:rPr>
        <w:t>= 96.2% [</w:t>
      </w:r>
      <w:r w:rsidR="0014291F">
        <w:rPr>
          <w:rFonts w:ascii="Franklin Gothic Book" w:hAnsi="Franklin Gothic Book"/>
          <w:sz w:val="22"/>
        </w:rPr>
        <w:t xml:space="preserve">95% CI </w:t>
      </w:r>
      <w:r w:rsidR="0014291F" w:rsidRPr="006C6104">
        <w:rPr>
          <w:rFonts w:ascii="Franklin Gothic Book" w:hAnsi="Franklin Gothic Book"/>
          <w:sz w:val="22"/>
        </w:rPr>
        <w:t>80.4–99.9] and adjusted negative predictive value = 98.5% [</w:t>
      </w:r>
      <w:r w:rsidR="0014291F">
        <w:rPr>
          <w:rFonts w:ascii="Franklin Gothic Book" w:hAnsi="Franklin Gothic Book"/>
          <w:sz w:val="22"/>
        </w:rPr>
        <w:t xml:space="preserve">95% CI </w:t>
      </w:r>
      <w:r w:rsidR="0014291F" w:rsidRPr="006C6104">
        <w:rPr>
          <w:rFonts w:ascii="Franklin Gothic Book" w:hAnsi="Franklin Gothic Book"/>
          <w:sz w:val="22"/>
        </w:rPr>
        <w:t>94.6–99.8])</w:t>
      </w:r>
      <w:r w:rsidR="00C40DFD">
        <w:rPr>
          <w:rFonts w:ascii="Franklin Gothic Book" w:hAnsi="Franklin Gothic Book"/>
          <w:sz w:val="22"/>
        </w:rPr>
        <w:t>. MSAC also noted from the evidence that</w:t>
      </w:r>
      <w:r w:rsidRPr="006C6104">
        <w:rPr>
          <w:rFonts w:ascii="Franklin Gothic Book" w:hAnsi="Franklin Gothic Book"/>
          <w:sz w:val="22"/>
        </w:rPr>
        <w:t xml:space="preserve"> </w:t>
      </w:r>
      <w:r w:rsidR="00C40DFD">
        <w:rPr>
          <w:rFonts w:ascii="Franklin Gothic Book" w:hAnsi="Franklin Gothic Book"/>
          <w:sz w:val="22"/>
        </w:rPr>
        <w:t xml:space="preserve">NGS on RNA </w:t>
      </w:r>
      <w:r w:rsidRPr="006C6104">
        <w:rPr>
          <w:rFonts w:ascii="Franklin Gothic Book" w:hAnsi="Franklin Gothic Book"/>
          <w:sz w:val="22"/>
        </w:rPr>
        <w:t xml:space="preserve">is more likely to identify </w:t>
      </w:r>
      <w:r w:rsidRPr="00FF5E37">
        <w:rPr>
          <w:rFonts w:ascii="Franklin Gothic Book" w:hAnsi="Franklin Gothic Book"/>
          <w:i/>
          <w:iCs/>
          <w:sz w:val="22"/>
        </w:rPr>
        <w:t>FGFR2</w:t>
      </w:r>
      <w:r w:rsidRPr="006C6104">
        <w:rPr>
          <w:rFonts w:ascii="Franklin Gothic Book" w:hAnsi="Franklin Gothic Book"/>
          <w:sz w:val="22"/>
        </w:rPr>
        <w:t xml:space="preserve"> fusions than NGS on DNA</w:t>
      </w:r>
      <w:r w:rsidR="00C40DFD">
        <w:rPr>
          <w:rFonts w:ascii="Franklin Gothic Book" w:hAnsi="Franklin Gothic Book"/>
          <w:sz w:val="22"/>
        </w:rPr>
        <w:t>, and therefore</w:t>
      </w:r>
      <w:r w:rsidR="007B3369">
        <w:rPr>
          <w:rFonts w:ascii="Franklin Gothic Book" w:hAnsi="Franklin Gothic Book"/>
          <w:sz w:val="22"/>
        </w:rPr>
        <w:t>,</w:t>
      </w:r>
      <w:r w:rsidR="00C40DFD">
        <w:rPr>
          <w:rFonts w:ascii="Franklin Gothic Book" w:hAnsi="Franklin Gothic Book"/>
          <w:sz w:val="22"/>
        </w:rPr>
        <w:t xml:space="preserve"> both methodologies may not necessarily detect the same variants</w:t>
      </w:r>
      <w:r w:rsidRPr="006C6104">
        <w:rPr>
          <w:rFonts w:ascii="Franklin Gothic Book" w:hAnsi="Franklin Gothic Book"/>
          <w:sz w:val="22"/>
        </w:rPr>
        <w:t>.</w:t>
      </w:r>
      <w:r w:rsidR="002A34CC">
        <w:rPr>
          <w:rFonts w:ascii="Franklin Gothic Book" w:hAnsi="Franklin Gothic Book"/>
          <w:sz w:val="22"/>
        </w:rPr>
        <w:t xml:space="preserve"> </w:t>
      </w:r>
      <w:r w:rsidR="002A34CC" w:rsidRPr="006C6104">
        <w:rPr>
          <w:rFonts w:ascii="Franklin Gothic Book" w:hAnsi="Franklin Gothic Book"/>
          <w:sz w:val="22"/>
        </w:rPr>
        <w:t xml:space="preserve">MSAC </w:t>
      </w:r>
      <w:r w:rsidR="00C40DFD">
        <w:rPr>
          <w:rFonts w:ascii="Franklin Gothic Book" w:hAnsi="Franklin Gothic Book"/>
          <w:sz w:val="22"/>
        </w:rPr>
        <w:t xml:space="preserve">also </w:t>
      </w:r>
      <w:r w:rsidR="002A34CC" w:rsidRPr="006C6104">
        <w:rPr>
          <w:rFonts w:ascii="Franklin Gothic Book" w:hAnsi="Franklin Gothic Book"/>
          <w:sz w:val="22"/>
        </w:rPr>
        <w:t>noted that DNA is more robust than RNA in formalin-fixed, paraffin-embedded (FFPE) samples, but that DNA testing is computationally challenging, especially for intragenic rearrangements.</w:t>
      </w:r>
      <w:r w:rsidRPr="006C6104">
        <w:rPr>
          <w:rFonts w:ascii="Franklin Gothic Book" w:hAnsi="Franklin Gothic Book"/>
          <w:sz w:val="22"/>
        </w:rPr>
        <w:t xml:space="preserve"> Thus, MSAC agreed with </w:t>
      </w:r>
      <w:r w:rsidR="006861EC">
        <w:rPr>
          <w:rFonts w:ascii="Franklin Gothic Book" w:hAnsi="Franklin Gothic Book"/>
          <w:sz w:val="22"/>
        </w:rPr>
        <w:t xml:space="preserve">the </w:t>
      </w:r>
      <w:r w:rsidRPr="006C6104">
        <w:rPr>
          <w:rFonts w:ascii="Franklin Gothic Book" w:hAnsi="Franklin Gothic Book"/>
          <w:sz w:val="22"/>
        </w:rPr>
        <w:t>ESC</w:t>
      </w:r>
      <w:r w:rsidR="006861EC">
        <w:rPr>
          <w:rFonts w:ascii="Franklin Gothic Book" w:hAnsi="Franklin Gothic Book"/>
          <w:sz w:val="22"/>
        </w:rPr>
        <w:t>s</w:t>
      </w:r>
      <w:r w:rsidR="00677061">
        <w:rPr>
          <w:rFonts w:ascii="Franklin Gothic Book" w:hAnsi="Franklin Gothic Book"/>
          <w:sz w:val="22"/>
        </w:rPr>
        <w:t xml:space="preserve"> advice</w:t>
      </w:r>
      <w:r w:rsidRPr="006C6104">
        <w:rPr>
          <w:rFonts w:ascii="Franklin Gothic Book" w:hAnsi="Franklin Gothic Book"/>
          <w:sz w:val="22"/>
        </w:rPr>
        <w:t xml:space="preserve"> that combination testing of NGS on DNA and RNA would be the most accurate method of detecting </w:t>
      </w:r>
      <w:r w:rsidRPr="00FF5E37">
        <w:rPr>
          <w:rFonts w:ascii="Franklin Gothic Book" w:hAnsi="Franklin Gothic Book"/>
          <w:i/>
          <w:iCs/>
          <w:sz w:val="22"/>
        </w:rPr>
        <w:t>FGFR2</w:t>
      </w:r>
      <w:r w:rsidRPr="006C6104">
        <w:rPr>
          <w:rFonts w:ascii="Franklin Gothic Book" w:hAnsi="Franklin Gothic Book"/>
          <w:sz w:val="22"/>
        </w:rPr>
        <w:t xml:space="preserve"> fusions and rearrangements</w:t>
      </w:r>
      <w:r w:rsidR="00004D80">
        <w:rPr>
          <w:rFonts w:ascii="Franklin Gothic Book" w:hAnsi="Franklin Gothic Book"/>
          <w:sz w:val="22"/>
        </w:rPr>
        <w:t>. MSAC considered</w:t>
      </w:r>
      <w:r w:rsidRPr="006C6104">
        <w:rPr>
          <w:rFonts w:ascii="Franklin Gothic Book" w:hAnsi="Franklin Gothic Book"/>
          <w:sz w:val="22"/>
        </w:rPr>
        <w:t xml:space="preserve"> NGS on RNA</w:t>
      </w:r>
      <w:r w:rsidR="007B3369">
        <w:rPr>
          <w:rFonts w:ascii="Franklin Gothic Book" w:hAnsi="Franklin Gothic Book"/>
          <w:sz w:val="22"/>
        </w:rPr>
        <w:t xml:space="preserve"> or DNA</w:t>
      </w:r>
      <w:r w:rsidRPr="006C6104">
        <w:rPr>
          <w:rFonts w:ascii="Franklin Gothic Book" w:hAnsi="Franklin Gothic Book"/>
          <w:sz w:val="22"/>
        </w:rPr>
        <w:t xml:space="preserve"> the next preferred method if combination testing is not available. </w:t>
      </w:r>
      <w:r w:rsidR="00843E85">
        <w:rPr>
          <w:rFonts w:ascii="Franklin Gothic Book" w:hAnsi="Franklin Gothic Book"/>
          <w:sz w:val="22"/>
        </w:rPr>
        <w:t xml:space="preserve">Regarding NGS on RNA, MSAC considered </w:t>
      </w:r>
      <w:r w:rsidRPr="006C6104">
        <w:rPr>
          <w:rFonts w:ascii="Franklin Gothic Book" w:hAnsi="Franklin Gothic Book"/>
          <w:sz w:val="22"/>
        </w:rPr>
        <w:t>that RNA hybrid-capture fusion testing is preferred</w:t>
      </w:r>
      <w:r w:rsidR="00E85B28">
        <w:rPr>
          <w:rFonts w:ascii="Franklin Gothic Book" w:hAnsi="Franklin Gothic Book"/>
          <w:sz w:val="22"/>
        </w:rPr>
        <w:fldChar w:fldCharType="begin"/>
      </w:r>
      <w:r w:rsidR="00E85B28">
        <w:rPr>
          <w:rFonts w:ascii="Franklin Gothic Book" w:hAnsi="Franklin Gothic Book"/>
          <w:sz w:val="22"/>
        </w:rPr>
        <w:instrText xml:space="preserve"> NOTEREF _Ref197436858 \f </w:instrText>
      </w:r>
      <w:r w:rsidR="00E85B28">
        <w:rPr>
          <w:rFonts w:ascii="Franklin Gothic Book" w:hAnsi="Franklin Gothic Book"/>
          <w:sz w:val="22"/>
        </w:rPr>
        <w:fldChar w:fldCharType="separate"/>
      </w:r>
      <w:r w:rsidR="00E85B28" w:rsidRPr="00E85B28">
        <w:rPr>
          <w:rStyle w:val="FootnoteReference"/>
        </w:rPr>
        <w:t>1</w:t>
      </w:r>
      <w:r w:rsidR="00E85B28">
        <w:rPr>
          <w:rFonts w:ascii="Franklin Gothic Book" w:hAnsi="Franklin Gothic Book"/>
          <w:sz w:val="22"/>
        </w:rPr>
        <w:fldChar w:fldCharType="end"/>
      </w:r>
      <w:r w:rsidR="007B3369">
        <w:rPr>
          <w:rFonts w:ascii="Franklin Gothic Book" w:hAnsi="Franklin Gothic Book"/>
          <w:sz w:val="22"/>
        </w:rPr>
        <w:t>, but recognised that advances in sequencing technology may offer other options in the future</w:t>
      </w:r>
      <w:r w:rsidRPr="006C6104">
        <w:rPr>
          <w:rFonts w:ascii="Franklin Gothic Book" w:hAnsi="Franklin Gothic Book"/>
          <w:sz w:val="22"/>
        </w:rPr>
        <w:t xml:space="preserve">. </w:t>
      </w:r>
    </w:p>
    <w:p w14:paraId="2A5281BE" w14:textId="75409AF0" w:rsidR="00553AE9" w:rsidRDefault="006C6104" w:rsidP="006C6104">
      <w:pPr>
        <w:jc w:val="left"/>
        <w:rPr>
          <w:rFonts w:ascii="Franklin Gothic Book" w:hAnsi="Franklin Gothic Book"/>
          <w:sz w:val="22"/>
        </w:rPr>
      </w:pPr>
      <w:r w:rsidRPr="006C6104">
        <w:rPr>
          <w:rFonts w:ascii="Franklin Gothic Book" w:hAnsi="Franklin Gothic Book"/>
          <w:sz w:val="22"/>
        </w:rPr>
        <w:t xml:space="preserve">MSAC noted that the </w:t>
      </w:r>
      <w:r w:rsidR="00E06D23">
        <w:rPr>
          <w:rFonts w:ascii="Franklin Gothic Book" w:hAnsi="Franklin Gothic Book"/>
          <w:sz w:val="22"/>
        </w:rPr>
        <w:t>ADAR did not</w:t>
      </w:r>
      <w:r w:rsidR="00F76D75">
        <w:rPr>
          <w:rFonts w:ascii="Franklin Gothic Book" w:hAnsi="Franklin Gothic Book"/>
          <w:sz w:val="22"/>
        </w:rPr>
        <w:t xml:space="preserve"> present any information regarding the safety of the test. Given that MSAC advised for </w:t>
      </w:r>
      <w:r w:rsidR="00F76D75" w:rsidRPr="00F76D75">
        <w:rPr>
          <w:rFonts w:ascii="Franklin Gothic Book" w:hAnsi="Franklin Gothic Book"/>
          <w:i/>
          <w:iCs/>
          <w:sz w:val="22"/>
        </w:rPr>
        <w:t>FGFR2</w:t>
      </w:r>
      <w:r w:rsidR="00F76D75">
        <w:rPr>
          <w:rFonts w:ascii="Franklin Gothic Book" w:hAnsi="Franklin Gothic Book"/>
          <w:sz w:val="22"/>
        </w:rPr>
        <w:t xml:space="preserve"> testing to be done at diagnosis, there is unlikely to be any additional safety harms associated with obtaining a biopsy sample for testing, as the same sample already obtained for diagnosis will be used.</w:t>
      </w:r>
      <w:r w:rsidR="00E06D23">
        <w:rPr>
          <w:rFonts w:ascii="Franklin Gothic Book" w:hAnsi="Franklin Gothic Book"/>
          <w:sz w:val="22"/>
        </w:rPr>
        <w:t xml:space="preserve"> </w:t>
      </w:r>
      <w:r w:rsidR="00F76D75">
        <w:rPr>
          <w:rFonts w:ascii="Franklin Gothic Book" w:hAnsi="Franklin Gothic Book"/>
          <w:sz w:val="22"/>
        </w:rPr>
        <w:t xml:space="preserve">However, if a re-biopsy is required for the purpose of obtaining a sample specifically for </w:t>
      </w:r>
      <w:r w:rsidR="00F76D75" w:rsidRPr="00F76D75">
        <w:rPr>
          <w:rFonts w:ascii="Franklin Gothic Book" w:hAnsi="Franklin Gothic Book"/>
          <w:i/>
          <w:iCs/>
          <w:sz w:val="22"/>
        </w:rPr>
        <w:t>FGFR2</w:t>
      </w:r>
      <w:r w:rsidR="00F76D75">
        <w:rPr>
          <w:rFonts w:ascii="Franklin Gothic Book" w:hAnsi="Franklin Gothic Book"/>
          <w:sz w:val="22"/>
        </w:rPr>
        <w:t xml:space="preserve"> testing, there will be associated safety risks which have not been considered in the ADAR.</w:t>
      </w:r>
      <w:r w:rsidR="00282CBA">
        <w:rPr>
          <w:rFonts w:ascii="Franklin Gothic Book" w:hAnsi="Franklin Gothic Book"/>
          <w:sz w:val="22"/>
        </w:rPr>
        <w:t xml:space="preserve"> </w:t>
      </w:r>
      <w:r w:rsidRPr="006C6104">
        <w:rPr>
          <w:rFonts w:ascii="Franklin Gothic Book" w:hAnsi="Franklin Gothic Book"/>
          <w:sz w:val="22"/>
        </w:rPr>
        <w:t>MSAC</w:t>
      </w:r>
      <w:r w:rsidR="003427F5">
        <w:rPr>
          <w:rFonts w:ascii="Franklin Gothic Book" w:hAnsi="Franklin Gothic Book"/>
          <w:sz w:val="22"/>
        </w:rPr>
        <w:t>, however,</w:t>
      </w:r>
      <w:r w:rsidRPr="006C6104">
        <w:rPr>
          <w:rFonts w:ascii="Franklin Gothic Book" w:hAnsi="Franklin Gothic Book"/>
          <w:sz w:val="22"/>
        </w:rPr>
        <w:t xml:space="preserve"> </w:t>
      </w:r>
      <w:r w:rsidR="003427F5">
        <w:rPr>
          <w:rFonts w:ascii="Franklin Gothic Book" w:hAnsi="Franklin Gothic Book"/>
          <w:sz w:val="22"/>
        </w:rPr>
        <w:t>considered</w:t>
      </w:r>
      <w:r w:rsidRPr="006C6104">
        <w:rPr>
          <w:rFonts w:ascii="Franklin Gothic Book" w:hAnsi="Franklin Gothic Book"/>
          <w:sz w:val="22"/>
        </w:rPr>
        <w:t xml:space="preserve"> that </w:t>
      </w:r>
      <w:r w:rsidR="003427F5">
        <w:rPr>
          <w:rFonts w:ascii="Franklin Gothic Book" w:hAnsi="Franklin Gothic Book"/>
          <w:sz w:val="22"/>
        </w:rPr>
        <w:t xml:space="preserve">a </w:t>
      </w:r>
      <w:r w:rsidRPr="006C6104">
        <w:rPr>
          <w:rFonts w:ascii="Franklin Gothic Book" w:hAnsi="Franklin Gothic Book"/>
          <w:sz w:val="22"/>
        </w:rPr>
        <w:t>re</w:t>
      </w:r>
      <w:r w:rsidR="003427F5">
        <w:rPr>
          <w:rFonts w:ascii="Franklin Gothic Book" w:hAnsi="Franklin Gothic Book"/>
          <w:sz w:val="22"/>
        </w:rPr>
        <w:t>-</w:t>
      </w:r>
      <w:r w:rsidRPr="006C6104">
        <w:rPr>
          <w:rFonts w:ascii="Franklin Gothic Book" w:hAnsi="Franklin Gothic Book"/>
          <w:sz w:val="22"/>
        </w:rPr>
        <w:t xml:space="preserve">biopsy </w:t>
      </w:r>
      <w:r w:rsidR="003427F5">
        <w:rPr>
          <w:rFonts w:ascii="Franklin Gothic Book" w:hAnsi="Franklin Gothic Book"/>
          <w:sz w:val="22"/>
        </w:rPr>
        <w:t>would be a rare occurrence</w:t>
      </w:r>
      <w:r w:rsidRPr="006C6104">
        <w:rPr>
          <w:rFonts w:ascii="Franklin Gothic Book" w:hAnsi="Franklin Gothic Book"/>
          <w:sz w:val="22"/>
        </w:rPr>
        <w:t xml:space="preserve"> due to the rapid progression of CCA, which makes most patients too unwell for a re</w:t>
      </w:r>
      <w:r w:rsidR="003427F5">
        <w:rPr>
          <w:rFonts w:ascii="Franklin Gothic Book" w:hAnsi="Franklin Gothic Book"/>
          <w:sz w:val="22"/>
        </w:rPr>
        <w:t>-</w:t>
      </w:r>
      <w:r w:rsidRPr="006C6104">
        <w:rPr>
          <w:rFonts w:ascii="Franklin Gothic Book" w:hAnsi="Franklin Gothic Book"/>
          <w:sz w:val="22"/>
        </w:rPr>
        <w:t xml:space="preserve">biopsy. </w:t>
      </w:r>
      <w:r w:rsidR="005F77BF">
        <w:rPr>
          <w:rFonts w:ascii="Franklin Gothic Book" w:hAnsi="Franklin Gothic Book"/>
          <w:sz w:val="22"/>
        </w:rPr>
        <w:t>As such,</w:t>
      </w:r>
      <w:r w:rsidRPr="006C6104">
        <w:rPr>
          <w:rFonts w:ascii="Franklin Gothic Book" w:hAnsi="Franklin Gothic Book"/>
          <w:sz w:val="22"/>
        </w:rPr>
        <w:t xml:space="preserve"> MSAC </w:t>
      </w:r>
      <w:r w:rsidR="0049128D">
        <w:rPr>
          <w:rFonts w:ascii="Franklin Gothic Book" w:hAnsi="Franklin Gothic Book"/>
          <w:sz w:val="22"/>
        </w:rPr>
        <w:t xml:space="preserve">considered that </w:t>
      </w:r>
      <w:r w:rsidR="003427F5">
        <w:rPr>
          <w:rFonts w:ascii="Franklin Gothic Book" w:hAnsi="Franklin Gothic Book"/>
          <w:sz w:val="22"/>
        </w:rPr>
        <w:t>there would not be significant safety issues due to re-biopsy</w:t>
      </w:r>
      <w:r w:rsidRPr="006C6104">
        <w:rPr>
          <w:rFonts w:ascii="Franklin Gothic Book" w:hAnsi="Franklin Gothic Book"/>
          <w:sz w:val="22"/>
        </w:rPr>
        <w:t xml:space="preserve">. MSAC </w:t>
      </w:r>
      <w:r w:rsidR="00553AE9">
        <w:rPr>
          <w:rFonts w:ascii="Franklin Gothic Book" w:hAnsi="Franklin Gothic Book"/>
          <w:sz w:val="22"/>
        </w:rPr>
        <w:t>noted</w:t>
      </w:r>
      <w:r w:rsidR="00A312C3">
        <w:rPr>
          <w:rFonts w:ascii="Franklin Gothic Book" w:hAnsi="Franklin Gothic Book"/>
          <w:sz w:val="22"/>
        </w:rPr>
        <w:t xml:space="preserve"> that</w:t>
      </w:r>
      <w:r w:rsidR="003427F5">
        <w:rPr>
          <w:rFonts w:ascii="Franklin Gothic Book" w:hAnsi="Franklin Gothic Book"/>
          <w:sz w:val="22"/>
        </w:rPr>
        <w:t xml:space="preserve"> false negative results are more common than false positive results </w:t>
      </w:r>
      <w:r w:rsidRPr="006C6104">
        <w:rPr>
          <w:rFonts w:ascii="Franklin Gothic Book" w:hAnsi="Franklin Gothic Book"/>
          <w:sz w:val="22"/>
        </w:rPr>
        <w:t>due to issues with RNA degradation or insufficient genetic material</w:t>
      </w:r>
      <w:r w:rsidR="006D3179">
        <w:rPr>
          <w:rFonts w:ascii="Franklin Gothic Book" w:hAnsi="Franklin Gothic Book"/>
          <w:sz w:val="22"/>
        </w:rPr>
        <w:t>. However,</w:t>
      </w:r>
      <w:r w:rsidR="00125BB0">
        <w:rPr>
          <w:rFonts w:ascii="Franklin Gothic Book" w:hAnsi="Franklin Gothic Book"/>
          <w:sz w:val="22"/>
        </w:rPr>
        <w:t xml:space="preserve"> </w:t>
      </w:r>
      <w:r w:rsidR="00553AE9">
        <w:rPr>
          <w:rFonts w:ascii="Franklin Gothic Book" w:hAnsi="Franklin Gothic Book"/>
          <w:sz w:val="22"/>
        </w:rPr>
        <w:t>MSAC considered that overall</w:t>
      </w:r>
      <w:r w:rsidR="00853129">
        <w:rPr>
          <w:rFonts w:ascii="Franklin Gothic Book" w:hAnsi="Franklin Gothic Book"/>
          <w:sz w:val="22"/>
        </w:rPr>
        <w:t>,</w:t>
      </w:r>
      <w:r w:rsidR="00553AE9">
        <w:rPr>
          <w:rFonts w:ascii="Franklin Gothic Book" w:hAnsi="Franklin Gothic Book"/>
          <w:sz w:val="22"/>
        </w:rPr>
        <w:t xml:space="preserve"> NGS performs well with a low rate of false results</w:t>
      </w:r>
      <w:r w:rsidRPr="006C6104">
        <w:rPr>
          <w:rFonts w:ascii="Franklin Gothic Book" w:hAnsi="Franklin Gothic Book"/>
          <w:sz w:val="22"/>
        </w:rPr>
        <w:t>.</w:t>
      </w:r>
    </w:p>
    <w:p w14:paraId="6D0B1C58" w14:textId="0F84E1EC" w:rsidR="00962178" w:rsidRDefault="006861EC" w:rsidP="00243607">
      <w:pPr>
        <w:jc w:val="left"/>
        <w:rPr>
          <w:rFonts w:ascii="Franklin Gothic Book" w:hAnsi="Franklin Gothic Book"/>
          <w:sz w:val="22"/>
        </w:rPr>
      </w:pPr>
      <w:r>
        <w:rPr>
          <w:rFonts w:ascii="Franklin Gothic Book" w:hAnsi="Franklin Gothic Book"/>
          <w:sz w:val="22"/>
        </w:rPr>
        <w:t xml:space="preserve">MSAC agreed with the ESCs and the commentary that the available evidence suggests that patients with </w:t>
      </w:r>
      <w:r w:rsidRPr="006861EC">
        <w:rPr>
          <w:rFonts w:ascii="Franklin Gothic Book" w:hAnsi="Franklin Gothic Book"/>
          <w:i/>
          <w:iCs/>
          <w:sz w:val="22"/>
        </w:rPr>
        <w:t>FGFR2</w:t>
      </w:r>
      <w:r>
        <w:rPr>
          <w:rFonts w:ascii="Franklin Gothic Book" w:hAnsi="Franklin Gothic Book"/>
          <w:sz w:val="22"/>
        </w:rPr>
        <w:t xml:space="preserve"> </w:t>
      </w:r>
      <w:r w:rsidR="003876D8">
        <w:rPr>
          <w:rFonts w:ascii="Franklin Gothic Book" w:hAnsi="Franklin Gothic Book"/>
          <w:sz w:val="22"/>
        </w:rPr>
        <w:t>alterations</w:t>
      </w:r>
      <w:r w:rsidR="0012038B">
        <w:rPr>
          <w:rFonts w:ascii="Franklin Gothic Book" w:hAnsi="Franklin Gothic Book"/>
          <w:sz w:val="22"/>
        </w:rPr>
        <w:t xml:space="preserve"> may</w:t>
      </w:r>
      <w:r>
        <w:rPr>
          <w:rFonts w:ascii="Franklin Gothic Book" w:hAnsi="Franklin Gothic Book"/>
          <w:sz w:val="22"/>
        </w:rPr>
        <w:t xml:space="preserve"> </w:t>
      </w:r>
      <w:r w:rsidR="00243607" w:rsidRPr="006C6104">
        <w:rPr>
          <w:rFonts w:ascii="Franklin Gothic Book" w:hAnsi="Franklin Gothic Book"/>
          <w:sz w:val="22"/>
        </w:rPr>
        <w:t>have a positive prognostic impact</w:t>
      </w:r>
      <w:r>
        <w:rPr>
          <w:rFonts w:ascii="Franklin Gothic Book" w:hAnsi="Franklin Gothic Book"/>
          <w:sz w:val="22"/>
        </w:rPr>
        <w:t>, regardless of treatment</w:t>
      </w:r>
      <w:r w:rsidR="00243607" w:rsidRPr="006C6104">
        <w:rPr>
          <w:rFonts w:ascii="Franklin Gothic Book" w:hAnsi="Franklin Gothic Book"/>
          <w:sz w:val="22"/>
        </w:rPr>
        <w:t xml:space="preserve">. </w:t>
      </w:r>
      <w:r>
        <w:rPr>
          <w:rFonts w:ascii="Franklin Gothic Book" w:hAnsi="Franklin Gothic Book"/>
          <w:sz w:val="22"/>
        </w:rPr>
        <w:t>MSAC noted from the applicant</w:t>
      </w:r>
      <w:r w:rsidR="003876D8">
        <w:rPr>
          <w:rFonts w:ascii="Franklin Gothic Book" w:hAnsi="Franklin Gothic Book"/>
          <w:sz w:val="22"/>
        </w:rPr>
        <w:t>’</w:t>
      </w:r>
      <w:r>
        <w:rPr>
          <w:rFonts w:ascii="Franklin Gothic Book" w:hAnsi="Franklin Gothic Book"/>
          <w:sz w:val="22"/>
        </w:rPr>
        <w:t xml:space="preserve">s </w:t>
      </w:r>
      <w:r w:rsidR="007D1875">
        <w:rPr>
          <w:rFonts w:ascii="Franklin Gothic Book" w:hAnsi="Franklin Gothic Book"/>
          <w:sz w:val="22"/>
        </w:rPr>
        <w:t>pre-</w:t>
      </w:r>
      <w:r w:rsidR="00853129">
        <w:rPr>
          <w:rFonts w:ascii="Franklin Gothic Book" w:hAnsi="Franklin Gothic Book"/>
          <w:sz w:val="22"/>
        </w:rPr>
        <w:t>ESC</w:t>
      </w:r>
      <w:r w:rsidR="00576C75">
        <w:rPr>
          <w:rFonts w:ascii="Franklin Gothic Book" w:hAnsi="Franklin Gothic Book"/>
          <w:sz w:val="22"/>
        </w:rPr>
        <w:t xml:space="preserve"> and </w:t>
      </w:r>
      <w:r w:rsidR="00853129">
        <w:rPr>
          <w:rFonts w:ascii="Franklin Gothic Book" w:hAnsi="Franklin Gothic Book"/>
          <w:sz w:val="22"/>
        </w:rPr>
        <w:t>pre-</w:t>
      </w:r>
      <w:r w:rsidR="007D1875">
        <w:rPr>
          <w:rFonts w:ascii="Franklin Gothic Book" w:hAnsi="Franklin Gothic Book"/>
          <w:sz w:val="22"/>
        </w:rPr>
        <w:t>MSAC</w:t>
      </w:r>
      <w:r>
        <w:rPr>
          <w:rFonts w:ascii="Franklin Gothic Book" w:hAnsi="Franklin Gothic Book"/>
          <w:sz w:val="22"/>
        </w:rPr>
        <w:t xml:space="preserve"> response</w:t>
      </w:r>
      <w:r w:rsidR="00853129">
        <w:rPr>
          <w:rFonts w:ascii="Franklin Gothic Book" w:hAnsi="Franklin Gothic Book"/>
          <w:sz w:val="22"/>
        </w:rPr>
        <w:t>s</w:t>
      </w:r>
      <w:r>
        <w:rPr>
          <w:rFonts w:ascii="Franklin Gothic Book" w:hAnsi="Franklin Gothic Book"/>
          <w:sz w:val="22"/>
        </w:rPr>
        <w:t xml:space="preserve"> that a Phase 1 expansion study for futibatinib showed no anti-tumour activity in patients with wild type </w:t>
      </w:r>
      <w:r w:rsidRPr="006861EC">
        <w:rPr>
          <w:rFonts w:ascii="Franklin Gothic Book" w:hAnsi="Franklin Gothic Book"/>
          <w:i/>
          <w:iCs/>
          <w:sz w:val="22"/>
        </w:rPr>
        <w:t>FGFR</w:t>
      </w:r>
      <w:r>
        <w:rPr>
          <w:rFonts w:ascii="Franklin Gothic Book" w:hAnsi="Franklin Gothic Book"/>
          <w:sz w:val="22"/>
        </w:rPr>
        <w:t>. Therefore, MSAC agreed with the ESCs that</w:t>
      </w:r>
      <w:r w:rsidR="003876D8">
        <w:rPr>
          <w:rFonts w:ascii="Franklin Gothic Book" w:hAnsi="Franklin Gothic Book"/>
          <w:sz w:val="22"/>
        </w:rPr>
        <w:t xml:space="preserve"> </w:t>
      </w:r>
      <w:r>
        <w:rPr>
          <w:rFonts w:ascii="Franklin Gothic Book" w:hAnsi="Franklin Gothic Book"/>
          <w:sz w:val="22"/>
        </w:rPr>
        <w:t xml:space="preserve">it is challenging and unethical to trial futibatinib on patients with wild-type </w:t>
      </w:r>
      <w:r w:rsidRPr="003876D8">
        <w:rPr>
          <w:rFonts w:ascii="Franklin Gothic Book" w:hAnsi="Franklin Gothic Book"/>
          <w:i/>
          <w:iCs/>
          <w:sz w:val="22"/>
        </w:rPr>
        <w:t>FGFR2</w:t>
      </w:r>
      <w:r>
        <w:rPr>
          <w:rFonts w:ascii="Franklin Gothic Book" w:hAnsi="Franklin Gothic Book"/>
          <w:sz w:val="22"/>
        </w:rPr>
        <w:t xml:space="preserve"> variants</w:t>
      </w:r>
      <w:r w:rsidR="003876D8">
        <w:rPr>
          <w:rFonts w:ascii="Franklin Gothic Book" w:hAnsi="Franklin Gothic Book"/>
          <w:sz w:val="22"/>
        </w:rPr>
        <w:t xml:space="preserve">, who are unlikely to experience a treatment benefit and considered that the claim of codependency </w:t>
      </w:r>
      <w:r w:rsidR="00576C75">
        <w:rPr>
          <w:rFonts w:ascii="Franklin Gothic Book" w:hAnsi="Franklin Gothic Book"/>
          <w:sz w:val="22"/>
        </w:rPr>
        <w:t xml:space="preserve">was </w:t>
      </w:r>
      <w:r w:rsidR="003876D8">
        <w:rPr>
          <w:rFonts w:ascii="Franklin Gothic Book" w:hAnsi="Franklin Gothic Book"/>
          <w:sz w:val="22"/>
        </w:rPr>
        <w:t>reasonable based on the available (albeit limited) evidence.</w:t>
      </w:r>
    </w:p>
    <w:p w14:paraId="1FB79EEB" w14:textId="6B811750" w:rsidR="00853129" w:rsidRDefault="00CC284B" w:rsidP="00CC284B">
      <w:pPr>
        <w:jc w:val="left"/>
        <w:rPr>
          <w:rFonts w:ascii="Franklin Gothic Book" w:hAnsi="Franklin Gothic Book"/>
          <w:sz w:val="22"/>
        </w:rPr>
      </w:pPr>
      <w:r>
        <w:rPr>
          <w:rFonts w:ascii="Franklin Gothic Book" w:hAnsi="Franklin Gothic Book"/>
          <w:sz w:val="22"/>
        </w:rPr>
        <w:lastRenderedPageBreak/>
        <w:t xml:space="preserve">MSAC agreed with the MBS items proposed by the ESCs. </w:t>
      </w:r>
      <w:r w:rsidRPr="006C6104">
        <w:rPr>
          <w:rFonts w:ascii="Franklin Gothic Book" w:hAnsi="Franklin Gothic Book"/>
          <w:sz w:val="22"/>
        </w:rPr>
        <w:t xml:space="preserve">MSAC </w:t>
      </w:r>
      <w:r>
        <w:rPr>
          <w:rFonts w:ascii="Franklin Gothic Book" w:hAnsi="Franklin Gothic Book"/>
          <w:sz w:val="22"/>
        </w:rPr>
        <w:t xml:space="preserve">considered </w:t>
      </w:r>
      <w:r w:rsidRPr="006C6104">
        <w:rPr>
          <w:rFonts w:ascii="Franklin Gothic Book" w:hAnsi="Franklin Gothic Book"/>
          <w:sz w:val="22"/>
        </w:rPr>
        <w:t>that the MBS descriptor specify ‘nucleic-based test’</w:t>
      </w:r>
      <w:r>
        <w:rPr>
          <w:rFonts w:ascii="Franklin Gothic Book" w:hAnsi="Franklin Gothic Book"/>
          <w:sz w:val="22"/>
        </w:rPr>
        <w:t xml:space="preserve"> in order to capture appropriate testing methodologies (NGS on DNA and NGS on RNA),</w:t>
      </w:r>
      <w:r w:rsidRPr="006C6104">
        <w:rPr>
          <w:rFonts w:ascii="Franklin Gothic Book" w:hAnsi="Franklin Gothic Book"/>
          <w:sz w:val="22"/>
        </w:rPr>
        <w:t xml:space="preserve"> </w:t>
      </w:r>
      <w:r>
        <w:rPr>
          <w:rFonts w:ascii="Franklin Gothic Book" w:hAnsi="Franklin Gothic Book"/>
          <w:sz w:val="22"/>
        </w:rPr>
        <w:t>while</w:t>
      </w:r>
      <w:r w:rsidRPr="006C6104">
        <w:rPr>
          <w:rFonts w:ascii="Franklin Gothic Book" w:hAnsi="Franklin Gothic Book"/>
          <w:sz w:val="22"/>
        </w:rPr>
        <w:t xml:space="preserve"> exclud</w:t>
      </w:r>
      <w:r>
        <w:rPr>
          <w:rFonts w:ascii="Franklin Gothic Book" w:hAnsi="Franklin Gothic Book"/>
          <w:sz w:val="22"/>
        </w:rPr>
        <w:t>ing</w:t>
      </w:r>
      <w:r w:rsidRPr="006C6104">
        <w:rPr>
          <w:rFonts w:ascii="Franklin Gothic Book" w:hAnsi="Franklin Gothic Book"/>
          <w:sz w:val="22"/>
        </w:rPr>
        <w:t xml:space="preserve"> FISH testing</w:t>
      </w:r>
      <w:r>
        <w:rPr>
          <w:rFonts w:ascii="Franklin Gothic Book" w:hAnsi="Franklin Gothic Book"/>
          <w:sz w:val="22"/>
        </w:rPr>
        <w:t xml:space="preserve"> to ensure testing accuracy</w:t>
      </w:r>
      <w:r w:rsidRPr="006C6104">
        <w:rPr>
          <w:rFonts w:ascii="Franklin Gothic Book" w:hAnsi="Franklin Gothic Book"/>
          <w:sz w:val="22"/>
        </w:rPr>
        <w:t>.</w:t>
      </w:r>
      <w:r>
        <w:rPr>
          <w:rFonts w:ascii="Franklin Gothic Book" w:hAnsi="Franklin Gothic Book"/>
          <w:sz w:val="22"/>
        </w:rPr>
        <w:t xml:space="preserve"> MSAC considered that exclusion of FISH testing should also be specified in the explanatory note. </w:t>
      </w:r>
      <w:r w:rsidR="00853129" w:rsidRPr="006C6104">
        <w:rPr>
          <w:rFonts w:ascii="Franklin Gothic Book" w:hAnsi="Franklin Gothic Book"/>
          <w:sz w:val="22"/>
        </w:rPr>
        <w:t xml:space="preserve">MSAC </w:t>
      </w:r>
      <w:r w:rsidR="00853129">
        <w:rPr>
          <w:rFonts w:ascii="Franklin Gothic Book" w:hAnsi="Franklin Gothic Book"/>
          <w:sz w:val="22"/>
        </w:rPr>
        <w:t xml:space="preserve">also </w:t>
      </w:r>
      <w:r w:rsidR="00853129" w:rsidRPr="006C6104">
        <w:rPr>
          <w:rFonts w:ascii="Franklin Gothic Book" w:hAnsi="Franklin Gothic Book"/>
          <w:sz w:val="22"/>
        </w:rPr>
        <w:t>considered it appropriate that this test be pathologist-determinable, as this streamlines the referral process and time to result.</w:t>
      </w:r>
      <w:r w:rsidR="00853129">
        <w:rPr>
          <w:rFonts w:ascii="Franklin Gothic Book" w:hAnsi="Franklin Gothic Book"/>
          <w:sz w:val="22"/>
        </w:rPr>
        <w:t xml:space="preserve"> </w:t>
      </w:r>
      <w:r>
        <w:rPr>
          <w:rFonts w:ascii="Franklin Gothic Book" w:hAnsi="Franklin Gothic Book"/>
          <w:sz w:val="22"/>
        </w:rPr>
        <w:t xml:space="preserve">MSAC considered that the proposed test fee of $350 was not appropriate. While a fee in this range would be appropriate for sequence variant testing in DNA (for example a fee of $340 was supported by MSAC for </w:t>
      </w:r>
      <w:r w:rsidRPr="001B7478">
        <w:rPr>
          <w:rFonts w:ascii="Franklin Gothic Book" w:hAnsi="Franklin Gothic Book"/>
          <w:i/>
          <w:iCs/>
          <w:sz w:val="22"/>
        </w:rPr>
        <w:t>IDH1</w:t>
      </w:r>
      <w:r>
        <w:rPr>
          <w:rFonts w:ascii="Franklin Gothic Book" w:hAnsi="Franklin Gothic Book"/>
          <w:sz w:val="22"/>
        </w:rPr>
        <w:t xml:space="preserve"> sequence variant testing), </w:t>
      </w:r>
      <w:r w:rsidRPr="006C6104">
        <w:rPr>
          <w:rFonts w:ascii="Franklin Gothic Book" w:hAnsi="Franklin Gothic Book"/>
          <w:sz w:val="22"/>
        </w:rPr>
        <w:t>MSAC considered this fee to be too low for fusion</w:t>
      </w:r>
      <w:r>
        <w:rPr>
          <w:rFonts w:ascii="Franklin Gothic Book" w:hAnsi="Franklin Gothic Book"/>
          <w:sz w:val="22"/>
        </w:rPr>
        <w:t xml:space="preserve"> and rearrangement</w:t>
      </w:r>
      <w:r w:rsidRPr="006C6104">
        <w:rPr>
          <w:rFonts w:ascii="Franklin Gothic Book" w:hAnsi="Franklin Gothic Book"/>
          <w:sz w:val="22"/>
        </w:rPr>
        <w:t xml:space="preserve"> testing</w:t>
      </w:r>
      <w:r>
        <w:rPr>
          <w:rFonts w:ascii="Franklin Gothic Book" w:hAnsi="Franklin Gothic Book"/>
          <w:sz w:val="22"/>
        </w:rPr>
        <w:t xml:space="preserve"> as it </w:t>
      </w:r>
      <w:r w:rsidRPr="006C6104">
        <w:rPr>
          <w:rFonts w:ascii="Franklin Gothic Book" w:hAnsi="Franklin Gothic Book"/>
          <w:sz w:val="22"/>
        </w:rPr>
        <w:t>is</w:t>
      </w:r>
      <w:r>
        <w:rPr>
          <w:rFonts w:ascii="Franklin Gothic Book" w:hAnsi="Franklin Gothic Book"/>
          <w:sz w:val="22"/>
        </w:rPr>
        <w:t xml:space="preserve"> more technically</w:t>
      </w:r>
      <w:r w:rsidRPr="006C6104">
        <w:rPr>
          <w:rFonts w:ascii="Franklin Gothic Book" w:hAnsi="Franklin Gothic Book"/>
          <w:sz w:val="22"/>
        </w:rPr>
        <w:t xml:space="preserve"> challenging</w:t>
      </w:r>
      <w:r>
        <w:rPr>
          <w:rFonts w:ascii="Franklin Gothic Book" w:hAnsi="Franklin Gothic Book"/>
          <w:sz w:val="22"/>
        </w:rPr>
        <w:t xml:space="preserve"> compared to sequence variant testing in DNA</w:t>
      </w:r>
      <w:r w:rsidRPr="006C6104">
        <w:rPr>
          <w:rFonts w:ascii="Franklin Gothic Book" w:hAnsi="Franklin Gothic Book"/>
          <w:sz w:val="22"/>
        </w:rPr>
        <w:t>.</w:t>
      </w:r>
      <w:r w:rsidRPr="00843E85">
        <w:rPr>
          <w:rFonts w:ascii="Franklin Gothic Book" w:hAnsi="Franklin Gothic Book"/>
          <w:sz w:val="22"/>
        </w:rPr>
        <w:t xml:space="preserve"> </w:t>
      </w:r>
    </w:p>
    <w:p w14:paraId="398AC059" w14:textId="5A0CAFF4" w:rsidR="00CC284B" w:rsidRDefault="00CC284B" w:rsidP="00CC284B">
      <w:pPr>
        <w:jc w:val="left"/>
        <w:rPr>
          <w:rFonts w:ascii="Franklin Gothic Book" w:hAnsi="Franklin Gothic Book"/>
          <w:sz w:val="22"/>
        </w:rPr>
      </w:pPr>
      <w:r w:rsidRPr="006C6104">
        <w:rPr>
          <w:rFonts w:ascii="Franklin Gothic Book" w:hAnsi="Franklin Gothic Book"/>
          <w:sz w:val="22"/>
        </w:rPr>
        <w:t xml:space="preserve">MSAC agreed with the Department that should </w:t>
      </w:r>
      <w:r w:rsidRPr="00FF5E37">
        <w:rPr>
          <w:rFonts w:ascii="Franklin Gothic Book" w:hAnsi="Franklin Gothic Book"/>
          <w:i/>
          <w:iCs/>
          <w:sz w:val="22"/>
        </w:rPr>
        <w:t>FGFR2</w:t>
      </w:r>
      <w:r w:rsidRPr="006C6104">
        <w:rPr>
          <w:rFonts w:ascii="Franklin Gothic Book" w:hAnsi="Franklin Gothic Book"/>
          <w:sz w:val="22"/>
        </w:rPr>
        <w:t xml:space="preserve"> testing be supported</w:t>
      </w:r>
      <w:r>
        <w:rPr>
          <w:rFonts w:ascii="Franklin Gothic Book" w:hAnsi="Franklin Gothic Book"/>
          <w:sz w:val="22"/>
        </w:rPr>
        <w:t xml:space="preserve"> for the whole CCA population</w:t>
      </w:r>
      <w:r w:rsidRPr="006C6104">
        <w:rPr>
          <w:rFonts w:ascii="Franklin Gothic Book" w:hAnsi="Franklin Gothic Book"/>
          <w:sz w:val="22"/>
        </w:rPr>
        <w:t xml:space="preserve">, </w:t>
      </w:r>
      <w:r w:rsidRPr="00570A57">
        <w:rPr>
          <w:rFonts w:ascii="Franklin Gothic Book" w:hAnsi="Franklin Gothic Book"/>
          <w:i/>
          <w:iCs/>
          <w:sz w:val="22"/>
        </w:rPr>
        <w:t>IDH1</w:t>
      </w:r>
      <w:r>
        <w:rPr>
          <w:rFonts w:ascii="Franklin Gothic Book" w:hAnsi="Franklin Gothic Book"/>
          <w:i/>
          <w:iCs/>
          <w:sz w:val="22"/>
        </w:rPr>
        <w:t xml:space="preserve"> </w:t>
      </w:r>
      <w:r w:rsidRPr="00143E4D">
        <w:rPr>
          <w:rFonts w:ascii="Franklin Gothic Book" w:hAnsi="Franklin Gothic Book"/>
          <w:sz w:val="22"/>
        </w:rPr>
        <w:t>(supported by MSAC in Application 1750</w:t>
      </w:r>
      <w:r>
        <w:rPr>
          <w:rFonts w:ascii="Franklin Gothic Book" w:hAnsi="Franklin Gothic Book"/>
          <w:sz w:val="22"/>
        </w:rPr>
        <w:t xml:space="preserve"> for same population</w:t>
      </w:r>
      <w:r w:rsidRPr="00143E4D">
        <w:rPr>
          <w:rFonts w:ascii="Franklin Gothic Book" w:hAnsi="Franklin Gothic Book"/>
          <w:sz w:val="22"/>
        </w:rPr>
        <w:t>)</w:t>
      </w:r>
      <w:r w:rsidRPr="006C6104">
        <w:rPr>
          <w:rFonts w:ascii="Franklin Gothic Book" w:hAnsi="Franklin Gothic Book"/>
          <w:sz w:val="22"/>
        </w:rPr>
        <w:t xml:space="preserve"> and </w:t>
      </w:r>
      <w:r w:rsidRPr="00FF5E37">
        <w:rPr>
          <w:rFonts w:ascii="Franklin Gothic Book" w:hAnsi="Franklin Gothic Book"/>
          <w:i/>
          <w:iCs/>
          <w:sz w:val="22"/>
        </w:rPr>
        <w:t>FGFR2</w:t>
      </w:r>
      <w:r w:rsidRPr="006C6104">
        <w:rPr>
          <w:rFonts w:ascii="Franklin Gothic Book" w:hAnsi="Franklin Gothic Book"/>
          <w:sz w:val="22"/>
        </w:rPr>
        <w:t xml:space="preserve"> testing should be combined as a gene panel test with a single MBS item, rather than as </w:t>
      </w:r>
      <w:r>
        <w:rPr>
          <w:rFonts w:ascii="Franklin Gothic Book" w:hAnsi="Franklin Gothic Book"/>
          <w:sz w:val="22"/>
        </w:rPr>
        <w:t>two</w:t>
      </w:r>
      <w:r w:rsidRPr="006C6104">
        <w:rPr>
          <w:rFonts w:ascii="Franklin Gothic Book" w:hAnsi="Franklin Gothic Book"/>
          <w:sz w:val="22"/>
        </w:rPr>
        <w:t xml:space="preserve"> separate tests. MSAC considered that laboratories </w:t>
      </w:r>
      <w:r w:rsidR="00DE1F26">
        <w:rPr>
          <w:rFonts w:ascii="Franklin Gothic Book" w:hAnsi="Franklin Gothic Book"/>
          <w:sz w:val="22"/>
        </w:rPr>
        <w:t>are likely to</w:t>
      </w:r>
      <w:r w:rsidR="00DE1F26" w:rsidRPr="006C6104">
        <w:rPr>
          <w:rFonts w:ascii="Franklin Gothic Book" w:hAnsi="Franklin Gothic Book"/>
          <w:sz w:val="22"/>
        </w:rPr>
        <w:t xml:space="preserve"> </w:t>
      </w:r>
      <w:r w:rsidRPr="006C6104">
        <w:rPr>
          <w:rFonts w:ascii="Franklin Gothic Book" w:hAnsi="Franklin Gothic Book"/>
          <w:sz w:val="22"/>
        </w:rPr>
        <w:t>preferentially perform a DNA</w:t>
      </w:r>
      <w:r>
        <w:rPr>
          <w:rFonts w:ascii="Franklin Gothic Book" w:hAnsi="Franklin Gothic Book"/>
          <w:sz w:val="22"/>
        </w:rPr>
        <w:t xml:space="preserve"> and </w:t>
      </w:r>
      <w:r w:rsidRPr="006C6104">
        <w:rPr>
          <w:rFonts w:ascii="Franklin Gothic Book" w:hAnsi="Franklin Gothic Book"/>
          <w:sz w:val="22"/>
        </w:rPr>
        <w:t xml:space="preserve">RNA panel test that includes </w:t>
      </w:r>
      <w:r w:rsidRPr="004659FF">
        <w:rPr>
          <w:rFonts w:ascii="Franklin Gothic Book" w:hAnsi="Franklin Gothic Book"/>
          <w:i/>
          <w:iCs/>
          <w:sz w:val="22"/>
        </w:rPr>
        <w:t>IDH1</w:t>
      </w:r>
      <w:r w:rsidRPr="006C6104">
        <w:rPr>
          <w:rFonts w:ascii="Franklin Gothic Book" w:hAnsi="Franklin Gothic Book"/>
          <w:sz w:val="22"/>
        </w:rPr>
        <w:t xml:space="preserve"> and </w:t>
      </w:r>
      <w:r w:rsidRPr="00FF5E37">
        <w:rPr>
          <w:rFonts w:ascii="Franklin Gothic Book" w:hAnsi="Franklin Gothic Book"/>
          <w:i/>
          <w:iCs/>
          <w:sz w:val="22"/>
        </w:rPr>
        <w:t>FGFR2</w:t>
      </w:r>
      <w:r w:rsidRPr="006C6104">
        <w:rPr>
          <w:rFonts w:ascii="Franklin Gothic Book" w:hAnsi="Franklin Gothic Book"/>
          <w:sz w:val="22"/>
        </w:rPr>
        <w:t xml:space="preserve"> testing</w:t>
      </w:r>
      <w:r>
        <w:rPr>
          <w:rFonts w:ascii="Franklin Gothic Book" w:hAnsi="Franklin Gothic Book"/>
          <w:sz w:val="22"/>
        </w:rPr>
        <w:t xml:space="preserve">, rather than testing individual genes on separate assays. </w:t>
      </w:r>
      <w:r w:rsidRPr="006C6104">
        <w:rPr>
          <w:rFonts w:ascii="Franklin Gothic Book" w:hAnsi="Franklin Gothic Book"/>
          <w:sz w:val="22"/>
        </w:rPr>
        <w:t>MSAC</w:t>
      </w:r>
      <w:r>
        <w:rPr>
          <w:rFonts w:ascii="Franklin Gothic Book" w:hAnsi="Franklin Gothic Book"/>
          <w:sz w:val="22"/>
        </w:rPr>
        <w:t xml:space="preserve"> noted that an appropriate MBS fee for this test needs to be determined to</w:t>
      </w:r>
      <w:r w:rsidRPr="006C6104">
        <w:rPr>
          <w:rFonts w:ascii="Franklin Gothic Book" w:hAnsi="Franklin Gothic Book"/>
          <w:sz w:val="22"/>
        </w:rPr>
        <w:t xml:space="preserve"> reflect </w:t>
      </w:r>
      <w:r w:rsidR="00BF76EE">
        <w:rPr>
          <w:rFonts w:ascii="Franklin Gothic Book" w:hAnsi="Franklin Gothic Book"/>
          <w:sz w:val="22"/>
        </w:rPr>
        <w:t xml:space="preserve">the costs </w:t>
      </w:r>
      <w:r w:rsidR="00F572C0">
        <w:rPr>
          <w:rFonts w:ascii="Franklin Gothic Book" w:hAnsi="Franklin Gothic Book"/>
          <w:sz w:val="22"/>
        </w:rPr>
        <w:t xml:space="preserve">associated with </w:t>
      </w:r>
      <w:r w:rsidRPr="006C6104">
        <w:rPr>
          <w:rFonts w:ascii="Franklin Gothic Book" w:hAnsi="Franklin Gothic Book"/>
          <w:sz w:val="22"/>
        </w:rPr>
        <w:t>a panel test</w:t>
      </w:r>
      <w:r w:rsidR="00F572C0">
        <w:rPr>
          <w:rFonts w:ascii="Franklin Gothic Book" w:hAnsi="Franklin Gothic Book"/>
          <w:sz w:val="22"/>
        </w:rPr>
        <w:t xml:space="preserve">, which </w:t>
      </w:r>
      <w:r>
        <w:rPr>
          <w:rFonts w:ascii="Franklin Gothic Book" w:hAnsi="Franklin Gothic Book"/>
          <w:sz w:val="22"/>
        </w:rPr>
        <w:t>ensure</w:t>
      </w:r>
      <w:r w:rsidR="00F572C0">
        <w:rPr>
          <w:rFonts w:ascii="Franklin Gothic Book" w:hAnsi="Franklin Gothic Book"/>
          <w:sz w:val="22"/>
        </w:rPr>
        <w:t>s</w:t>
      </w:r>
      <w:r>
        <w:rPr>
          <w:rFonts w:ascii="Franklin Gothic Book" w:hAnsi="Franklin Gothic Book"/>
          <w:sz w:val="22"/>
        </w:rPr>
        <w:t xml:space="preserve"> that </w:t>
      </w:r>
      <w:r w:rsidRPr="006C6104">
        <w:rPr>
          <w:rFonts w:ascii="Franklin Gothic Book" w:hAnsi="Franklin Gothic Book"/>
          <w:sz w:val="22"/>
        </w:rPr>
        <w:t xml:space="preserve">patients </w:t>
      </w:r>
      <w:r>
        <w:rPr>
          <w:rFonts w:ascii="Franklin Gothic Book" w:hAnsi="Franklin Gothic Book"/>
          <w:sz w:val="22"/>
        </w:rPr>
        <w:t>do</w:t>
      </w:r>
      <w:r w:rsidRPr="006C6104">
        <w:rPr>
          <w:rFonts w:ascii="Franklin Gothic Book" w:hAnsi="Franklin Gothic Book"/>
          <w:sz w:val="22"/>
        </w:rPr>
        <w:t xml:space="preserve"> </w:t>
      </w:r>
      <w:r>
        <w:rPr>
          <w:rFonts w:ascii="Franklin Gothic Book" w:hAnsi="Franklin Gothic Book"/>
          <w:sz w:val="22"/>
        </w:rPr>
        <w:t>not encounter</w:t>
      </w:r>
      <w:r w:rsidRPr="006C6104">
        <w:rPr>
          <w:rFonts w:ascii="Franklin Gothic Book" w:hAnsi="Franklin Gothic Book"/>
          <w:sz w:val="22"/>
        </w:rPr>
        <w:t xml:space="preserve"> substantial out-of-pocket costs. MSAC also considered that having a panel test will help to futureproof the MBS item if supported, noting that the current National Comprehensive Cancer Network (NCCN) guidelines state that there are several relevant genes (beyond </w:t>
      </w:r>
      <w:r w:rsidRPr="00912B11">
        <w:rPr>
          <w:rFonts w:ascii="Franklin Gothic Book" w:hAnsi="Franklin Gothic Book"/>
          <w:i/>
          <w:iCs/>
          <w:sz w:val="22"/>
        </w:rPr>
        <w:t>IDH1</w:t>
      </w:r>
      <w:r w:rsidRPr="006C6104">
        <w:rPr>
          <w:rFonts w:ascii="Franklin Gothic Book" w:hAnsi="Franklin Gothic Book"/>
          <w:sz w:val="22"/>
        </w:rPr>
        <w:t xml:space="preserve"> and </w:t>
      </w:r>
      <w:r w:rsidRPr="00912B11">
        <w:rPr>
          <w:rFonts w:ascii="Franklin Gothic Book" w:hAnsi="Franklin Gothic Book"/>
          <w:i/>
          <w:iCs/>
          <w:sz w:val="22"/>
        </w:rPr>
        <w:t>FGFR2</w:t>
      </w:r>
      <w:r w:rsidRPr="006C6104">
        <w:rPr>
          <w:rFonts w:ascii="Franklin Gothic Book" w:hAnsi="Franklin Gothic Book"/>
          <w:sz w:val="22"/>
        </w:rPr>
        <w:t xml:space="preserve">) that could be assessed for this patient group. Further, MSAC highlighted that if </w:t>
      </w:r>
      <w:r w:rsidRPr="00912B11">
        <w:rPr>
          <w:rFonts w:ascii="Franklin Gothic Book" w:hAnsi="Franklin Gothic Book"/>
          <w:i/>
          <w:iCs/>
          <w:sz w:val="22"/>
        </w:rPr>
        <w:t>IDH1</w:t>
      </w:r>
      <w:r w:rsidRPr="006C6104">
        <w:rPr>
          <w:rFonts w:ascii="Franklin Gothic Book" w:hAnsi="Franklin Gothic Book"/>
          <w:sz w:val="22"/>
        </w:rPr>
        <w:t xml:space="preserve"> and </w:t>
      </w:r>
      <w:r w:rsidRPr="00912B11">
        <w:rPr>
          <w:rFonts w:ascii="Franklin Gothic Book" w:hAnsi="Franklin Gothic Book"/>
          <w:i/>
          <w:iCs/>
          <w:sz w:val="22"/>
        </w:rPr>
        <w:t>FGFR2</w:t>
      </w:r>
      <w:r w:rsidRPr="006C6104">
        <w:rPr>
          <w:rFonts w:ascii="Franklin Gothic Book" w:hAnsi="Franklin Gothic Book"/>
          <w:sz w:val="22"/>
        </w:rPr>
        <w:t xml:space="preserve"> testing are listed as separate MBS items, it may inadvertently encourage substandard care </w:t>
      </w:r>
      <w:r>
        <w:rPr>
          <w:rFonts w:ascii="Franklin Gothic Book" w:hAnsi="Franklin Gothic Book"/>
          <w:sz w:val="22"/>
        </w:rPr>
        <w:t xml:space="preserve">as a decision may need to be made on which gene to test if limited tissue is available and not sufficient for multiple single gene tests. </w:t>
      </w:r>
    </w:p>
    <w:p w14:paraId="171F8A22" w14:textId="47EBE7C2" w:rsidR="00731F91" w:rsidRDefault="5D3C1331" w:rsidP="61F80D20">
      <w:pPr>
        <w:jc w:val="left"/>
        <w:rPr>
          <w:rFonts w:ascii="Franklin Gothic Book" w:hAnsi="Franklin Gothic Book"/>
          <w:sz w:val="22"/>
        </w:rPr>
      </w:pPr>
      <w:r w:rsidRPr="61F80D20">
        <w:rPr>
          <w:rFonts w:ascii="Franklin Gothic Book" w:hAnsi="Franklin Gothic Book"/>
          <w:sz w:val="22"/>
        </w:rPr>
        <w:t>MSAC noted that the economic evaluation was a cost-utility analysis</w:t>
      </w:r>
      <w:r w:rsidR="062A6947" w:rsidRPr="61F80D20">
        <w:rPr>
          <w:rFonts w:ascii="Franklin Gothic Book" w:hAnsi="Franklin Gothic Book"/>
          <w:sz w:val="22"/>
        </w:rPr>
        <w:t xml:space="preserve"> using a partitioned survival analysis based on the results of a matched adjusted indirect comparison (MAIC)</w:t>
      </w:r>
      <w:r w:rsidRPr="61F80D20">
        <w:rPr>
          <w:rFonts w:ascii="Franklin Gothic Book" w:hAnsi="Franklin Gothic Book"/>
          <w:sz w:val="22"/>
        </w:rPr>
        <w:t>.</w:t>
      </w:r>
      <w:r w:rsidR="4A17721E" w:rsidRPr="61F80D20">
        <w:rPr>
          <w:rFonts w:ascii="Franklin Gothic Book" w:hAnsi="Franklin Gothic Book"/>
          <w:sz w:val="22"/>
        </w:rPr>
        <w:t xml:space="preserve"> Given the </w:t>
      </w:r>
      <w:r w:rsidR="002460BA">
        <w:rPr>
          <w:rFonts w:ascii="Franklin Gothic Book" w:hAnsi="Franklin Gothic Book"/>
          <w:sz w:val="22"/>
        </w:rPr>
        <w:t xml:space="preserve">possible </w:t>
      </w:r>
      <w:r w:rsidR="4A17721E" w:rsidRPr="61F80D20">
        <w:rPr>
          <w:rFonts w:ascii="Franklin Gothic Book" w:hAnsi="Franklin Gothic Book"/>
          <w:sz w:val="22"/>
        </w:rPr>
        <w:t xml:space="preserve">positive prognostic impact of </w:t>
      </w:r>
      <w:r w:rsidR="4A17721E" w:rsidRPr="61F80D20">
        <w:rPr>
          <w:rFonts w:ascii="Franklin Gothic Book" w:hAnsi="Franklin Gothic Book"/>
          <w:i/>
          <w:iCs/>
          <w:sz w:val="22"/>
        </w:rPr>
        <w:t>FGFR2</w:t>
      </w:r>
      <w:r w:rsidR="4A17721E" w:rsidRPr="61F80D20">
        <w:rPr>
          <w:rFonts w:ascii="Franklin Gothic Book" w:hAnsi="Franklin Gothic Book"/>
          <w:sz w:val="22"/>
        </w:rPr>
        <w:t xml:space="preserve"> alterations, MSAC agreed with the ESCs concern that the MAIC provided a highly uncertain and likely overestimated magnitude of effect due to not adjusting for </w:t>
      </w:r>
      <w:r w:rsidR="4A17721E" w:rsidRPr="61F80D20">
        <w:rPr>
          <w:rFonts w:ascii="Franklin Gothic Book" w:hAnsi="Franklin Gothic Book"/>
          <w:i/>
          <w:iCs/>
          <w:sz w:val="22"/>
        </w:rPr>
        <w:t>FGFR2</w:t>
      </w:r>
      <w:r w:rsidR="4A17721E" w:rsidRPr="61F80D20">
        <w:rPr>
          <w:rFonts w:ascii="Franklin Gothic Book" w:hAnsi="Franklin Gothic Book"/>
          <w:sz w:val="22"/>
        </w:rPr>
        <w:t xml:space="preserve"> status.</w:t>
      </w:r>
      <w:r w:rsidRPr="61F80D20">
        <w:rPr>
          <w:rFonts w:ascii="Franklin Gothic Book" w:hAnsi="Franklin Gothic Book"/>
          <w:sz w:val="22"/>
        </w:rPr>
        <w:t xml:space="preserve"> MSAC noted the </w:t>
      </w:r>
      <w:r w:rsidR="062A6947" w:rsidRPr="61F80D20">
        <w:rPr>
          <w:rFonts w:ascii="Franklin Gothic Book" w:hAnsi="Franklin Gothic Book"/>
          <w:sz w:val="22"/>
        </w:rPr>
        <w:t>base case incremental cost effectiveness ratio (</w:t>
      </w:r>
      <w:r w:rsidRPr="61F80D20">
        <w:rPr>
          <w:rFonts w:ascii="Franklin Gothic Book" w:hAnsi="Franklin Gothic Book"/>
          <w:sz w:val="22"/>
        </w:rPr>
        <w:t>ICER</w:t>
      </w:r>
      <w:r w:rsidR="062A6947" w:rsidRPr="61F80D20">
        <w:rPr>
          <w:rFonts w:ascii="Franklin Gothic Book" w:hAnsi="Franklin Gothic Book"/>
          <w:sz w:val="22"/>
        </w:rPr>
        <w:t>)</w:t>
      </w:r>
      <w:r w:rsidRPr="61F80D20">
        <w:rPr>
          <w:rFonts w:ascii="Franklin Gothic Book" w:hAnsi="Franklin Gothic Book"/>
          <w:sz w:val="22"/>
        </w:rPr>
        <w:t xml:space="preserve"> </w:t>
      </w:r>
      <w:r w:rsidR="062A6947" w:rsidRPr="61F80D20">
        <w:rPr>
          <w:rFonts w:ascii="Franklin Gothic Book" w:hAnsi="Franklin Gothic Book"/>
          <w:sz w:val="22"/>
        </w:rPr>
        <w:t>was</w:t>
      </w:r>
      <w:r w:rsidRPr="61F80D20">
        <w:rPr>
          <w:rFonts w:ascii="Franklin Gothic Book" w:hAnsi="Franklin Gothic Book"/>
          <w:sz w:val="22"/>
        </w:rPr>
        <w:t xml:space="preserve"> </w:t>
      </w:r>
      <w:r w:rsidR="003929C9">
        <w:rPr>
          <w:rFonts w:ascii="Franklin Gothic Book" w:hAnsi="Franklin Gothic Book"/>
          <w:sz w:val="22"/>
        </w:rPr>
        <w:t xml:space="preserve">$95,000 to &lt;$115,000 </w:t>
      </w:r>
      <w:r w:rsidRPr="61F80D20">
        <w:rPr>
          <w:rFonts w:ascii="Franklin Gothic Book" w:hAnsi="Franklin Gothic Book"/>
          <w:sz w:val="22"/>
        </w:rPr>
        <w:t>per quality-adjusted life year (QALY).</w:t>
      </w:r>
      <w:r w:rsidR="755A2FE2" w:rsidRPr="61F80D20">
        <w:rPr>
          <w:rFonts w:ascii="Franklin Gothic Book" w:hAnsi="Franklin Gothic Book"/>
          <w:sz w:val="22"/>
        </w:rPr>
        <w:t xml:space="preserve"> </w:t>
      </w:r>
      <w:r w:rsidR="70DFFEB0" w:rsidRPr="61F80D20">
        <w:rPr>
          <w:rFonts w:ascii="Franklin Gothic Book" w:hAnsi="Franklin Gothic Book"/>
          <w:sz w:val="22"/>
        </w:rPr>
        <w:t xml:space="preserve">MSAC noted the fee </w:t>
      </w:r>
      <w:r w:rsidR="7C1C2722" w:rsidRPr="61F80D20">
        <w:rPr>
          <w:rFonts w:ascii="Franklin Gothic Book" w:hAnsi="Franklin Gothic Book"/>
          <w:sz w:val="22"/>
        </w:rPr>
        <w:t>for testing</w:t>
      </w:r>
      <w:r w:rsidR="02F37F37" w:rsidRPr="61F80D20">
        <w:rPr>
          <w:rFonts w:ascii="Franklin Gothic Book" w:hAnsi="Franklin Gothic Book"/>
          <w:sz w:val="22"/>
        </w:rPr>
        <w:t xml:space="preserve"> used in the economic analysis</w:t>
      </w:r>
      <w:r w:rsidR="7C1C2722" w:rsidRPr="61F80D20">
        <w:rPr>
          <w:rFonts w:ascii="Franklin Gothic Book" w:hAnsi="Franklin Gothic Book"/>
          <w:sz w:val="22"/>
        </w:rPr>
        <w:t xml:space="preserve"> </w:t>
      </w:r>
      <w:r w:rsidR="6721002E" w:rsidRPr="61F80D20">
        <w:rPr>
          <w:rFonts w:ascii="Franklin Gothic Book" w:hAnsi="Franklin Gothic Book"/>
          <w:sz w:val="22"/>
        </w:rPr>
        <w:t>(</w:t>
      </w:r>
      <w:r w:rsidR="70DFFEB0" w:rsidRPr="61F80D20">
        <w:rPr>
          <w:rFonts w:ascii="Franklin Gothic Book" w:hAnsi="Franklin Gothic Book"/>
          <w:sz w:val="22"/>
        </w:rPr>
        <w:t>$350</w:t>
      </w:r>
      <w:r w:rsidR="02F37F37" w:rsidRPr="61F80D20">
        <w:rPr>
          <w:rFonts w:ascii="Franklin Gothic Book" w:hAnsi="Franklin Gothic Book"/>
          <w:sz w:val="22"/>
        </w:rPr>
        <w:t>) was too low</w:t>
      </w:r>
      <w:r w:rsidR="530FCC61" w:rsidRPr="61F80D20">
        <w:rPr>
          <w:rFonts w:ascii="Franklin Gothic Book" w:hAnsi="Franklin Gothic Book"/>
          <w:sz w:val="22"/>
        </w:rPr>
        <w:t xml:space="preserve"> </w:t>
      </w:r>
      <w:r w:rsidR="02F37F37" w:rsidRPr="61F80D20">
        <w:rPr>
          <w:rFonts w:ascii="Franklin Gothic Book" w:hAnsi="Franklin Gothic Book"/>
          <w:sz w:val="22"/>
        </w:rPr>
        <w:t xml:space="preserve">and </w:t>
      </w:r>
      <w:r w:rsidR="7587E79C" w:rsidRPr="61F80D20">
        <w:rPr>
          <w:rFonts w:ascii="Franklin Gothic Book" w:hAnsi="Franklin Gothic Book"/>
          <w:sz w:val="22"/>
        </w:rPr>
        <w:t xml:space="preserve">advised that the economic model be revised with an appropriately justified fee. </w:t>
      </w:r>
      <w:r w:rsidR="20CB358A" w:rsidRPr="61F80D20">
        <w:rPr>
          <w:rFonts w:ascii="Franklin Gothic Book" w:hAnsi="Franklin Gothic Book"/>
          <w:sz w:val="22"/>
        </w:rPr>
        <w:t>MSAC noted the submission had modelled 40% of testing at no cost, as this is currently provided by O</w:t>
      </w:r>
      <w:r w:rsidR="586C883D" w:rsidRPr="61F80D20">
        <w:rPr>
          <w:rFonts w:ascii="Franklin Gothic Book" w:hAnsi="Franklin Gothic Book"/>
          <w:sz w:val="22"/>
        </w:rPr>
        <w:t>mico</w:t>
      </w:r>
      <w:r w:rsidR="20CB358A" w:rsidRPr="61F80D20">
        <w:rPr>
          <w:rFonts w:ascii="Franklin Gothic Book" w:hAnsi="Franklin Gothic Book"/>
          <w:sz w:val="22"/>
        </w:rPr>
        <w:t xml:space="preserve"> in clinical practice. However, MSAC considered it was unlikely that O</w:t>
      </w:r>
      <w:r w:rsidR="586C883D" w:rsidRPr="61F80D20">
        <w:rPr>
          <w:rFonts w:ascii="Franklin Gothic Book" w:hAnsi="Franklin Gothic Book"/>
          <w:sz w:val="22"/>
        </w:rPr>
        <w:t>mico</w:t>
      </w:r>
      <w:r w:rsidR="20CB358A" w:rsidRPr="61F80D20">
        <w:rPr>
          <w:rFonts w:ascii="Franklin Gothic Book" w:hAnsi="Franklin Gothic Book"/>
          <w:sz w:val="22"/>
        </w:rPr>
        <w:t xml:space="preserve"> would continue testing for CCA at no cost if the item were MBS listed. As such, MSAC suggested that the modelling be revised to include all testing at full cost.</w:t>
      </w:r>
      <w:r w:rsidR="1C4D3553" w:rsidRPr="61F80D20">
        <w:rPr>
          <w:rFonts w:ascii="Franklin Gothic Book" w:hAnsi="Franklin Gothic Book"/>
          <w:sz w:val="22"/>
        </w:rPr>
        <w:t xml:space="preserve"> </w:t>
      </w:r>
      <w:r w:rsidR="7587E79C" w:rsidRPr="61F80D20">
        <w:rPr>
          <w:rFonts w:ascii="Franklin Gothic Book" w:hAnsi="Franklin Gothic Book"/>
          <w:sz w:val="22"/>
        </w:rPr>
        <w:t xml:space="preserve">MSAC noted that the economic model assumed a 20% prevalence of </w:t>
      </w:r>
      <w:r w:rsidR="7587E79C" w:rsidRPr="61F80D20">
        <w:rPr>
          <w:rFonts w:ascii="Franklin Gothic Book" w:hAnsi="Franklin Gothic Book"/>
          <w:i/>
          <w:iCs/>
          <w:sz w:val="22"/>
        </w:rPr>
        <w:t>FGFR2</w:t>
      </w:r>
      <w:r w:rsidR="7587E79C" w:rsidRPr="61F80D20">
        <w:rPr>
          <w:rFonts w:ascii="Franklin Gothic Book" w:hAnsi="Franklin Gothic Book"/>
          <w:sz w:val="22"/>
        </w:rPr>
        <w:t xml:space="preserve"> alterations based on the evidence from the advanced CCA population. However, given the MSAC advice for testing to be done at diagnosis on all patients with CCA, MSAC considered that the prevalence would be much lower in this </w:t>
      </w:r>
      <w:r w:rsidR="251525DF" w:rsidRPr="61F80D20">
        <w:rPr>
          <w:rFonts w:ascii="Franklin Gothic Book" w:hAnsi="Franklin Gothic Book"/>
          <w:sz w:val="22"/>
        </w:rPr>
        <w:t xml:space="preserve">broader </w:t>
      </w:r>
      <w:r w:rsidR="7587E79C" w:rsidRPr="61F80D20">
        <w:rPr>
          <w:rFonts w:ascii="Franklin Gothic Book" w:hAnsi="Franklin Gothic Book"/>
          <w:sz w:val="22"/>
        </w:rPr>
        <w:t>population</w:t>
      </w:r>
      <w:r w:rsidR="251525DF" w:rsidRPr="61F80D20">
        <w:rPr>
          <w:rFonts w:ascii="Franklin Gothic Book" w:hAnsi="Franklin Gothic Book"/>
          <w:sz w:val="22"/>
        </w:rPr>
        <w:t xml:space="preserve">. MSAC noted from the commentary that the prevalence in the whole CCA population was approximately 10%, and this may be further reduced if testing is </w:t>
      </w:r>
      <w:r w:rsidR="392F5933" w:rsidRPr="61F80D20">
        <w:rPr>
          <w:rFonts w:ascii="Franklin Gothic Book" w:hAnsi="Franklin Gothic Book"/>
          <w:sz w:val="22"/>
        </w:rPr>
        <w:t xml:space="preserve">also </w:t>
      </w:r>
      <w:r w:rsidR="251525DF" w:rsidRPr="61F80D20">
        <w:rPr>
          <w:rFonts w:ascii="Franklin Gothic Book" w:hAnsi="Franklin Gothic Book"/>
          <w:sz w:val="22"/>
        </w:rPr>
        <w:t xml:space="preserve">performed in pancreatic and cancers of unknown primary (as </w:t>
      </w:r>
      <w:r w:rsidR="251525DF" w:rsidRPr="61F80D20">
        <w:rPr>
          <w:rFonts w:ascii="Franklin Gothic Book" w:hAnsi="Franklin Gothic Book"/>
          <w:i/>
          <w:iCs/>
          <w:sz w:val="22"/>
        </w:rPr>
        <w:t>FGFR2</w:t>
      </w:r>
      <w:r w:rsidR="251525DF" w:rsidRPr="61F80D20">
        <w:rPr>
          <w:rFonts w:ascii="Franklin Gothic Book" w:hAnsi="Franklin Gothic Book"/>
          <w:sz w:val="22"/>
        </w:rPr>
        <w:t xml:space="preserve"> alterations are predominantly found in </w:t>
      </w:r>
      <w:r w:rsidR="1160D5BA" w:rsidRPr="61F80D20">
        <w:rPr>
          <w:rFonts w:ascii="Franklin Gothic Book" w:hAnsi="Franklin Gothic Book"/>
          <w:sz w:val="22"/>
        </w:rPr>
        <w:t>i</w:t>
      </w:r>
      <w:r w:rsidR="251525DF" w:rsidRPr="61F80D20">
        <w:rPr>
          <w:rFonts w:ascii="Franklin Gothic Book" w:hAnsi="Franklin Gothic Book"/>
          <w:sz w:val="22"/>
        </w:rPr>
        <w:t>CCA).</w:t>
      </w:r>
    </w:p>
    <w:p w14:paraId="0F753640" w14:textId="12408A00" w:rsidR="00DB4E47" w:rsidRDefault="03CD193B" w:rsidP="61F80D20">
      <w:pPr>
        <w:jc w:val="left"/>
        <w:rPr>
          <w:rFonts w:ascii="Franklin Gothic Book" w:hAnsi="Franklin Gothic Book"/>
          <w:sz w:val="22"/>
        </w:rPr>
      </w:pPr>
      <w:r w:rsidRPr="61F80D20">
        <w:rPr>
          <w:rFonts w:ascii="Franklin Gothic Book" w:hAnsi="Franklin Gothic Book"/>
          <w:sz w:val="22"/>
        </w:rPr>
        <w:t>Regarding the</w:t>
      </w:r>
      <w:r w:rsidR="03AB7262" w:rsidRPr="61F80D20">
        <w:rPr>
          <w:rFonts w:ascii="Franklin Gothic Book" w:hAnsi="Franklin Gothic Book"/>
          <w:sz w:val="22"/>
        </w:rPr>
        <w:t xml:space="preserve"> financial analysis</w:t>
      </w:r>
      <w:r w:rsidRPr="61F80D20">
        <w:rPr>
          <w:rFonts w:ascii="Franklin Gothic Book" w:hAnsi="Franklin Gothic Book"/>
          <w:sz w:val="22"/>
        </w:rPr>
        <w:t>,</w:t>
      </w:r>
      <w:r w:rsidR="03AB7262" w:rsidRPr="61F80D20">
        <w:rPr>
          <w:rFonts w:ascii="Franklin Gothic Book" w:hAnsi="Franklin Gothic Book"/>
          <w:sz w:val="22"/>
        </w:rPr>
        <w:t xml:space="preserve"> </w:t>
      </w:r>
      <w:r w:rsidR="6DB7AF43" w:rsidRPr="61F80D20">
        <w:rPr>
          <w:rFonts w:ascii="Franklin Gothic Book" w:hAnsi="Franklin Gothic Book"/>
          <w:sz w:val="22"/>
        </w:rPr>
        <w:t>MSAC noted</w:t>
      </w:r>
      <w:r w:rsidR="5C3F600E" w:rsidRPr="61F80D20">
        <w:rPr>
          <w:rFonts w:ascii="Franklin Gothic Book" w:hAnsi="Franklin Gothic Book"/>
          <w:sz w:val="22"/>
        </w:rPr>
        <w:t xml:space="preserve"> from the commentary that the net financial impact to the MBS from testing the CCA population is </w:t>
      </w:r>
      <w:r w:rsidR="00822D83" w:rsidRPr="00822D83">
        <w:rPr>
          <w:rFonts w:ascii="Franklin Gothic Book" w:hAnsi="Franklin Gothic Book"/>
          <w:sz w:val="22"/>
        </w:rPr>
        <w:t>$0 to &lt;$10 million</w:t>
      </w:r>
      <w:r w:rsidR="00822D83">
        <w:rPr>
          <w:rFonts w:ascii="Franklin Gothic Book" w:hAnsi="Franklin Gothic Book"/>
          <w:sz w:val="22"/>
        </w:rPr>
        <w:t xml:space="preserve"> </w:t>
      </w:r>
      <w:r w:rsidR="5C0DEB6B" w:rsidRPr="61F80D20">
        <w:rPr>
          <w:rFonts w:ascii="Franklin Gothic Book" w:hAnsi="Franklin Gothic Book"/>
          <w:sz w:val="22"/>
        </w:rPr>
        <w:t xml:space="preserve">in </w:t>
      </w:r>
      <w:r w:rsidR="5C3F600E" w:rsidRPr="61F80D20">
        <w:rPr>
          <w:rFonts w:ascii="Franklin Gothic Book" w:hAnsi="Franklin Gothic Book"/>
          <w:sz w:val="22"/>
        </w:rPr>
        <w:t xml:space="preserve">year 1 to </w:t>
      </w:r>
      <w:r w:rsidR="00822D83" w:rsidRPr="00822D83">
        <w:rPr>
          <w:rFonts w:ascii="Franklin Gothic Book" w:hAnsi="Franklin Gothic Book"/>
          <w:sz w:val="22"/>
        </w:rPr>
        <w:t>$0 to &lt;$10 million</w:t>
      </w:r>
      <w:r w:rsidR="5C3F600E" w:rsidRPr="61F80D20">
        <w:rPr>
          <w:rFonts w:ascii="Franklin Gothic Book" w:hAnsi="Franklin Gothic Book"/>
          <w:sz w:val="22"/>
        </w:rPr>
        <w:t xml:space="preserve"> </w:t>
      </w:r>
      <w:r w:rsidR="5C0DEB6B" w:rsidRPr="61F80D20">
        <w:rPr>
          <w:rFonts w:ascii="Franklin Gothic Book" w:hAnsi="Franklin Gothic Book"/>
          <w:sz w:val="22"/>
        </w:rPr>
        <w:t>in</w:t>
      </w:r>
      <w:r w:rsidR="5C3F600E" w:rsidRPr="61F80D20">
        <w:rPr>
          <w:rFonts w:ascii="Franklin Gothic Book" w:hAnsi="Franklin Gothic Book"/>
          <w:sz w:val="22"/>
        </w:rPr>
        <w:t xml:space="preserve"> year 6. MSAC considered that the financial impact would significantly increase if pancreatic cancer and cancer of unknown primary </w:t>
      </w:r>
      <w:r w:rsidR="5C0DEB6B" w:rsidRPr="61F80D20">
        <w:rPr>
          <w:rFonts w:ascii="Franklin Gothic Book" w:hAnsi="Franklin Gothic Book"/>
          <w:sz w:val="22"/>
        </w:rPr>
        <w:t>(</w:t>
      </w:r>
      <w:r w:rsidR="5C3F600E" w:rsidRPr="61F80D20">
        <w:rPr>
          <w:rFonts w:ascii="Franklin Gothic Book" w:hAnsi="Franklin Gothic Book"/>
          <w:sz w:val="22"/>
        </w:rPr>
        <w:t>that are presumed to be CCA</w:t>
      </w:r>
      <w:r w:rsidR="5C0DEB6B" w:rsidRPr="61F80D20">
        <w:rPr>
          <w:rFonts w:ascii="Franklin Gothic Book" w:hAnsi="Franklin Gothic Book"/>
          <w:sz w:val="22"/>
        </w:rPr>
        <w:t>)</w:t>
      </w:r>
      <w:r w:rsidR="5C3F600E" w:rsidRPr="61F80D20">
        <w:rPr>
          <w:rFonts w:ascii="Franklin Gothic Book" w:hAnsi="Franklin Gothic Book"/>
          <w:sz w:val="22"/>
        </w:rPr>
        <w:t xml:space="preserve"> are also included in the testing population. MSAC noted from the post-ESC additional analysis that including the pancreatic cancer and cancer of unknown primary</w:t>
      </w:r>
      <w:r w:rsidR="04E0D87D" w:rsidRPr="61F80D20">
        <w:rPr>
          <w:rFonts w:ascii="Franklin Gothic Book" w:hAnsi="Franklin Gothic Book"/>
          <w:sz w:val="22"/>
        </w:rPr>
        <w:t xml:space="preserve"> (assuming 100% uptake in these populations)</w:t>
      </w:r>
      <w:r w:rsidR="5C3F600E" w:rsidRPr="61F80D20">
        <w:rPr>
          <w:rFonts w:ascii="Franklin Gothic Book" w:hAnsi="Franklin Gothic Book"/>
          <w:sz w:val="22"/>
        </w:rPr>
        <w:t xml:space="preserve"> increased the net cost to the MBS</w:t>
      </w:r>
      <w:r w:rsidR="04E0D87D" w:rsidRPr="61F80D20">
        <w:rPr>
          <w:rFonts w:ascii="Franklin Gothic Book" w:hAnsi="Franklin Gothic Book"/>
          <w:sz w:val="22"/>
        </w:rPr>
        <w:t xml:space="preserve"> to</w:t>
      </w:r>
      <w:r w:rsidR="5C3F600E" w:rsidRPr="61F80D20">
        <w:rPr>
          <w:rFonts w:ascii="Franklin Gothic Book" w:hAnsi="Franklin Gothic Book"/>
          <w:sz w:val="22"/>
        </w:rPr>
        <w:t xml:space="preserve"> </w:t>
      </w:r>
      <w:r w:rsidR="00822D83" w:rsidRPr="00822D83">
        <w:rPr>
          <w:rFonts w:ascii="Franklin Gothic Book" w:hAnsi="Franklin Gothic Book"/>
          <w:sz w:val="22"/>
        </w:rPr>
        <w:t>$0 to &lt;$10 million</w:t>
      </w:r>
      <w:r w:rsidR="00822D83">
        <w:rPr>
          <w:rFonts w:ascii="Franklin Gothic Book" w:hAnsi="Franklin Gothic Book"/>
          <w:sz w:val="22"/>
        </w:rPr>
        <w:t xml:space="preserve"> </w:t>
      </w:r>
      <w:r w:rsidR="2B805624" w:rsidRPr="61F80D20">
        <w:rPr>
          <w:rFonts w:ascii="Franklin Gothic Book" w:hAnsi="Franklin Gothic Book"/>
          <w:sz w:val="22"/>
        </w:rPr>
        <w:t>per year</w:t>
      </w:r>
      <w:r w:rsidR="392F5933" w:rsidRPr="61F80D20">
        <w:rPr>
          <w:rFonts w:ascii="Franklin Gothic Book" w:hAnsi="Franklin Gothic Book"/>
          <w:sz w:val="22"/>
        </w:rPr>
        <w:t xml:space="preserve"> (</w:t>
      </w:r>
      <w:r w:rsidR="04E0D87D" w:rsidRPr="61F80D20">
        <w:rPr>
          <w:rFonts w:ascii="Franklin Gothic Book" w:hAnsi="Franklin Gothic Book"/>
          <w:sz w:val="22"/>
        </w:rPr>
        <w:t xml:space="preserve">with a fee of $682.35 per test which the ESCs considered to be appropriate for a single gene </w:t>
      </w:r>
      <w:r w:rsidR="04E0D87D" w:rsidRPr="61F80D20">
        <w:rPr>
          <w:rFonts w:ascii="Franklin Gothic Book" w:hAnsi="Franklin Gothic Book"/>
          <w:i/>
          <w:iCs/>
          <w:sz w:val="22"/>
        </w:rPr>
        <w:t>FGFR2</w:t>
      </w:r>
      <w:r w:rsidR="04E0D87D" w:rsidRPr="61F80D20">
        <w:rPr>
          <w:rFonts w:ascii="Franklin Gothic Book" w:hAnsi="Franklin Gothic Book"/>
          <w:sz w:val="22"/>
        </w:rPr>
        <w:t xml:space="preserve"> test</w:t>
      </w:r>
      <w:r w:rsidR="392F5933" w:rsidRPr="61F80D20">
        <w:rPr>
          <w:rFonts w:ascii="Franklin Gothic Book" w:hAnsi="Franklin Gothic Book"/>
          <w:sz w:val="22"/>
        </w:rPr>
        <w:t>)</w:t>
      </w:r>
      <w:r w:rsidR="5D3C1331" w:rsidRPr="61F80D20">
        <w:rPr>
          <w:rFonts w:ascii="Franklin Gothic Book" w:hAnsi="Franklin Gothic Book"/>
          <w:sz w:val="22"/>
        </w:rPr>
        <w:t>.</w:t>
      </w:r>
      <w:r w:rsidR="03AB7262" w:rsidRPr="61F80D20">
        <w:rPr>
          <w:rFonts w:ascii="Franklin Gothic Book" w:hAnsi="Franklin Gothic Book"/>
          <w:sz w:val="22"/>
        </w:rPr>
        <w:t xml:space="preserve"> </w:t>
      </w:r>
      <w:r w:rsidR="515540F9" w:rsidRPr="61F80D20">
        <w:rPr>
          <w:rFonts w:ascii="Franklin Gothic Book" w:hAnsi="Franklin Gothic Book"/>
          <w:sz w:val="22"/>
        </w:rPr>
        <w:t xml:space="preserve">MSAC considered that there is unlikely to be a significant increase to the net PBS cost despite the increased testing, as </w:t>
      </w:r>
      <w:r w:rsidR="515540F9" w:rsidRPr="61F80D20">
        <w:rPr>
          <w:rFonts w:ascii="Franklin Gothic Book" w:hAnsi="Franklin Gothic Book"/>
          <w:i/>
          <w:iCs/>
          <w:sz w:val="22"/>
        </w:rPr>
        <w:t>FGFR2</w:t>
      </w:r>
      <w:r w:rsidR="515540F9" w:rsidRPr="61F80D20">
        <w:rPr>
          <w:rFonts w:ascii="Franklin Gothic Book" w:hAnsi="Franklin Gothic Book"/>
          <w:sz w:val="22"/>
        </w:rPr>
        <w:t xml:space="preserve"> alterations are predominantly found in intrahepatic CCA, and therefore the majority of the testing in the pancreatic cancer and cancer of unknown primary populations will be negative and therefore will not be eligible to receive the drug.</w:t>
      </w:r>
    </w:p>
    <w:p w14:paraId="4D660214" w14:textId="5D721E33" w:rsidR="001E7EE3" w:rsidRDefault="001E7EE3" w:rsidP="00464ACB">
      <w:pPr>
        <w:pStyle w:val="3-BodyText"/>
        <w:spacing w:after="240"/>
        <w:ind w:left="0" w:firstLine="0"/>
        <w:jc w:val="left"/>
        <w:rPr>
          <w:rFonts w:ascii="Franklin Gothic Book" w:hAnsi="Franklin Gothic Book"/>
          <w:sz w:val="22"/>
        </w:rPr>
      </w:pPr>
      <w:r>
        <w:rPr>
          <w:rFonts w:ascii="Franklin Gothic Book" w:eastAsiaTheme="minorHAnsi" w:hAnsi="Franklin Gothic Book" w:cstheme="minorBidi"/>
          <w:snapToGrid/>
          <w:sz w:val="22"/>
          <w:szCs w:val="22"/>
          <w:lang w:eastAsia="en-US"/>
        </w:rPr>
        <w:lastRenderedPageBreak/>
        <w:t>Overall, MSAC considered that there was a high unmet clinical need for effective treatments for patients with CCA</w:t>
      </w:r>
      <w:r w:rsidR="007F2009">
        <w:rPr>
          <w:rFonts w:ascii="Franklin Gothic Book" w:eastAsiaTheme="minorHAnsi" w:hAnsi="Franklin Gothic Book" w:cstheme="minorBidi"/>
          <w:snapToGrid/>
          <w:sz w:val="22"/>
          <w:szCs w:val="22"/>
          <w:lang w:eastAsia="en-US"/>
        </w:rPr>
        <w:t xml:space="preserve"> and that NGS testing on DNA and RNA (preferred) or NGS on RNA</w:t>
      </w:r>
      <w:r w:rsidR="00DE1F26">
        <w:rPr>
          <w:rFonts w:ascii="Franklin Gothic Book" w:eastAsiaTheme="minorHAnsi" w:hAnsi="Franklin Gothic Book" w:cstheme="minorBidi"/>
          <w:snapToGrid/>
          <w:sz w:val="22"/>
          <w:szCs w:val="22"/>
          <w:lang w:eastAsia="en-US"/>
        </w:rPr>
        <w:t xml:space="preserve"> or </w:t>
      </w:r>
      <w:r w:rsidR="00004D80">
        <w:rPr>
          <w:rFonts w:ascii="Franklin Gothic Book" w:eastAsiaTheme="minorHAnsi" w:hAnsi="Franklin Gothic Book" w:cstheme="minorBidi"/>
          <w:snapToGrid/>
          <w:sz w:val="22"/>
          <w:szCs w:val="22"/>
          <w:lang w:eastAsia="en-US"/>
        </w:rPr>
        <w:t>DNA</w:t>
      </w:r>
      <w:r w:rsidR="007F2009">
        <w:rPr>
          <w:rFonts w:ascii="Franklin Gothic Book" w:eastAsiaTheme="minorHAnsi" w:hAnsi="Franklin Gothic Book" w:cstheme="minorBidi"/>
          <w:snapToGrid/>
          <w:sz w:val="22"/>
          <w:szCs w:val="22"/>
          <w:lang w:eastAsia="en-US"/>
        </w:rPr>
        <w:t xml:space="preserve"> alone was safe and effective in identifying patients with </w:t>
      </w:r>
      <w:r w:rsidR="007F2009" w:rsidRPr="007F2009">
        <w:rPr>
          <w:rFonts w:ascii="Franklin Gothic Book" w:eastAsiaTheme="minorHAnsi" w:hAnsi="Franklin Gothic Book" w:cstheme="minorBidi"/>
          <w:i/>
          <w:iCs/>
          <w:snapToGrid/>
          <w:sz w:val="22"/>
          <w:szCs w:val="22"/>
          <w:lang w:eastAsia="en-US"/>
        </w:rPr>
        <w:t>FGFR2</w:t>
      </w:r>
      <w:r w:rsidR="007F2009">
        <w:rPr>
          <w:rFonts w:ascii="Franklin Gothic Book" w:eastAsiaTheme="minorHAnsi" w:hAnsi="Franklin Gothic Book" w:cstheme="minorBidi"/>
          <w:snapToGrid/>
          <w:sz w:val="22"/>
          <w:szCs w:val="22"/>
          <w:lang w:eastAsia="en-US"/>
        </w:rPr>
        <w:t xml:space="preserve"> fusions and rearrangements for eligibility to futibatinib. </w:t>
      </w:r>
      <w:r w:rsidR="007F2009" w:rsidRPr="00E05D90">
        <w:rPr>
          <w:rFonts w:ascii="Franklin Gothic Book" w:eastAsiaTheme="minorHAnsi" w:hAnsi="Franklin Gothic Book" w:cstheme="minorBidi"/>
          <w:snapToGrid/>
          <w:sz w:val="22"/>
          <w:szCs w:val="22"/>
          <w:lang w:eastAsia="en-US"/>
        </w:rPr>
        <w:t xml:space="preserve">However, MASC deferred its advice and requested the applicant to present a revised economic and financial analysis </w:t>
      </w:r>
      <w:r w:rsidR="002B5E6D" w:rsidRPr="00E05D90">
        <w:rPr>
          <w:rFonts w:ascii="Franklin Gothic Book" w:eastAsiaTheme="minorHAnsi" w:hAnsi="Franklin Gothic Book" w:cstheme="minorBidi"/>
          <w:snapToGrid/>
          <w:sz w:val="22"/>
          <w:szCs w:val="22"/>
          <w:lang w:eastAsia="en-US"/>
        </w:rPr>
        <w:t>using</w:t>
      </w:r>
      <w:r w:rsidR="007F2009" w:rsidRPr="00E05D90">
        <w:rPr>
          <w:rFonts w:ascii="Franklin Gothic Book" w:eastAsiaTheme="minorHAnsi" w:hAnsi="Franklin Gothic Book" w:cstheme="minorBidi"/>
          <w:snapToGrid/>
          <w:sz w:val="22"/>
          <w:szCs w:val="22"/>
          <w:lang w:eastAsia="en-US"/>
        </w:rPr>
        <w:t xml:space="preserve"> an appropriately justified test fee and also taking into account </w:t>
      </w:r>
      <w:r w:rsidR="002B5E6D" w:rsidRPr="00E05D90">
        <w:rPr>
          <w:rFonts w:ascii="Franklin Gothic Book" w:eastAsiaTheme="minorHAnsi" w:hAnsi="Franklin Gothic Book" w:cstheme="minorBidi"/>
          <w:snapToGrid/>
          <w:sz w:val="22"/>
          <w:szCs w:val="22"/>
          <w:lang w:eastAsia="en-US"/>
        </w:rPr>
        <w:t>testing that may be performed in (unintended) non-CCA populations in practice (pancreatic cancers and cancers of unknown primary).</w:t>
      </w:r>
    </w:p>
    <w:p w14:paraId="78537D19" w14:textId="3502E030" w:rsidR="00464ACB" w:rsidRDefault="007F2009" w:rsidP="006C6104">
      <w:pPr>
        <w:jc w:val="left"/>
        <w:rPr>
          <w:rFonts w:ascii="Franklin Gothic Book" w:hAnsi="Franklin Gothic Book"/>
          <w:sz w:val="22"/>
        </w:rPr>
      </w:pPr>
      <w:r w:rsidRPr="007F2009">
        <w:rPr>
          <w:rFonts w:ascii="Franklin Gothic Book" w:hAnsi="Franklin Gothic Book"/>
          <w:sz w:val="22"/>
        </w:rPr>
        <w:t>MSAC considered that the resubmission could proceed via the direct MSAC assessment pathway.</w:t>
      </w:r>
    </w:p>
    <w:p w14:paraId="16B0C07A" w14:textId="77777777" w:rsidR="001E1827" w:rsidRPr="00330942" w:rsidRDefault="001E1827"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3" w:name="_Toc187865641"/>
      <w:r w:rsidRPr="00330942">
        <w:rPr>
          <w:rFonts w:ascii="Franklin Gothic Medium" w:hAnsi="Franklin Gothic Medium"/>
          <w:b w:val="0"/>
          <w:i w:val="0"/>
          <w:snapToGrid/>
          <w:color w:val="000000" w:themeColor="text1"/>
          <w:sz w:val="32"/>
          <w:szCs w:val="26"/>
        </w:rPr>
        <w:t>Background</w:t>
      </w:r>
      <w:bookmarkEnd w:id="3"/>
    </w:p>
    <w:p w14:paraId="24D726F5" w14:textId="416E03D4" w:rsidR="00D90D1F" w:rsidRPr="00330942" w:rsidRDefault="000861B0" w:rsidP="00330942">
      <w:pPr>
        <w:pStyle w:val="MSACESParagraph"/>
        <w:rPr>
          <w:rStyle w:val="InstructionalTextChar"/>
          <w:rFonts w:ascii="Franklin Gothic Book" w:hAnsi="Franklin Gothic Book"/>
          <w:i/>
          <w:iCs/>
          <w:color w:val="auto"/>
          <w:sz w:val="22"/>
        </w:rPr>
      </w:pPr>
      <w:r w:rsidRPr="00330942">
        <w:rPr>
          <w:rStyle w:val="InstructionalTextChar"/>
          <w:rFonts w:ascii="Franklin Gothic Book" w:hAnsi="Franklin Gothic Book"/>
          <w:color w:val="auto"/>
          <w:sz w:val="22"/>
        </w:rPr>
        <w:t xml:space="preserve">The </w:t>
      </w:r>
      <w:r w:rsidR="007E7A48" w:rsidRPr="00330942">
        <w:rPr>
          <w:rStyle w:val="InstructionalTextChar"/>
          <w:rFonts w:ascii="Franklin Gothic Book" w:hAnsi="Franklin Gothic Book"/>
          <w:color w:val="auto"/>
          <w:sz w:val="22"/>
        </w:rPr>
        <w:t xml:space="preserve">Applicant Developed Assessment Report (ADAR) 1779 was the first submission for </w:t>
      </w:r>
      <w:r w:rsidR="007E7A48" w:rsidRPr="00330942">
        <w:rPr>
          <w:rStyle w:val="InstructionalTextChar"/>
          <w:rFonts w:ascii="Franklin Gothic Book" w:hAnsi="Franklin Gothic Book"/>
          <w:i/>
          <w:iCs/>
          <w:color w:val="auto"/>
          <w:sz w:val="22"/>
        </w:rPr>
        <w:t>FGFR2</w:t>
      </w:r>
      <w:r w:rsidR="007E7A48" w:rsidRPr="00330942">
        <w:rPr>
          <w:rStyle w:val="InstructionalTextChar"/>
          <w:rFonts w:ascii="Franklin Gothic Book" w:hAnsi="Franklin Gothic Book"/>
          <w:color w:val="auto"/>
          <w:sz w:val="22"/>
        </w:rPr>
        <w:t xml:space="preserve"> fusion/rearrangement testing for </w:t>
      </w:r>
      <w:r w:rsidR="00DC74CC" w:rsidRPr="00330942">
        <w:rPr>
          <w:rStyle w:val="InstructionalTextChar"/>
          <w:rFonts w:ascii="Franklin Gothic Book" w:hAnsi="Franklin Gothic Book"/>
          <w:color w:val="auto"/>
          <w:sz w:val="22"/>
        </w:rPr>
        <w:t xml:space="preserve">CCA </w:t>
      </w:r>
      <w:r w:rsidR="007E7A48" w:rsidRPr="00330942">
        <w:rPr>
          <w:rStyle w:val="InstructionalTextChar"/>
          <w:rFonts w:ascii="Franklin Gothic Book" w:hAnsi="Franklin Gothic Book"/>
          <w:color w:val="auto"/>
          <w:sz w:val="22"/>
        </w:rPr>
        <w:t xml:space="preserve">to the MSAC, and the first submission for </w:t>
      </w:r>
      <w:r w:rsidR="00DC74CC" w:rsidRPr="00330942">
        <w:rPr>
          <w:rStyle w:val="InstructionalTextChar"/>
          <w:rFonts w:ascii="Franklin Gothic Book" w:hAnsi="Franklin Gothic Book"/>
          <w:color w:val="auto"/>
          <w:sz w:val="22"/>
        </w:rPr>
        <w:t>futibatinib</w:t>
      </w:r>
      <w:r w:rsidR="007E7A48" w:rsidRPr="00330942">
        <w:rPr>
          <w:rStyle w:val="InstructionalTextChar"/>
          <w:rFonts w:ascii="Franklin Gothic Book" w:hAnsi="Franklin Gothic Book"/>
          <w:color w:val="auto"/>
          <w:sz w:val="22"/>
        </w:rPr>
        <w:t xml:space="preserve"> for </w:t>
      </w:r>
      <w:r w:rsidR="00DC74CC" w:rsidRPr="00330942">
        <w:rPr>
          <w:rStyle w:val="InstructionalTextChar"/>
          <w:rFonts w:ascii="Franklin Gothic Book" w:hAnsi="Franklin Gothic Book"/>
          <w:color w:val="auto"/>
          <w:sz w:val="22"/>
        </w:rPr>
        <w:t>CCA</w:t>
      </w:r>
      <w:r w:rsidR="007E7A48" w:rsidRPr="00330942">
        <w:rPr>
          <w:rStyle w:val="InstructionalTextChar"/>
          <w:rFonts w:ascii="Franklin Gothic Book" w:hAnsi="Franklin Gothic Book"/>
          <w:color w:val="auto"/>
          <w:sz w:val="22"/>
        </w:rPr>
        <w:t xml:space="preserve"> to the PBAC.</w:t>
      </w:r>
      <w:r w:rsidR="00DC74CC" w:rsidRPr="00330942">
        <w:rPr>
          <w:rStyle w:val="InstructionalTextChar"/>
          <w:rFonts w:ascii="Franklin Gothic Book" w:hAnsi="Franklin Gothic Book"/>
          <w:color w:val="auto"/>
          <w:sz w:val="22"/>
        </w:rPr>
        <w:t xml:space="preserve"> </w:t>
      </w:r>
    </w:p>
    <w:p w14:paraId="11FE449A" w14:textId="43498A91" w:rsidR="00A201B3" w:rsidRPr="00330942" w:rsidRDefault="00A201B3" w:rsidP="00330942">
      <w:pPr>
        <w:pStyle w:val="MSACESParagraph"/>
        <w:rPr>
          <w:rStyle w:val="InstructionalTextChar"/>
          <w:rFonts w:ascii="Franklin Gothic Book" w:hAnsi="Franklin Gothic Book"/>
          <w:color w:val="auto"/>
          <w:sz w:val="22"/>
        </w:rPr>
      </w:pPr>
      <w:r w:rsidRPr="00330942">
        <w:rPr>
          <w:rStyle w:val="InstructionalTextChar"/>
          <w:rFonts w:ascii="Franklin Gothic Book" w:hAnsi="Franklin Gothic Book"/>
          <w:color w:val="auto"/>
          <w:sz w:val="22"/>
        </w:rPr>
        <w:t>MSAC application 1750 (</w:t>
      </w:r>
      <w:r w:rsidR="00A8035B" w:rsidRPr="00330942">
        <w:rPr>
          <w:rStyle w:val="InstructionalTextChar"/>
          <w:rFonts w:ascii="Franklin Gothic Book" w:hAnsi="Franklin Gothic Book"/>
          <w:color w:val="auto"/>
          <w:sz w:val="22"/>
        </w:rPr>
        <w:t>Testing of tumour tissue to detect isocitrate dehydrogenase 1 [IDH1] mutations in patients with CCA to determine eligibility for ivosidenib on the PBS</w:t>
      </w:r>
      <w:r w:rsidRPr="00330942">
        <w:rPr>
          <w:rStyle w:val="InstructionalTextChar"/>
          <w:rFonts w:ascii="Franklin Gothic Book" w:hAnsi="Franklin Gothic Book"/>
          <w:color w:val="auto"/>
          <w:sz w:val="22"/>
        </w:rPr>
        <w:t xml:space="preserve">) was considered at the July 2024 PBAC/MSAC </w:t>
      </w:r>
      <w:r w:rsidR="004524F5" w:rsidRPr="00330942">
        <w:rPr>
          <w:rStyle w:val="InstructionalTextChar"/>
          <w:rFonts w:ascii="Franklin Gothic Book" w:hAnsi="Franklin Gothic Book"/>
          <w:color w:val="auto"/>
          <w:sz w:val="22"/>
        </w:rPr>
        <w:t>m</w:t>
      </w:r>
      <w:r w:rsidRPr="00330942">
        <w:rPr>
          <w:rStyle w:val="InstructionalTextChar"/>
          <w:rFonts w:ascii="Franklin Gothic Book" w:hAnsi="Franklin Gothic Book"/>
          <w:color w:val="auto"/>
          <w:sz w:val="22"/>
        </w:rPr>
        <w:t>eeting</w:t>
      </w:r>
      <w:r w:rsidR="004524F5" w:rsidRPr="00330942">
        <w:rPr>
          <w:rStyle w:val="InstructionalTextChar"/>
          <w:rFonts w:ascii="Franklin Gothic Book" w:hAnsi="Franklin Gothic Book"/>
          <w:color w:val="auto"/>
          <w:sz w:val="22"/>
        </w:rPr>
        <w:t>s</w:t>
      </w:r>
      <w:r w:rsidRPr="00330942">
        <w:rPr>
          <w:rStyle w:val="InstructionalTextChar"/>
          <w:rFonts w:ascii="Franklin Gothic Book" w:hAnsi="Franklin Gothic Book"/>
          <w:color w:val="auto"/>
          <w:sz w:val="22"/>
        </w:rPr>
        <w:t>. The PBAC did not recommend ivosidenib at the July</w:t>
      </w:r>
      <w:r w:rsidR="0032695B">
        <w:rPr>
          <w:rStyle w:val="InstructionalTextChar"/>
          <w:rFonts w:ascii="Franklin Gothic Book" w:hAnsi="Franklin Gothic Book"/>
          <w:color w:val="auto"/>
          <w:sz w:val="22"/>
        </w:rPr>
        <w:t> </w:t>
      </w:r>
      <w:r w:rsidRPr="00330942">
        <w:rPr>
          <w:rStyle w:val="InstructionalTextChar"/>
          <w:rFonts w:ascii="Franklin Gothic Book" w:hAnsi="Franklin Gothic Book"/>
          <w:color w:val="auto"/>
          <w:sz w:val="22"/>
        </w:rPr>
        <w:t>2024 meeting</w:t>
      </w:r>
      <w:r w:rsidR="000861B0" w:rsidRPr="00330942">
        <w:rPr>
          <w:rStyle w:val="InstructionalTextChar"/>
          <w:rFonts w:ascii="Franklin Gothic Book" w:hAnsi="Franklin Gothic Book"/>
          <w:color w:val="auto"/>
          <w:sz w:val="22"/>
        </w:rPr>
        <w:t xml:space="preserve">. </w:t>
      </w:r>
      <w:r w:rsidRPr="00330942">
        <w:rPr>
          <w:rStyle w:val="InstructionalTextChar"/>
          <w:rFonts w:ascii="Franklin Gothic Book" w:hAnsi="Franklin Gothic Book"/>
          <w:color w:val="auto"/>
          <w:sz w:val="22"/>
        </w:rPr>
        <w:t xml:space="preserve">MSAC deferred its decision </w:t>
      </w:r>
      <w:r w:rsidR="00572BF6" w:rsidRPr="00330942">
        <w:rPr>
          <w:rStyle w:val="InstructionalTextChar"/>
          <w:rFonts w:ascii="Franklin Gothic Book" w:hAnsi="Franklin Gothic Book"/>
          <w:color w:val="auto"/>
          <w:sz w:val="22"/>
        </w:rPr>
        <w:t xml:space="preserve">at the July 2024 meeting </w:t>
      </w:r>
      <w:r w:rsidRPr="00330942">
        <w:rPr>
          <w:rStyle w:val="InstructionalTextChar"/>
          <w:rFonts w:ascii="Franklin Gothic Book" w:hAnsi="Franklin Gothic Book"/>
          <w:color w:val="auto"/>
          <w:sz w:val="22"/>
        </w:rPr>
        <w:t>due to PBAC not recommending ivosidenib</w:t>
      </w:r>
      <w:r w:rsidR="004524F5" w:rsidRPr="00330942">
        <w:rPr>
          <w:rStyle w:val="InstructionalTextChar"/>
          <w:rFonts w:ascii="Franklin Gothic Book" w:hAnsi="Franklin Gothic Book"/>
          <w:color w:val="auto"/>
          <w:sz w:val="22"/>
        </w:rPr>
        <w:t xml:space="preserve"> at the time</w:t>
      </w:r>
      <w:r w:rsidRPr="00330942">
        <w:rPr>
          <w:rStyle w:val="InstructionalTextChar"/>
          <w:rFonts w:ascii="Franklin Gothic Book" w:hAnsi="Franklin Gothic Book"/>
          <w:color w:val="auto"/>
          <w:sz w:val="22"/>
        </w:rPr>
        <w:t>.</w:t>
      </w:r>
      <w:r w:rsidR="00C02A37" w:rsidRPr="00330942">
        <w:rPr>
          <w:rStyle w:val="InstructionalTextChar"/>
          <w:rFonts w:ascii="Franklin Gothic Book" w:hAnsi="Franklin Gothic Book"/>
          <w:color w:val="auto"/>
          <w:sz w:val="22"/>
        </w:rPr>
        <w:t xml:space="preserve"> This application was considered again by PBAC and MSAC at the November 2024 meetings </w:t>
      </w:r>
      <w:r w:rsidR="46B4115A" w:rsidRPr="00DE1F26">
        <w:rPr>
          <w:rFonts w:ascii="Franklin Gothic Book" w:eastAsia="Franklin Gothic Book" w:hAnsi="Franklin Gothic Book" w:cs="Franklin Gothic Book"/>
          <w:sz w:val="22"/>
        </w:rPr>
        <w:t>and supported by both committees.</w:t>
      </w:r>
      <w:r w:rsidR="46B4115A" w:rsidRPr="00DE1F26">
        <w:t xml:space="preserve"> </w:t>
      </w:r>
    </w:p>
    <w:p w14:paraId="6CFE4A9C" w14:textId="6470D788" w:rsidR="00BE3D49" w:rsidRPr="00330942" w:rsidRDefault="00BE3D49"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4" w:name="_Toc187865642"/>
      <w:r w:rsidRPr="00330942">
        <w:rPr>
          <w:rFonts w:ascii="Franklin Gothic Medium" w:hAnsi="Franklin Gothic Medium"/>
          <w:b w:val="0"/>
          <w:i w:val="0"/>
          <w:snapToGrid/>
          <w:color w:val="000000" w:themeColor="text1"/>
          <w:sz w:val="32"/>
          <w:szCs w:val="26"/>
        </w:rPr>
        <w:t>Prerequisites to implementation of any funding advice</w:t>
      </w:r>
      <w:bookmarkEnd w:id="4"/>
    </w:p>
    <w:p w14:paraId="2CD36457" w14:textId="1D1C0620" w:rsidR="00746EC0" w:rsidRPr="00330942" w:rsidRDefault="00895F41" w:rsidP="00330942">
      <w:pPr>
        <w:pStyle w:val="Instructionaltext0"/>
        <w:spacing w:line="240" w:lineRule="auto"/>
        <w:rPr>
          <w:color w:val="auto"/>
        </w:rPr>
      </w:pPr>
      <w:r>
        <w:rPr>
          <w:color w:val="auto"/>
        </w:rPr>
        <w:t>At the time of consideration</w:t>
      </w:r>
      <w:r w:rsidR="001F00D7">
        <w:rPr>
          <w:color w:val="auto"/>
        </w:rPr>
        <w:t xml:space="preserve"> </w:t>
      </w:r>
      <w:r w:rsidR="1709956F" w:rsidRPr="00330942">
        <w:rPr>
          <w:color w:val="auto"/>
        </w:rPr>
        <w:t xml:space="preserve">Futibatinib </w:t>
      </w:r>
      <w:r w:rsidR="001F00D7">
        <w:rPr>
          <w:color w:val="auto"/>
        </w:rPr>
        <w:t>was</w:t>
      </w:r>
      <w:r w:rsidR="2CD3DED2" w:rsidRPr="00330942">
        <w:rPr>
          <w:color w:val="auto"/>
        </w:rPr>
        <w:t xml:space="preserve"> not TGA registered</w:t>
      </w:r>
      <w:r w:rsidR="2E439D77" w:rsidRPr="00330942">
        <w:rPr>
          <w:color w:val="auto"/>
        </w:rPr>
        <w:t xml:space="preserve">. Futibatinib is proposed for the treatment of adult patients with locally advanced or metastatic </w:t>
      </w:r>
      <w:r w:rsidR="49257A2D" w:rsidRPr="00330942">
        <w:rPr>
          <w:color w:val="auto"/>
        </w:rPr>
        <w:t>CCA</w:t>
      </w:r>
      <w:r w:rsidR="2E439D77" w:rsidRPr="00330942">
        <w:rPr>
          <w:color w:val="auto"/>
        </w:rPr>
        <w:t xml:space="preserve"> with a </w:t>
      </w:r>
      <w:r w:rsidR="2E439D77" w:rsidRPr="00330942">
        <w:rPr>
          <w:i/>
          <w:iCs/>
          <w:color w:val="auto"/>
        </w:rPr>
        <w:t>FGFR2</w:t>
      </w:r>
      <w:r w:rsidR="2E439D77" w:rsidRPr="00330942">
        <w:rPr>
          <w:color w:val="auto"/>
        </w:rPr>
        <w:t xml:space="preserve"> fusion or rearrangement that have progressed after at least one prior line of systemic therapy</w:t>
      </w:r>
      <w:r w:rsidR="033516E1" w:rsidRPr="00330942">
        <w:rPr>
          <w:color w:val="auto"/>
        </w:rPr>
        <w:t xml:space="preserve">. </w:t>
      </w:r>
      <w:r w:rsidR="1709956F" w:rsidRPr="00330942">
        <w:rPr>
          <w:color w:val="auto"/>
        </w:rPr>
        <w:t xml:space="preserve">The submission considered that </w:t>
      </w:r>
      <w:r w:rsidR="1709956F" w:rsidRPr="00330942">
        <w:rPr>
          <w:i/>
          <w:iCs/>
          <w:color w:val="auto"/>
        </w:rPr>
        <w:t>FGFR2</w:t>
      </w:r>
      <w:r w:rsidR="1709956F" w:rsidRPr="00330942">
        <w:rPr>
          <w:color w:val="auto"/>
        </w:rPr>
        <w:t xml:space="preserve"> fusions or rearrangements testing is expected to be conducted in specialist laboratories who must hold the appropriate accreditation and registration for this testing procedure to receive MBS funding for the proposed test. Laboratories will need to participate in the relevant Royal College of Pathologist of Australasia (RCPA) Quality Assurance Program or a similar external quality assurance program. Testing must be conducted, and the results interpreted and reported by suitably qualified and trained molecular pathologists. </w:t>
      </w:r>
    </w:p>
    <w:p w14:paraId="7F900E7C" w14:textId="0BD173A8" w:rsidR="00DE2FCC" w:rsidRPr="00330942" w:rsidRDefault="00B501D5" w:rsidP="00330942">
      <w:pPr>
        <w:pStyle w:val="Instructionaltext0"/>
        <w:spacing w:line="240" w:lineRule="auto"/>
        <w:rPr>
          <w:color w:val="auto"/>
        </w:rPr>
      </w:pPr>
      <w:r w:rsidRPr="00330942">
        <w:rPr>
          <w:color w:val="auto"/>
        </w:rPr>
        <w:t xml:space="preserve">Through correspondence with the Department, the applicant confirmed that many laboratories in Australia currently offer </w:t>
      </w:r>
      <w:r w:rsidR="00BF03A2" w:rsidRPr="00330942">
        <w:rPr>
          <w:color w:val="auto"/>
        </w:rPr>
        <w:t>National Association of Testing Authorities (</w:t>
      </w:r>
      <w:r w:rsidRPr="00330942">
        <w:rPr>
          <w:color w:val="auto"/>
        </w:rPr>
        <w:t>NATA</w:t>
      </w:r>
      <w:r w:rsidR="00BF03A2" w:rsidRPr="00330942">
        <w:rPr>
          <w:color w:val="auto"/>
        </w:rPr>
        <w:t>)</w:t>
      </w:r>
      <w:r w:rsidRPr="00330942">
        <w:rPr>
          <w:color w:val="auto"/>
        </w:rPr>
        <w:t xml:space="preserve"> accredited testing for </w:t>
      </w:r>
      <w:r w:rsidRPr="00330942">
        <w:rPr>
          <w:i/>
          <w:iCs/>
          <w:color w:val="auto"/>
        </w:rPr>
        <w:t>FGFR2</w:t>
      </w:r>
      <w:r w:rsidRPr="00330942">
        <w:rPr>
          <w:color w:val="auto"/>
        </w:rPr>
        <w:t xml:space="preserve"> fusions, supported by established external quality assessment</w:t>
      </w:r>
      <w:r w:rsidR="26C9B40F" w:rsidRPr="00330942">
        <w:rPr>
          <w:color w:val="auto"/>
        </w:rPr>
        <w:t xml:space="preserve"> program</w:t>
      </w:r>
      <w:r w:rsidRPr="00330942">
        <w:rPr>
          <w:color w:val="auto"/>
        </w:rPr>
        <w:t>.</w:t>
      </w:r>
      <w:r w:rsidR="008F62BB" w:rsidRPr="00330942">
        <w:rPr>
          <w:i/>
          <w:iCs/>
          <w:color w:val="auto"/>
        </w:rPr>
        <w:t xml:space="preserve"> </w:t>
      </w:r>
      <w:r w:rsidR="00746EC0" w:rsidRPr="00330942">
        <w:rPr>
          <w:color w:val="auto"/>
        </w:rPr>
        <w:t>The submission also considered that these testing items would be regulated by the TGA as in-vitro diagnostic medical devices (IVDs), listed on the ARTG as Instrument/analyser IVDs.</w:t>
      </w:r>
      <w:r w:rsidR="004D35B0" w:rsidRPr="00330942">
        <w:rPr>
          <w:color w:val="auto"/>
        </w:rPr>
        <w:t xml:space="preserve"> </w:t>
      </w:r>
      <w:r w:rsidR="005E1C6F" w:rsidRPr="00330942">
        <w:rPr>
          <w:color w:val="auto"/>
        </w:rPr>
        <w:t xml:space="preserve">The </w:t>
      </w:r>
      <w:r w:rsidR="00EC25B4" w:rsidRPr="00330942">
        <w:rPr>
          <w:color w:val="auto"/>
        </w:rPr>
        <w:t>commentary</w:t>
      </w:r>
      <w:r w:rsidR="005E1C6F" w:rsidRPr="00330942">
        <w:rPr>
          <w:color w:val="auto"/>
        </w:rPr>
        <w:t xml:space="preserve"> </w:t>
      </w:r>
      <w:r w:rsidR="006718AF" w:rsidRPr="00330942">
        <w:rPr>
          <w:color w:val="auto"/>
        </w:rPr>
        <w:t>noted</w:t>
      </w:r>
      <w:r w:rsidR="005E1C6F" w:rsidRPr="00330942">
        <w:rPr>
          <w:color w:val="auto"/>
        </w:rPr>
        <w:t xml:space="preserve"> that t</w:t>
      </w:r>
      <w:r w:rsidR="004D35B0" w:rsidRPr="00330942">
        <w:rPr>
          <w:color w:val="auto"/>
        </w:rPr>
        <w:t xml:space="preserve">he applicant </w:t>
      </w:r>
      <w:r w:rsidR="005E1C6F" w:rsidRPr="00330942">
        <w:rPr>
          <w:color w:val="auto"/>
        </w:rPr>
        <w:t>did</w:t>
      </w:r>
      <w:r w:rsidR="004D35B0" w:rsidRPr="00330942">
        <w:rPr>
          <w:color w:val="auto"/>
        </w:rPr>
        <w:t xml:space="preserve"> not provide information on any relevant IVD on the ARTG.</w:t>
      </w:r>
    </w:p>
    <w:p w14:paraId="02C93F27" w14:textId="77777777" w:rsidR="001E1827" w:rsidRPr="00330942" w:rsidRDefault="00EE5014"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5" w:name="_Toc93044754"/>
      <w:bookmarkStart w:id="6" w:name="_Toc93322888"/>
      <w:bookmarkStart w:id="7" w:name="_Toc187865643"/>
      <w:bookmarkEnd w:id="5"/>
      <w:bookmarkEnd w:id="6"/>
      <w:r w:rsidRPr="00330942">
        <w:rPr>
          <w:rFonts w:ascii="Franklin Gothic Medium" w:hAnsi="Franklin Gothic Medium"/>
          <w:b w:val="0"/>
          <w:i w:val="0"/>
          <w:snapToGrid/>
          <w:color w:val="000000" w:themeColor="text1"/>
          <w:sz w:val="32"/>
          <w:szCs w:val="26"/>
        </w:rPr>
        <w:t>Proposal for public funding</w:t>
      </w:r>
      <w:bookmarkEnd w:id="7"/>
    </w:p>
    <w:p w14:paraId="4B27A1EA" w14:textId="784CAB5E" w:rsidR="00746EC0" w:rsidRPr="00330942" w:rsidRDefault="00746EC0"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The submission included two potential MBS descriptors. One was consistent with the 1779 Ratified PICO </w:t>
      </w:r>
      <w:r w:rsidR="00E13769" w:rsidRPr="00330942">
        <w:rPr>
          <w:rFonts w:ascii="Franklin Gothic Book" w:hAnsi="Franklin Gothic Book"/>
          <w:color w:val="auto"/>
          <w:sz w:val="22"/>
        </w:rPr>
        <w:t>(</w:t>
      </w:r>
      <w:r w:rsidR="005B1C7E" w:rsidRPr="005B1C7E">
        <w:rPr>
          <w:rFonts w:ascii="Franklin Gothic Book" w:hAnsi="Franklin Gothic Book"/>
          <w:color w:val="auto"/>
          <w:sz w:val="22"/>
        </w:rPr>
        <w:fldChar w:fldCharType="begin"/>
      </w:r>
      <w:r w:rsidR="005B1C7E" w:rsidRPr="005B1C7E">
        <w:rPr>
          <w:rFonts w:ascii="Franklin Gothic Book" w:hAnsi="Franklin Gothic Book"/>
          <w:color w:val="auto"/>
          <w:sz w:val="22"/>
        </w:rPr>
        <w:instrText xml:space="preserve"> REF _Ref198446742  \* MERGEFORMAT </w:instrText>
      </w:r>
      <w:r w:rsidR="005B1C7E" w:rsidRPr="005B1C7E">
        <w:rPr>
          <w:rFonts w:ascii="Franklin Gothic Book" w:hAnsi="Franklin Gothic Book"/>
          <w:color w:val="auto"/>
          <w:sz w:val="22"/>
        </w:rPr>
        <w:fldChar w:fldCharType="separate"/>
      </w:r>
      <w:r w:rsidR="005B1C7E" w:rsidRPr="005B1C7E">
        <w:rPr>
          <w:rFonts w:ascii="Franklin Gothic Book" w:hAnsi="Franklin Gothic Book"/>
          <w:color w:val="auto"/>
          <w:sz w:val="22"/>
        </w:rPr>
        <w:t xml:space="preserve">Table </w:t>
      </w:r>
      <w:r w:rsidR="005B1C7E" w:rsidRPr="005B1C7E">
        <w:rPr>
          <w:rFonts w:ascii="Franklin Gothic Book" w:hAnsi="Franklin Gothic Book"/>
          <w:noProof/>
          <w:color w:val="auto"/>
          <w:sz w:val="22"/>
        </w:rPr>
        <w:t>1</w:t>
      </w:r>
      <w:r w:rsidR="005B1C7E" w:rsidRPr="005B1C7E">
        <w:rPr>
          <w:rFonts w:ascii="Franklin Gothic Book" w:hAnsi="Franklin Gothic Book"/>
          <w:color w:val="auto"/>
          <w:sz w:val="22"/>
        </w:rPr>
        <w:fldChar w:fldCharType="end"/>
      </w:r>
      <w:r w:rsidR="00E13769" w:rsidRPr="00330942">
        <w:rPr>
          <w:rFonts w:ascii="Franklin Gothic Book" w:hAnsi="Franklin Gothic Book"/>
          <w:color w:val="auto"/>
          <w:sz w:val="22"/>
        </w:rPr>
        <w:t xml:space="preserve">) </w:t>
      </w:r>
      <w:r w:rsidRPr="00330942">
        <w:rPr>
          <w:rFonts w:ascii="Franklin Gothic Book" w:hAnsi="Franklin Gothic Book"/>
          <w:color w:val="auto"/>
          <w:sz w:val="22"/>
        </w:rPr>
        <w:t xml:space="preserve">and </w:t>
      </w:r>
      <w:r w:rsidR="009A288D" w:rsidRPr="00330942">
        <w:rPr>
          <w:rFonts w:ascii="Franklin Gothic Book" w:hAnsi="Franklin Gothic Book"/>
          <w:color w:val="auto"/>
          <w:sz w:val="22"/>
        </w:rPr>
        <w:t>the other</w:t>
      </w:r>
      <w:r w:rsidRPr="00330942">
        <w:rPr>
          <w:rFonts w:ascii="Franklin Gothic Book" w:hAnsi="Franklin Gothic Book"/>
          <w:color w:val="auto"/>
          <w:sz w:val="22"/>
        </w:rPr>
        <w:t xml:space="preserve"> </w:t>
      </w:r>
      <w:r w:rsidR="00C23255" w:rsidRPr="00330942">
        <w:rPr>
          <w:rFonts w:ascii="Franklin Gothic Book" w:hAnsi="Franklin Gothic Book"/>
          <w:color w:val="auto"/>
          <w:sz w:val="22"/>
        </w:rPr>
        <w:t>is an alternat</w:t>
      </w:r>
      <w:r w:rsidR="00CE5438" w:rsidRPr="00330942">
        <w:rPr>
          <w:rFonts w:ascii="Franklin Gothic Book" w:hAnsi="Franklin Gothic Book"/>
          <w:color w:val="auto"/>
          <w:sz w:val="22"/>
        </w:rPr>
        <w:t>e descriptor</w:t>
      </w:r>
      <w:r w:rsidR="00C23255" w:rsidRPr="00330942">
        <w:rPr>
          <w:rFonts w:ascii="Franklin Gothic Book" w:hAnsi="Franklin Gothic Book"/>
          <w:color w:val="auto"/>
          <w:sz w:val="22"/>
        </w:rPr>
        <w:t xml:space="preserve"> proposed in</w:t>
      </w:r>
      <w:r w:rsidR="00EF6F6F" w:rsidRPr="00330942">
        <w:rPr>
          <w:rFonts w:ascii="Franklin Gothic Book" w:hAnsi="Franklin Gothic Book"/>
          <w:color w:val="auto"/>
          <w:sz w:val="22"/>
        </w:rPr>
        <w:t xml:space="preserve"> the </w:t>
      </w:r>
      <w:r w:rsidR="00B650E4" w:rsidRPr="00330942">
        <w:rPr>
          <w:rFonts w:ascii="Franklin Gothic Book" w:hAnsi="Franklin Gothic Book"/>
          <w:color w:val="auto"/>
          <w:sz w:val="22"/>
        </w:rPr>
        <w:t>submission</w:t>
      </w:r>
      <w:r w:rsidRPr="00330942">
        <w:rPr>
          <w:rFonts w:ascii="Franklin Gothic Book" w:hAnsi="Franklin Gothic Book"/>
          <w:color w:val="auto"/>
          <w:sz w:val="22"/>
        </w:rPr>
        <w:t xml:space="preserve"> </w:t>
      </w:r>
      <w:r w:rsidR="00E13769" w:rsidRPr="00330942">
        <w:rPr>
          <w:rFonts w:ascii="Franklin Gothic Book" w:hAnsi="Franklin Gothic Book"/>
          <w:color w:val="auto"/>
          <w:sz w:val="22"/>
        </w:rPr>
        <w:t>(</w:t>
      </w:r>
      <w:r w:rsidR="005B1C7E" w:rsidRPr="005B1C7E">
        <w:rPr>
          <w:rFonts w:ascii="Franklin Gothic Book" w:hAnsi="Franklin Gothic Book"/>
          <w:color w:val="auto"/>
          <w:sz w:val="22"/>
        </w:rPr>
        <w:fldChar w:fldCharType="begin"/>
      </w:r>
      <w:r w:rsidR="005B1C7E" w:rsidRPr="005B1C7E">
        <w:rPr>
          <w:rFonts w:ascii="Franklin Gothic Book" w:hAnsi="Franklin Gothic Book"/>
          <w:color w:val="auto"/>
          <w:sz w:val="22"/>
        </w:rPr>
        <w:instrText xml:space="preserve"> REF _Ref198446817  \* MERGEFORMAT </w:instrText>
      </w:r>
      <w:r w:rsidR="005B1C7E" w:rsidRPr="005B1C7E">
        <w:rPr>
          <w:rFonts w:ascii="Franklin Gothic Book" w:hAnsi="Franklin Gothic Book"/>
          <w:color w:val="auto"/>
          <w:sz w:val="22"/>
        </w:rPr>
        <w:fldChar w:fldCharType="separate"/>
      </w:r>
      <w:r w:rsidR="005B1C7E" w:rsidRPr="005B1C7E">
        <w:rPr>
          <w:rFonts w:ascii="Franklin Gothic Book" w:hAnsi="Franklin Gothic Book"/>
          <w:color w:val="auto"/>
          <w:sz w:val="22"/>
        </w:rPr>
        <w:t>Table</w:t>
      </w:r>
      <w:r w:rsidR="00ED7156">
        <w:rPr>
          <w:rFonts w:ascii="Franklin Gothic Book" w:hAnsi="Franklin Gothic Book"/>
          <w:color w:val="auto"/>
          <w:sz w:val="22"/>
        </w:rPr>
        <w:t> </w:t>
      </w:r>
      <w:r w:rsidR="005B1C7E" w:rsidRPr="005B1C7E">
        <w:rPr>
          <w:rFonts w:ascii="Franklin Gothic Book" w:hAnsi="Franklin Gothic Book"/>
          <w:noProof/>
          <w:color w:val="auto"/>
          <w:sz w:val="22"/>
        </w:rPr>
        <w:t>2</w:t>
      </w:r>
      <w:r w:rsidR="005B1C7E" w:rsidRPr="005B1C7E">
        <w:rPr>
          <w:rFonts w:ascii="Franklin Gothic Book" w:hAnsi="Franklin Gothic Book"/>
          <w:color w:val="auto"/>
          <w:sz w:val="22"/>
        </w:rPr>
        <w:fldChar w:fldCharType="end"/>
      </w:r>
      <w:r w:rsidR="00E13769" w:rsidRPr="00330942">
        <w:rPr>
          <w:rFonts w:ascii="Franklin Gothic Book" w:hAnsi="Franklin Gothic Book"/>
          <w:color w:val="auto"/>
          <w:sz w:val="22"/>
        </w:rPr>
        <w:t xml:space="preserve">) </w:t>
      </w:r>
      <w:r w:rsidRPr="00330942">
        <w:rPr>
          <w:rFonts w:ascii="Franklin Gothic Book" w:hAnsi="Franklin Gothic Book"/>
          <w:color w:val="auto"/>
          <w:sz w:val="22"/>
        </w:rPr>
        <w:t xml:space="preserve">based on additional considerations described below. </w:t>
      </w:r>
    </w:p>
    <w:p w14:paraId="4A7B5D48" w14:textId="7CF78596" w:rsidR="00746EC0" w:rsidRPr="009D316D" w:rsidRDefault="009D316D" w:rsidP="009D316D">
      <w:pPr>
        <w:pStyle w:val="Caption"/>
        <w:rPr>
          <w:rStyle w:val="CommentReference"/>
          <w:b/>
        </w:rPr>
      </w:pPr>
      <w:bookmarkStart w:id="8" w:name="_Ref198446742"/>
      <w:bookmarkStart w:id="9" w:name="_Ref184752659"/>
      <w:bookmarkStart w:id="10" w:name="Table_MSAC_2"/>
      <w:r>
        <w:lastRenderedPageBreak/>
        <w:t xml:space="preserve">Table </w:t>
      </w:r>
      <w:r>
        <w:fldChar w:fldCharType="begin"/>
      </w:r>
      <w:r>
        <w:instrText>SEQ Table \* ARABIC</w:instrText>
      </w:r>
      <w:r>
        <w:fldChar w:fldCharType="separate"/>
      </w:r>
      <w:r w:rsidR="005B1C7E">
        <w:rPr>
          <w:noProof/>
        </w:rPr>
        <w:t>1</w:t>
      </w:r>
      <w:r>
        <w:fldChar w:fldCharType="end"/>
      </w:r>
      <w:bookmarkEnd w:id="8"/>
      <w:r>
        <w:rPr>
          <w:szCs w:val="16"/>
        </w:rPr>
        <w:tab/>
      </w:r>
      <w:bookmarkEnd w:id="9"/>
      <w:bookmarkEnd w:id="10"/>
      <w:r w:rsidR="00746EC0" w:rsidRPr="009D316D">
        <w:rPr>
          <w:rStyle w:val="CommentReference"/>
          <w:b/>
          <w:bCs/>
        </w:rPr>
        <w:t>Item descriptor (consistent with 1779 ratified PICO)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00E9" w:rsidRPr="00B27879" w14:paraId="6782F8AB" w14:textId="77777777" w:rsidTr="2914E55D">
        <w:tc>
          <w:tcPr>
            <w:tcW w:w="5000" w:type="pct"/>
          </w:tcPr>
          <w:p w14:paraId="79B673BC" w14:textId="77777777" w:rsidR="00746EC0" w:rsidRPr="00B27879" w:rsidRDefault="00746EC0" w:rsidP="00FE3A7F">
            <w:pPr>
              <w:pStyle w:val="TableText"/>
              <w:keepNext/>
              <w:keepLines/>
            </w:pPr>
            <w:r w:rsidRPr="00B27879">
              <w:t>Category 6 – Pathology services</w:t>
            </w:r>
          </w:p>
        </w:tc>
      </w:tr>
      <w:tr w:rsidR="007900E9" w:rsidRPr="00B27879" w14:paraId="5B8C9A67" w14:textId="77777777" w:rsidTr="2914E55D">
        <w:tc>
          <w:tcPr>
            <w:tcW w:w="5000" w:type="pct"/>
          </w:tcPr>
          <w:p w14:paraId="2EE5C6D5" w14:textId="1DF20D94" w:rsidR="00746EC0" w:rsidRPr="00B27879" w:rsidRDefault="00746EC0" w:rsidP="00330942">
            <w:pPr>
              <w:pStyle w:val="TableText"/>
              <w:keepNext/>
              <w:keepLines/>
              <w:tabs>
                <w:tab w:val="left" w:pos="7110"/>
              </w:tabs>
            </w:pPr>
            <w:r w:rsidRPr="00B27879">
              <w:t>Proposed item descriptor XXXXX</w:t>
            </w:r>
            <w:r w:rsidRPr="00B27879">
              <w:tab/>
              <w:t>Group P7 – Genetics</w:t>
            </w:r>
          </w:p>
          <w:p w14:paraId="4B8FA6A8" w14:textId="31AF832A" w:rsidR="00746EC0" w:rsidRPr="00B27879" w:rsidRDefault="00746EC0" w:rsidP="00330942">
            <w:pPr>
              <w:pStyle w:val="TableText"/>
              <w:keepNext/>
              <w:keepLines/>
              <w:tabs>
                <w:tab w:val="left" w:pos="7251"/>
              </w:tabs>
              <w:spacing w:before="240" w:after="240"/>
            </w:pPr>
            <w:r w:rsidRPr="2914E55D">
              <w:t xml:space="preserve">Detection of FGFR2 fusions or rearrangements in tumour tissue from a patient with cholangiocarcinoma, requested by a specialist or consultant physician to determine eligibility for a relevant treatment under the Pharmaceutical Benefits Scheme. </w:t>
            </w:r>
          </w:p>
          <w:p w14:paraId="60F96B0C" w14:textId="77777777" w:rsidR="00746EC0" w:rsidRPr="00B27879" w:rsidRDefault="00746EC0" w:rsidP="00FE3A7F">
            <w:pPr>
              <w:pStyle w:val="TableText"/>
              <w:keepNext/>
              <w:keepLines/>
            </w:pPr>
            <w:r w:rsidRPr="00B27879">
              <w:t>Applicable only once per lifetime</w:t>
            </w:r>
          </w:p>
        </w:tc>
      </w:tr>
      <w:tr w:rsidR="007900E9" w:rsidRPr="00B27879" w14:paraId="3D63D7FA" w14:textId="77777777" w:rsidTr="2914E55D">
        <w:tc>
          <w:tcPr>
            <w:tcW w:w="5000" w:type="pct"/>
          </w:tcPr>
          <w:p w14:paraId="3C0C429A" w14:textId="77777777" w:rsidR="00746EC0" w:rsidRPr="00B27879" w:rsidRDefault="00746EC0" w:rsidP="00FE3A7F">
            <w:pPr>
              <w:pStyle w:val="TableText"/>
              <w:keepNext/>
              <w:keepLines/>
            </w:pPr>
            <w:r w:rsidRPr="00B27879">
              <w:t>Fee: $600.00 Benefit: 75% = $450.00 85% = $510.00</w:t>
            </w:r>
          </w:p>
        </w:tc>
      </w:tr>
    </w:tbl>
    <w:p w14:paraId="4352A7C3" w14:textId="72479ED1" w:rsidR="00746EC0" w:rsidRPr="00B27879" w:rsidRDefault="00746EC0" w:rsidP="00ED7156">
      <w:pPr>
        <w:pStyle w:val="TableFooter"/>
        <w:keepNext/>
        <w:keepLines/>
      </w:pPr>
      <w:r w:rsidRPr="00B27879">
        <w:t xml:space="preserve">Source: Table 1.8, p51 of the submission. </w:t>
      </w:r>
    </w:p>
    <w:p w14:paraId="54FAAFBE" w14:textId="4F288B6C" w:rsidR="00746EC0" w:rsidRPr="00B27879" w:rsidRDefault="009D316D" w:rsidP="009D316D">
      <w:pPr>
        <w:pStyle w:val="Caption"/>
        <w:rPr>
          <w:b w:val="0"/>
          <w:szCs w:val="16"/>
        </w:rPr>
      </w:pPr>
      <w:bookmarkStart w:id="11" w:name="_Ref198446817"/>
      <w:bookmarkStart w:id="12" w:name="_Ref184752703"/>
      <w:r>
        <w:t xml:space="preserve">Table </w:t>
      </w:r>
      <w:r>
        <w:fldChar w:fldCharType="begin"/>
      </w:r>
      <w:r>
        <w:instrText>SEQ Table \* ARABIC</w:instrText>
      </w:r>
      <w:r>
        <w:fldChar w:fldCharType="separate"/>
      </w:r>
      <w:r w:rsidR="005B1C7E">
        <w:rPr>
          <w:noProof/>
        </w:rPr>
        <w:t>2</w:t>
      </w:r>
      <w:r>
        <w:fldChar w:fldCharType="end"/>
      </w:r>
      <w:bookmarkEnd w:id="11"/>
      <w:r w:rsidRPr="009D316D">
        <w:rPr>
          <w:b w:val="0"/>
          <w:bCs/>
        </w:rPr>
        <w:tab/>
      </w:r>
      <w:bookmarkEnd w:id="12"/>
      <w:r w:rsidR="00746EC0" w:rsidRPr="009D316D">
        <w:rPr>
          <w:rStyle w:val="CommentReference"/>
          <w:b/>
          <w:bCs/>
        </w:rPr>
        <w:t>Item descriptor (Alternate proposed in submission)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900E9" w:rsidRPr="00B27879" w14:paraId="786600D3" w14:textId="77777777" w:rsidTr="2914E55D">
        <w:tc>
          <w:tcPr>
            <w:tcW w:w="5000" w:type="pct"/>
          </w:tcPr>
          <w:p w14:paraId="3034E5F0" w14:textId="77777777" w:rsidR="00746EC0" w:rsidRPr="00B27879" w:rsidRDefault="00746EC0" w:rsidP="00FE3A7F">
            <w:pPr>
              <w:pStyle w:val="TableText"/>
              <w:keepNext/>
              <w:keepLines/>
            </w:pPr>
            <w:r w:rsidRPr="00B27879">
              <w:t>Category 6 – Pathology services</w:t>
            </w:r>
          </w:p>
        </w:tc>
      </w:tr>
      <w:tr w:rsidR="007900E9" w:rsidRPr="00B27879" w14:paraId="3158A28D" w14:textId="77777777" w:rsidTr="2914E55D">
        <w:tc>
          <w:tcPr>
            <w:tcW w:w="5000" w:type="pct"/>
          </w:tcPr>
          <w:p w14:paraId="6F3DB11E" w14:textId="0A3CA49F" w:rsidR="00746EC0" w:rsidRPr="00B27879" w:rsidRDefault="00746EC0" w:rsidP="00330942">
            <w:pPr>
              <w:pStyle w:val="TableText"/>
              <w:keepNext/>
              <w:keepLines/>
              <w:tabs>
                <w:tab w:val="left" w:pos="7110"/>
              </w:tabs>
            </w:pPr>
            <w:r w:rsidRPr="00B27879">
              <w:t>Proposed item descriptor XXXXX</w:t>
            </w:r>
            <w:r w:rsidRPr="00B27879">
              <w:tab/>
              <w:t>Group P7 – Genetics</w:t>
            </w:r>
          </w:p>
          <w:p w14:paraId="78C23174" w14:textId="3239804F" w:rsidR="00746EC0" w:rsidRPr="00B27879" w:rsidRDefault="00746EC0" w:rsidP="00330942">
            <w:pPr>
              <w:pStyle w:val="TableText"/>
              <w:keepNext/>
              <w:keepLines/>
              <w:spacing w:before="240" w:after="240"/>
            </w:pPr>
            <w:r w:rsidRPr="2914E55D">
              <w:t xml:space="preserve">Next generation sequencing (NGS) test for FGFR2 fusion or rearrangement using RNA from tumour tissue from a patient with locally advanced or metastatic cholangiocarcinoma, requested by a specialist or consultant physician to determine eligibility for a relevant treatment under the Pharmaceutical Benefits Scheme. </w:t>
            </w:r>
          </w:p>
          <w:p w14:paraId="4CF014BE" w14:textId="77777777" w:rsidR="00746EC0" w:rsidRPr="00B27879" w:rsidRDefault="00746EC0" w:rsidP="00FE3A7F">
            <w:pPr>
              <w:pStyle w:val="TableText"/>
              <w:keepNext/>
              <w:keepLines/>
            </w:pPr>
            <w:r w:rsidRPr="00B27879">
              <w:t>Applicable only once per lifetime</w:t>
            </w:r>
          </w:p>
        </w:tc>
      </w:tr>
      <w:tr w:rsidR="007900E9" w:rsidRPr="00B27879" w14:paraId="0E8FB057" w14:textId="77777777" w:rsidTr="2914E55D">
        <w:tc>
          <w:tcPr>
            <w:tcW w:w="5000" w:type="pct"/>
          </w:tcPr>
          <w:p w14:paraId="3060D9C9" w14:textId="22743030" w:rsidR="00746EC0" w:rsidRPr="00B27879" w:rsidRDefault="00746EC0" w:rsidP="00FE3A7F">
            <w:pPr>
              <w:pStyle w:val="TableText"/>
              <w:keepNext/>
              <w:keepLines/>
            </w:pPr>
            <w:r w:rsidRPr="00B27879">
              <w:rPr>
                <w:rFonts w:eastAsia="Times New Roman" w:cs="Tahoma"/>
                <w:szCs w:val="20"/>
                <w:lang w:eastAsia="en-AU"/>
              </w:rPr>
              <w:t>Fee: $35</w:t>
            </w:r>
            <w:r w:rsidRPr="00B27879">
              <w:rPr>
                <w:rFonts w:eastAsia="Times New Roman" w:cs="Tahoma"/>
                <w:lang w:eastAsia="en-AU"/>
              </w:rPr>
              <w:t>0.00</w:t>
            </w:r>
            <w:r w:rsidRPr="00B27879">
              <w:rPr>
                <w:rFonts w:eastAsia="Times New Roman" w:cs="Tahoma"/>
                <w:szCs w:val="20"/>
                <w:lang w:eastAsia="en-AU"/>
              </w:rPr>
              <w:t xml:space="preserve"> Benefit: 75% = $262.</w:t>
            </w:r>
            <w:r w:rsidR="00CE6972" w:rsidRPr="00B27879">
              <w:rPr>
                <w:rFonts w:eastAsia="Times New Roman" w:cs="Tahoma"/>
                <w:szCs w:val="20"/>
                <w:lang w:eastAsia="en-AU"/>
              </w:rPr>
              <w:t xml:space="preserve">50 </w:t>
            </w:r>
            <w:r w:rsidR="00CE6972" w:rsidRPr="00B27879">
              <w:rPr>
                <w:rFonts w:eastAsia="Times New Roman" w:cs="Tahoma"/>
                <w:lang w:eastAsia="en-AU"/>
              </w:rPr>
              <w:t>85</w:t>
            </w:r>
            <w:r w:rsidRPr="00B27879">
              <w:rPr>
                <w:rFonts w:eastAsia="Times New Roman" w:cs="Tahoma"/>
                <w:szCs w:val="20"/>
                <w:lang w:eastAsia="en-AU"/>
              </w:rPr>
              <w:t>% = $297.50</w:t>
            </w:r>
          </w:p>
        </w:tc>
      </w:tr>
    </w:tbl>
    <w:p w14:paraId="396CB58D" w14:textId="77777777" w:rsidR="00746EC0" w:rsidRPr="00B27879" w:rsidRDefault="00746EC0" w:rsidP="00746EC0">
      <w:pPr>
        <w:pStyle w:val="TableFooter"/>
        <w:keepNext/>
        <w:keepLines/>
      </w:pPr>
      <w:r w:rsidRPr="00B27879">
        <w:t xml:space="preserve">Source: Table 1.9, p52 of the submission. </w:t>
      </w:r>
    </w:p>
    <w:p w14:paraId="60B0B101" w14:textId="2AA1BE74" w:rsidR="00746EC0" w:rsidRPr="00330942" w:rsidRDefault="00746EC0" w:rsidP="00330942">
      <w:pPr>
        <w:jc w:val="left"/>
        <w:rPr>
          <w:rFonts w:ascii="Franklin Gothic Book" w:hAnsi="Franklin Gothic Book"/>
          <w:sz w:val="22"/>
        </w:rPr>
      </w:pPr>
      <w:r w:rsidRPr="00330942">
        <w:rPr>
          <w:rFonts w:ascii="Franklin Gothic Book" w:hAnsi="Franklin Gothic Book"/>
          <w:sz w:val="22"/>
        </w:rPr>
        <w:t xml:space="preserve">The key differences reflected between the two item descriptors </w:t>
      </w:r>
      <w:r w:rsidR="00176D49" w:rsidRPr="00330942">
        <w:rPr>
          <w:rFonts w:ascii="Franklin Gothic Book" w:hAnsi="Franklin Gothic Book"/>
          <w:sz w:val="22"/>
        </w:rPr>
        <w:t>we</w:t>
      </w:r>
      <w:r w:rsidRPr="00330942">
        <w:rPr>
          <w:rFonts w:ascii="Franklin Gothic Book" w:hAnsi="Franklin Gothic Book"/>
          <w:sz w:val="22"/>
        </w:rPr>
        <w:t>re:</w:t>
      </w:r>
    </w:p>
    <w:p w14:paraId="75836BEC" w14:textId="719E07C4" w:rsidR="00746EC0" w:rsidRPr="00330942" w:rsidRDefault="00A01662" w:rsidP="00330942">
      <w:pPr>
        <w:pStyle w:val="ListParagraph"/>
        <w:numPr>
          <w:ilvl w:val="0"/>
          <w:numId w:val="16"/>
        </w:numPr>
        <w:jc w:val="left"/>
        <w:rPr>
          <w:rFonts w:ascii="Franklin Gothic Book" w:hAnsi="Franklin Gothic Book"/>
          <w:color w:val="auto"/>
          <w:sz w:val="22"/>
        </w:rPr>
      </w:pPr>
      <w:r w:rsidRPr="00330942">
        <w:rPr>
          <w:rFonts w:ascii="Franklin Gothic Book" w:hAnsi="Franklin Gothic Book"/>
          <w:color w:val="auto"/>
          <w:sz w:val="22"/>
        </w:rPr>
        <w:t>The submission’s proposed alternate descriptor</w:t>
      </w:r>
      <w:r w:rsidR="006D0664" w:rsidRPr="00330942">
        <w:rPr>
          <w:rFonts w:ascii="Franklin Gothic Book" w:hAnsi="Franklin Gothic Book"/>
          <w:color w:val="auto"/>
          <w:sz w:val="22"/>
        </w:rPr>
        <w:t xml:space="preserve"> (</w:t>
      </w:r>
      <w:r w:rsidR="005B1C7E" w:rsidRPr="005B1C7E">
        <w:rPr>
          <w:rFonts w:ascii="Franklin Gothic Book" w:hAnsi="Franklin Gothic Book"/>
          <w:color w:val="auto"/>
          <w:sz w:val="22"/>
        </w:rPr>
        <w:fldChar w:fldCharType="begin"/>
      </w:r>
      <w:r w:rsidR="005B1C7E" w:rsidRPr="005B1C7E">
        <w:rPr>
          <w:rFonts w:ascii="Franklin Gothic Book" w:hAnsi="Franklin Gothic Book"/>
          <w:color w:val="auto"/>
          <w:sz w:val="22"/>
        </w:rPr>
        <w:instrText xml:space="preserve"> REF _Ref198446817  \* MERGEFORMAT </w:instrText>
      </w:r>
      <w:r w:rsidR="005B1C7E" w:rsidRPr="005B1C7E">
        <w:rPr>
          <w:rFonts w:ascii="Franklin Gothic Book" w:hAnsi="Franklin Gothic Book"/>
          <w:color w:val="auto"/>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2</w:t>
      </w:r>
      <w:r w:rsidR="005B1C7E" w:rsidRPr="005B1C7E">
        <w:rPr>
          <w:rFonts w:ascii="Franklin Gothic Book" w:hAnsi="Franklin Gothic Book"/>
          <w:color w:val="auto"/>
          <w:sz w:val="22"/>
        </w:rPr>
        <w:fldChar w:fldCharType="end"/>
      </w:r>
      <w:r w:rsidR="006D0664" w:rsidRPr="00330942">
        <w:rPr>
          <w:rFonts w:ascii="Franklin Gothic Book" w:hAnsi="Franklin Gothic Book"/>
          <w:color w:val="auto"/>
          <w:sz w:val="22"/>
        </w:rPr>
        <w:t>)</w:t>
      </w:r>
      <w:r w:rsidRPr="00330942">
        <w:rPr>
          <w:rFonts w:ascii="Franklin Gothic Book" w:hAnsi="Franklin Gothic Book"/>
          <w:color w:val="auto"/>
          <w:sz w:val="22"/>
        </w:rPr>
        <w:t xml:space="preserve"> was a narrower population compared to the 1779 Ratified PICO</w:t>
      </w:r>
      <w:r w:rsidR="0071384A" w:rsidRPr="00330942">
        <w:rPr>
          <w:rFonts w:ascii="Franklin Gothic Book" w:hAnsi="Franklin Gothic Book"/>
          <w:color w:val="auto"/>
          <w:sz w:val="22"/>
        </w:rPr>
        <w:t>’s item descriptor (</w:t>
      </w:r>
      <w:r w:rsidR="005B1C7E" w:rsidRPr="005B1C7E">
        <w:rPr>
          <w:rFonts w:ascii="Franklin Gothic Book" w:hAnsi="Franklin Gothic Book"/>
          <w:color w:val="auto"/>
          <w:sz w:val="22"/>
        </w:rPr>
        <w:fldChar w:fldCharType="begin"/>
      </w:r>
      <w:r w:rsidR="005B1C7E" w:rsidRPr="005B1C7E">
        <w:rPr>
          <w:rFonts w:ascii="Franklin Gothic Book" w:hAnsi="Franklin Gothic Book"/>
          <w:color w:val="auto"/>
          <w:sz w:val="22"/>
        </w:rPr>
        <w:instrText xml:space="preserve"> REF _Ref198446742  \* MERGEFORMAT </w:instrText>
      </w:r>
      <w:r w:rsidR="005B1C7E" w:rsidRPr="005B1C7E">
        <w:rPr>
          <w:rFonts w:ascii="Franklin Gothic Book" w:hAnsi="Franklin Gothic Book"/>
          <w:color w:val="auto"/>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1</w:t>
      </w:r>
      <w:r w:rsidR="005B1C7E" w:rsidRPr="005B1C7E">
        <w:rPr>
          <w:rFonts w:ascii="Franklin Gothic Book" w:hAnsi="Franklin Gothic Book"/>
          <w:color w:val="auto"/>
          <w:sz w:val="22"/>
        </w:rPr>
        <w:fldChar w:fldCharType="end"/>
      </w:r>
      <w:r w:rsidR="0071384A" w:rsidRPr="00330942">
        <w:rPr>
          <w:rFonts w:ascii="Franklin Gothic Book" w:hAnsi="Franklin Gothic Book"/>
          <w:color w:val="auto"/>
          <w:sz w:val="22"/>
        </w:rPr>
        <w:t>)</w:t>
      </w:r>
      <w:r w:rsidRPr="00330942">
        <w:rPr>
          <w:rFonts w:ascii="Franklin Gothic Book" w:hAnsi="Franklin Gothic Book"/>
          <w:color w:val="auto"/>
          <w:sz w:val="22"/>
        </w:rPr>
        <w:t xml:space="preserve">, as only patients with locally advanced or metastatic CCA (as opposed to all CCA) would be eligible for testing. </w:t>
      </w:r>
      <w:r w:rsidR="00746EC0" w:rsidRPr="00330942">
        <w:rPr>
          <w:rFonts w:ascii="Franklin Gothic Book" w:hAnsi="Franklin Gothic Book"/>
          <w:sz w:val="22"/>
        </w:rPr>
        <w:t>The submission argued that in practice, the test population is understood to be adult patients with locally advanced or metastatic CCA</w:t>
      </w:r>
      <w:r w:rsidR="00746EC0" w:rsidRPr="00330942">
        <w:rPr>
          <w:rFonts w:ascii="Franklin Gothic Book" w:hAnsi="Franklin Gothic Book"/>
          <w:i/>
          <w:iCs/>
          <w:sz w:val="22"/>
        </w:rPr>
        <w:t>.</w:t>
      </w:r>
      <w:r w:rsidR="00746EC0" w:rsidRPr="00330942">
        <w:rPr>
          <w:rFonts w:ascii="Franklin Gothic Book" w:hAnsi="Franklin Gothic Book"/>
          <w:sz w:val="22"/>
        </w:rPr>
        <w:t xml:space="preserve"> This </w:t>
      </w:r>
      <w:r w:rsidR="0038198A" w:rsidRPr="00330942">
        <w:rPr>
          <w:rFonts w:ascii="Franklin Gothic Book" w:hAnsi="Franklin Gothic Book"/>
          <w:sz w:val="22"/>
        </w:rPr>
        <w:t>wa</w:t>
      </w:r>
      <w:r w:rsidR="00746EC0" w:rsidRPr="00330942">
        <w:rPr>
          <w:rFonts w:ascii="Franklin Gothic Book" w:hAnsi="Franklin Gothic Book"/>
          <w:sz w:val="22"/>
        </w:rPr>
        <w:t>s aligned with key clinical guideline recommendations (ESMO 2023</w:t>
      </w:r>
      <w:r w:rsidR="00F41DAE" w:rsidRPr="00330942">
        <w:rPr>
          <w:rStyle w:val="FootnoteReference"/>
          <w:rFonts w:ascii="Franklin Gothic Book" w:hAnsi="Franklin Gothic Book"/>
          <w:sz w:val="22"/>
        </w:rPr>
        <w:footnoteReference w:id="4"/>
      </w:r>
      <w:r w:rsidR="00746EC0" w:rsidRPr="00330942">
        <w:rPr>
          <w:rFonts w:ascii="Franklin Gothic Book" w:hAnsi="Franklin Gothic Book"/>
          <w:sz w:val="22"/>
        </w:rPr>
        <w:t>; NCCN 2024</w:t>
      </w:r>
      <w:r w:rsidR="00F41DAE" w:rsidRPr="00330942">
        <w:rPr>
          <w:rStyle w:val="FootnoteReference"/>
          <w:rFonts w:ascii="Franklin Gothic Book" w:hAnsi="Franklin Gothic Book"/>
          <w:sz w:val="22"/>
        </w:rPr>
        <w:footnoteReference w:id="5"/>
      </w:r>
      <w:r w:rsidR="00746EC0" w:rsidRPr="00330942">
        <w:rPr>
          <w:rFonts w:ascii="Franklin Gothic Book" w:hAnsi="Franklin Gothic Book"/>
          <w:sz w:val="22"/>
        </w:rPr>
        <w:t>) and current Australian clinical practice, as informed by local experts</w:t>
      </w:r>
      <w:r w:rsidR="00383EA3" w:rsidRPr="00330942">
        <w:rPr>
          <w:rFonts w:ascii="Franklin Gothic Book" w:hAnsi="Franklin Gothic Book"/>
          <w:sz w:val="22"/>
        </w:rPr>
        <w:t xml:space="preserve">. The PASC noted that public consultation responses supported testing at the point of diagnosis, as availability of tumour tissue can be problematic, and supported integrated panel testing rather than sequential testing. “PASC supported testing for </w:t>
      </w:r>
      <w:r w:rsidR="00383EA3" w:rsidRPr="00330942">
        <w:rPr>
          <w:rFonts w:ascii="Franklin Gothic Book" w:hAnsi="Franklin Gothic Book"/>
          <w:i/>
          <w:iCs/>
          <w:sz w:val="22"/>
        </w:rPr>
        <w:t>FGFR2</w:t>
      </w:r>
      <w:r w:rsidR="00383EA3" w:rsidRPr="00330942">
        <w:rPr>
          <w:rFonts w:ascii="Franklin Gothic Book" w:hAnsi="Franklin Gothic Book"/>
          <w:sz w:val="22"/>
        </w:rPr>
        <w:t xml:space="preserve"> gene fusion at the point of diagnosis, regardless of stage, as CCA is a rapidly progressive disease. Testing at point of diagnosis would also streamline the diagnostic process and allow more efficient use of diagnostic tissue. PASC also noted applicant’s clinical expert advice that performing testing at diagnosis would ensure use of high-quality nucleic acids which would be crucial especially if RNA testing is performed.” (p6, 1779 Ratified PICO – August 2024 PASC meeting)</w:t>
      </w:r>
      <w:r w:rsidR="00746EC0" w:rsidRPr="00330942">
        <w:rPr>
          <w:rFonts w:ascii="Franklin Gothic Book" w:hAnsi="Franklin Gothic Book"/>
          <w:sz w:val="22"/>
        </w:rPr>
        <w:t>;</w:t>
      </w:r>
    </w:p>
    <w:p w14:paraId="4DD0208A" w14:textId="40B2C217" w:rsidR="00746EC0" w:rsidRPr="00330942" w:rsidRDefault="000E3EA2" w:rsidP="00330942">
      <w:pPr>
        <w:numPr>
          <w:ilvl w:val="0"/>
          <w:numId w:val="16"/>
        </w:numPr>
        <w:jc w:val="left"/>
        <w:rPr>
          <w:rFonts w:ascii="Franklin Gothic Book" w:hAnsi="Franklin Gothic Book"/>
          <w:sz w:val="22"/>
        </w:rPr>
      </w:pPr>
      <w:r w:rsidRPr="00330942">
        <w:rPr>
          <w:rFonts w:ascii="Franklin Gothic Book" w:hAnsi="Franklin Gothic Book"/>
          <w:sz w:val="22"/>
        </w:rPr>
        <w:t>The submission’s proposed alternate descriptor specified that testing should be with next generation sequencing (NGS) on RNA whereas the item descriptor from the 1779 Ratified PICO was test agnostic. The submission stated that the</w:t>
      </w:r>
      <w:r w:rsidR="00746EC0" w:rsidRPr="00330942">
        <w:rPr>
          <w:rFonts w:ascii="Franklin Gothic Book" w:hAnsi="Franklin Gothic Book"/>
          <w:sz w:val="22"/>
        </w:rPr>
        <w:t xml:space="preserve"> most relevant test intervention is understood to be tumour tissue testing using NGS on RNA. Local expert advice suggests that aside from testing conducted by Omico (in which a large NGS panel is utilised), tumour tissue testing for </w:t>
      </w:r>
      <w:r w:rsidR="00746EC0" w:rsidRPr="00330942">
        <w:rPr>
          <w:rFonts w:ascii="Franklin Gothic Book" w:hAnsi="Franklin Gothic Book"/>
          <w:i/>
          <w:iCs/>
          <w:sz w:val="22"/>
        </w:rPr>
        <w:t>FGFR2</w:t>
      </w:r>
      <w:r w:rsidR="00746EC0" w:rsidRPr="00330942">
        <w:rPr>
          <w:rFonts w:ascii="Franklin Gothic Book" w:hAnsi="Franklin Gothic Book"/>
          <w:sz w:val="22"/>
        </w:rPr>
        <w:t xml:space="preserve"> fusions is primarily undertaken using a small RNA fusion panel. </w:t>
      </w:r>
      <w:r w:rsidR="007040D4" w:rsidRPr="00330942">
        <w:rPr>
          <w:rFonts w:ascii="Franklin Gothic Book" w:hAnsi="Franklin Gothic Book"/>
          <w:sz w:val="22"/>
        </w:rPr>
        <w:t>Fluorescence in situ hybridisation (</w:t>
      </w:r>
      <w:r w:rsidR="00746EC0" w:rsidRPr="00330942">
        <w:rPr>
          <w:rFonts w:ascii="Franklin Gothic Book" w:hAnsi="Franklin Gothic Book"/>
          <w:sz w:val="22"/>
        </w:rPr>
        <w:t>FISH</w:t>
      </w:r>
      <w:r w:rsidR="007040D4" w:rsidRPr="00330942">
        <w:rPr>
          <w:rFonts w:ascii="Franklin Gothic Book" w:hAnsi="Franklin Gothic Book"/>
          <w:sz w:val="22"/>
        </w:rPr>
        <w:t>)</w:t>
      </w:r>
      <w:r w:rsidR="00746EC0" w:rsidRPr="00330942">
        <w:rPr>
          <w:rFonts w:ascii="Franklin Gothic Book" w:hAnsi="Franklin Gothic Book"/>
          <w:sz w:val="22"/>
        </w:rPr>
        <w:t xml:space="preserve"> is not considered a viable option and the applicant has been unable to identify evidence of FISH being utilised for this purpose in clinical practice. </w:t>
      </w:r>
      <w:r w:rsidR="00683082" w:rsidRPr="00330942">
        <w:rPr>
          <w:rFonts w:ascii="Franklin Gothic Book" w:hAnsi="Franklin Gothic Book"/>
          <w:sz w:val="22"/>
        </w:rPr>
        <w:t>At the PASC meeting, t</w:t>
      </w:r>
      <w:r w:rsidR="00746EC0" w:rsidRPr="00330942">
        <w:rPr>
          <w:rFonts w:ascii="Franklin Gothic Book" w:hAnsi="Franklin Gothic Book"/>
          <w:sz w:val="22"/>
        </w:rPr>
        <w:t xml:space="preserve">he </w:t>
      </w:r>
      <w:r w:rsidR="00683082" w:rsidRPr="00330942">
        <w:rPr>
          <w:rFonts w:ascii="Franklin Gothic Book" w:hAnsi="Franklin Gothic Book"/>
          <w:sz w:val="22"/>
        </w:rPr>
        <w:t xml:space="preserve">applicant’s </w:t>
      </w:r>
      <w:r w:rsidR="00746EC0" w:rsidRPr="00330942">
        <w:rPr>
          <w:rFonts w:ascii="Franklin Gothic Book" w:hAnsi="Franklin Gothic Book"/>
          <w:sz w:val="22"/>
        </w:rPr>
        <w:t xml:space="preserve">clinical expert explained that it would not be cost effective for laboratories to set up FISH testing to detect </w:t>
      </w:r>
      <w:r w:rsidR="00746EC0" w:rsidRPr="00330942">
        <w:rPr>
          <w:rFonts w:ascii="Franklin Gothic Book" w:hAnsi="Franklin Gothic Book"/>
          <w:i/>
          <w:iCs/>
          <w:sz w:val="22"/>
        </w:rPr>
        <w:t>FGFR2</w:t>
      </w:r>
      <w:r w:rsidR="00746EC0" w:rsidRPr="00330942">
        <w:rPr>
          <w:rFonts w:ascii="Franklin Gothic Book" w:hAnsi="Franklin Gothic Book"/>
          <w:sz w:val="22"/>
        </w:rPr>
        <w:t xml:space="preserve"> fusions and </w:t>
      </w:r>
      <w:r w:rsidR="00746EC0" w:rsidRPr="00330942">
        <w:rPr>
          <w:rFonts w:ascii="Franklin Gothic Book" w:hAnsi="Franklin Gothic Book"/>
          <w:sz w:val="22"/>
        </w:rPr>
        <w:lastRenderedPageBreak/>
        <w:t xml:space="preserve">rearrangements. </w:t>
      </w:r>
      <w:r w:rsidR="00035578" w:rsidRPr="00330942">
        <w:rPr>
          <w:rFonts w:ascii="Franklin Gothic Book" w:hAnsi="Franklin Gothic Book"/>
          <w:sz w:val="22"/>
        </w:rPr>
        <w:t>According to the ratified PICO, PASC considered that a method agnostic item may be reasonable as other testing methodologies</w:t>
      </w:r>
      <w:r w:rsidR="00B43BFD" w:rsidRPr="00330942">
        <w:rPr>
          <w:rFonts w:ascii="Franklin Gothic Book" w:hAnsi="Franklin Gothic Book"/>
          <w:sz w:val="22"/>
        </w:rPr>
        <w:t xml:space="preserve"> such as NGS on DNA and FISH</w:t>
      </w:r>
      <w:r w:rsidR="00035578" w:rsidRPr="00330942">
        <w:rPr>
          <w:rFonts w:ascii="Franklin Gothic Book" w:hAnsi="Franklin Gothic Book"/>
          <w:sz w:val="22"/>
        </w:rPr>
        <w:t xml:space="preserve"> could be used in Australia. </w:t>
      </w:r>
      <w:r w:rsidR="00B43BFD" w:rsidRPr="00330942">
        <w:rPr>
          <w:rFonts w:ascii="Franklin Gothic Book" w:hAnsi="Franklin Gothic Book"/>
          <w:sz w:val="22"/>
        </w:rPr>
        <w:t>The restriction of the item descriptor to NGS from RNA does not align with this view.</w:t>
      </w:r>
      <w:r w:rsidR="00746EC0" w:rsidRPr="00330942">
        <w:rPr>
          <w:rFonts w:ascii="Franklin Gothic Book" w:hAnsi="Franklin Gothic Book"/>
          <w:sz w:val="22"/>
        </w:rPr>
        <w:t>; and</w:t>
      </w:r>
    </w:p>
    <w:p w14:paraId="1022D0C1" w14:textId="13E860B6" w:rsidR="00746EC0" w:rsidRPr="00330942" w:rsidRDefault="00746EC0" w:rsidP="00330942">
      <w:pPr>
        <w:numPr>
          <w:ilvl w:val="0"/>
          <w:numId w:val="16"/>
        </w:numPr>
        <w:jc w:val="left"/>
        <w:rPr>
          <w:rFonts w:ascii="Franklin Gothic Book" w:hAnsi="Franklin Gothic Book"/>
          <w:sz w:val="22"/>
        </w:rPr>
      </w:pPr>
      <w:r w:rsidRPr="00330942">
        <w:rPr>
          <w:rFonts w:ascii="Franklin Gothic Book" w:hAnsi="Franklin Gothic Book"/>
          <w:sz w:val="22"/>
        </w:rPr>
        <w:t>A reduced fee in the submission ($350) compared to the ratified PICO ($600)</w:t>
      </w:r>
      <w:r w:rsidR="001C118C" w:rsidRPr="00330942">
        <w:rPr>
          <w:rFonts w:ascii="Franklin Gothic Book" w:hAnsi="Franklin Gothic Book"/>
          <w:sz w:val="22"/>
        </w:rPr>
        <w:t xml:space="preserve">. </w:t>
      </w:r>
      <w:r w:rsidRPr="00330942">
        <w:rPr>
          <w:rFonts w:ascii="Franklin Gothic Book" w:hAnsi="Franklin Gothic Book"/>
          <w:sz w:val="22"/>
        </w:rPr>
        <w:t xml:space="preserve">The submission identified a range of MBS fees listed for NGS. For example, </w:t>
      </w:r>
    </w:p>
    <w:p w14:paraId="22AF2F71" w14:textId="3306DBD5" w:rsidR="00746EC0" w:rsidRPr="00330942" w:rsidRDefault="00746EC0" w:rsidP="00330942">
      <w:pPr>
        <w:pStyle w:val="ListParagraph"/>
        <w:numPr>
          <w:ilvl w:val="0"/>
          <w:numId w:val="15"/>
        </w:numPr>
        <w:jc w:val="left"/>
        <w:rPr>
          <w:rFonts w:ascii="Franklin Gothic Book" w:hAnsi="Franklin Gothic Book"/>
          <w:color w:val="auto"/>
          <w:sz w:val="22"/>
        </w:rPr>
      </w:pPr>
      <w:r w:rsidRPr="00330942">
        <w:rPr>
          <w:rFonts w:ascii="Franklin Gothic Book" w:hAnsi="Franklin Gothic Book"/>
          <w:color w:val="auto"/>
          <w:sz w:val="22"/>
        </w:rPr>
        <w:t>Item 73437 for a DNA and RNA-based multi-gene panel test of tumour tissue from a patient with a new diagnosis of non-small cell lung cancer has a fee of $1,247.00</w:t>
      </w:r>
      <w:r w:rsidR="00B061AC" w:rsidRPr="00330942">
        <w:rPr>
          <w:rFonts w:ascii="Franklin Gothic Book" w:hAnsi="Franklin Gothic Book"/>
          <w:color w:val="auto"/>
          <w:sz w:val="22"/>
        </w:rPr>
        <w:t>;</w:t>
      </w:r>
    </w:p>
    <w:p w14:paraId="35BBC5C9" w14:textId="5A7574F0" w:rsidR="00746EC0" w:rsidRPr="00330942" w:rsidRDefault="00746EC0" w:rsidP="00330942">
      <w:pPr>
        <w:pStyle w:val="ListParagraph"/>
        <w:numPr>
          <w:ilvl w:val="0"/>
          <w:numId w:val="15"/>
        </w:numPr>
        <w:jc w:val="left"/>
        <w:rPr>
          <w:rFonts w:ascii="Franklin Gothic Book" w:hAnsi="Franklin Gothic Book"/>
          <w:color w:val="auto"/>
          <w:sz w:val="22"/>
        </w:rPr>
      </w:pPr>
      <w:r w:rsidRPr="00330942">
        <w:rPr>
          <w:rFonts w:ascii="Franklin Gothic Book" w:hAnsi="Franklin Gothic Book"/>
          <w:color w:val="auto"/>
          <w:sz w:val="22"/>
        </w:rPr>
        <w:t>Item 73439 for an RNA-based multi-gene panel test of tumour tissue from a patient with a new diagnosis of non-small cell lung cancer has a fee of $682.55</w:t>
      </w:r>
      <w:r w:rsidR="00B061AC" w:rsidRPr="00330942">
        <w:rPr>
          <w:rFonts w:ascii="Franklin Gothic Book" w:hAnsi="Franklin Gothic Book"/>
          <w:color w:val="auto"/>
          <w:sz w:val="22"/>
        </w:rPr>
        <w:t>;</w:t>
      </w:r>
    </w:p>
    <w:p w14:paraId="7F9F91A6" w14:textId="2E6811B0" w:rsidR="00746EC0" w:rsidRPr="00330942" w:rsidRDefault="00746EC0" w:rsidP="00330942">
      <w:pPr>
        <w:pStyle w:val="ListParagraph"/>
        <w:numPr>
          <w:ilvl w:val="0"/>
          <w:numId w:val="15"/>
        </w:numPr>
        <w:jc w:val="left"/>
        <w:rPr>
          <w:rFonts w:ascii="Franklin Gothic Book" w:hAnsi="Franklin Gothic Book"/>
          <w:color w:val="auto"/>
          <w:sz w:val="22"/>
        </w:rPr>
      </w:pPr>
      <w:r w:rsidRPr="00330942">
        <w:rPr>
          <w:rFonts w:ascii="Franklin Gothic Book" w:hAnsi="Franklin Gothic Book"/>
          <w:color w:val="auto"/>
          <w:sz w:val="22"/>
        </w:rPr>
        <w:t>Item 73376 for the analysis of tumour tissue from a patient with sarcoma for the analysis of four or more genes has a fee of $800, or item 73374 for the analysis of tumour tissue from a patient with sarcoma for the analysis of one gene has a fee of $340</w:t>
      </w:r>
      <w:r w:rsidR="00B061AC" w:rsidRPr="00330942">
        <w:rPr>
          <w:rFonts w:ascii="Franklin Gothic Book" w:hAnsi="Franklin Gothic Book"/>
          <w:color w:val="auto"/>
          <w:sz w:val="22"/>
        </w:rPr>
        <w:t>; and</w:t>
      </w:r>
    </w:p>
    <w:p w14:paraId="27A38125" w14:textId="297C50DD" w:rsidR="00746EC0" w:rsidRPr="00330942" w:rsidRDefault="00746EC0" w:rsidP="00330942">
      <w:pPr>
        <w:pStyle w:val="ListParagraph"/>
        <w:numPr>
          <w:ilvl w:val="0"/>
          <w:numId w:val="15"/>
        </w:numPr>
        <w:jc w:val="left"/>
        <w:rPr>
          <w:rFonts w:ascii="Franklin Gothic Book" w:hAnsi="Franklin Gothic Book"/>
          <w:color w:val="auto"/>
          <w:sz w:val="22"/>
        </w:rPr>
      </w:pPr>
      <w:r w:rsidRPr="00330942">
        <w:rPr>
          <w:rFonts w:ascii="Franklin Gothic Book" w:hAnsi="Franklin Gothic Book"/>
          <w:color w:val="auto"/>
          <w:sz w:val="22"/>
        </w:rPr>
        <w:t xml:space="preserve">Item 73433 for an NGS test for </w:t>
      </w:r>
      <w:r w:rsidR="007907B5" w:rsidRPr="00330942">
        <w:rPr>
          <w:rFonts w:ascii="Franklin Gothic Book" w:hAnsi="Franklin Gothic Book"/>
          <w:color w:val="auto"/>
          <w:sz w:val="22"/>
        </w:rPr>
        <w:t>neurotrophic receptor tyrosine kinase (</w:t>
      </w:r>
      <w:r w:rsidRPr="00330942">
        <w:rPr>
          <w:rFonts w:ascii="Franklin Gothic Book" w:hAnsi="Franklin Gothic Book"/>
          <w:color w:val="auto"/>
          <w:sz w:val="22"/>
        </w:rPr>
        <w:t>NTRK</w:t>
      </w:r>
      <w:r w:rsidR="007907B5" w:rsidRPr="00330942">
        <w:rPr>
          <w:rFonts w:ascii="Franklin Gothic Book" w:hAnsi="Franklin Gothic Book"/>
          <w:color w:val="auto"/>
          <w:sz w:val="22"/>
        </w:rPr>
        <w:t>)</w:t>
      </w:r>
      <w:r w:rsidRPr="00330942">
        <w:rPr>
          <w:rFonts w:ascii="Franklin Gothic Book" w:hAnsi="Franklin Gothic Book"/>
          <w:color w:val="auto"/>
          <w:sz w:val="22"/>
        </w:rPr>
        <w:t xml:space="preserve"> fusions by DNA or RNA in tumour tissue from a patient with a locally advanced or metastatic solid tumour has a fee of $1,000.00.</w:t>
      </w:r>
    </w:p>
    <w:p w14:paraId="3E3F61D1" w14:textId="3C07DF8C" w:rsidR="0019585A" w:rsidRPr="00330942" w:rsidRDefault="00746EC0" w:rsidP="00D5687F">
      <w:pPr>
        <w:jc w:val="left"/>
        <w:rPr>
          <w:rFonts w:ascii="Franklin Gothic Book" w:hAnsi="Franklin Gothic Book"/>
          <w:sz w:val="22"/>
        </w:rPr>
      </w:pPr>
      <w:r w:rsidRPr="00330942">
        <w:rPr>
          <w:rFonts w:ascii="Franklin Gothic Book" w:hAnsi="Franklin Gothic Book"/>
          <w:sz w:val="22"/>
        </w:rPr>
        <w:t xml:space="preserve">Currently, NGS gene panels and single gene tests, looking for </w:t>
      </w:r>
      <w:r w:rsidR="00AB474D" w:rsidRPr="00330942">
        <w:rPr>
          <w:rFonts w:ascii="Franklin Gothic Book" w:hAnsi="Franklin Gothic Book"/>
          <w:sz w:val="22"/>
        </w:rPr>
        <w:t>variant</w:t>
      </w:r>
      <w:r w:rsidRPr="00330942">
        <w:rPr>
          <w:rFonts w:ascii="Franklin Gothic Book" w:hAnsi="Franklin Gothic Book"/>
          <w:sz w:val="22"/>
        </w:rPr>
        <w:t xml:space="preserve">s in the </w:t>
      </w:r>
      <w:r w:rsidRPr="00330942">
        <w:rPr>
          <w:rFonts w:ascii="Franklin Gothic Book" w:hAnsi="Franklin Gothic Book"/>
          <w:i/>
          <w:iCs/>
          <w:sz w:val="22"/>
        </w:rPr>
        <w:t>FGFR2</w:t>
      </w:r>
      <w:r w:rsidRPr="00330942">
        <w:rPr>
          <w:rFonts w:ascii="Franklin Gothic Book" w:hAnsi="Franklin Gothic Book"/>
          <w:sz w:val="22"/>
        </w:rPr>
        <w:t xml:space="preserve"> gene, are being offered privately within Australia. The sponsor considered that laboratories currently charge private fees ranging from approximately $350 (to report a single gene) to $700 using an RNA fusion panel test based on the sponsor’s understanding of the price of NGS testing for </w:t>
      </w:r>
      <w:r w:rsidRPr="00330942">
        <w:rPr>
          <w:rFonts w:ascii="Franklin Gothic Book" w:hAnsi="Franklin Gothic Book"/>
          <w:i/>
          <w:iCs/>
          <w:sz w:val="22"/>
        </w:rPr>
        <w:t>FGFR2</w:t>
      </w:r>
      <w:r w:rsidRPr="00330942">
        <w:rPr>
          <w:rFonts w:ascii="Franklin Gothic Book" w:hAnsi="Franklin Gothic Book"/>
          <w:sz w:val="22"/>
        </w:rPr>
        <w:t xml:space="preserve"> fusion or rearrangement using RNA from Peter Mac, LifeStrands and Monash Health</w:t>
      </w:r>
      <w:r w:rsidR="0077031B" w:rsidRPr="00330942">
        <w:rPr>
          <w:rFonts w:ascii="Franklin Gothic Book" w:hAnsi="Franklin Gothic Book"/>
          <w:sz w:val="22"/>
        </w:rPr>
        <w:t xml:space="preserve">. </w:t>
      </w:r>
      <w:r w:rsidRPr="00330942">
        <w:rPr>
          <w:rFonts w:ascii="Franklin Gothic Book" w:hAnsi="Franklin Gothic Book"/>
          <w:sz w:val="22"/>
        </w:rPr>
        <w:t xml:space="preserve">A fee of $350 per test is applied in the base case of the economic and financial analyses in this submission given testing is proposed using RNA only and reporting is limited to </w:t>
      </w:r>
      <w:r w:rsidRPr="00330942">
        <w:rPr>
          <w:rFonts w:ascii="Franklin Gothic Book" w:hAnsi="Franklin Gothic Book"/>
          <w:i/>
          <w:iCs/>
          <w:sz w:val="22"/>
        </w:rPr>
        <w:t>FGFR2</w:t>
      </w:r>
      <w:r w:rsidRPr="00330942">
        <w:rPr>
          <w:rFonts w:ascii="Franklin Gothic Book" w:hAnsi="Franklin Gothic Book"/>
          <w:sz w:val="22"/>
        </w:rPr>
        <w:t xml:space="preserve"> fusions or rearrangements. </w:t>
      </w:r>
      <w:r w:rsidR="007C2B78" w:rsidRPr="00330942">
        <w:rPr>
          <w:rFonts w:ascii="Franklin Gothic Book" w:hAnsi="Franklin Gothic Book"/>
          <w:sz w:val="22"/>
        </w:rPr>
        <w:t xml:space="preserve">The </w:t>
      </w:r>
      <w:r w:rsidR="00EC25B4" w:rsidRPr="00330942">
        <w:rPr>
          <w:rFonts w:ascii="Franklin Gothic Book" w:hAnsi="Franklin Gothic Book"/>
          <w:sz w:val="22"/>
        </w:rPr>
        <w:t>commentary</w:t>
      </w:r>
      <w:r w:rsidR="007C2B78" w:rsidRPr="00330942">
        <w:rPr>
          <w:rFonts w:ascii="Franklin Gothic Book" w:hAnsi="Franklin Gothic Book"/>
          <w:sz w:val="22"/>
        </w:rPr>
        <w:t xml:space="preserve"> </w:t>
      </w:r>
      <w:r w:rsidR="006718AF" w:rsidRPr="00330942">
        <w:rPr>
          <w:rFonts w:ascii="Franklin Gothic Book" w:hAnsi="Franklin Gothic Book"/>
          <w:sz w:val="22"/>
        </w:rPr>
        <w:t>noted</w:t>
      </w:r>
      <w:r w:rsidR="007C2B78" w:rsidRPr="00330942">
        <w:rPr>
          <w:rFonts w:ascii="Franklin Gothic Book" w:hAnsi="Franklin Gothic Book"/>
          <w:sz w:val="22"/>
        </w:rPr>
        <w:t xml:space="preserve"> that t</w:t>
      </w:r>
      <w:r w:rsidRPr="00330942">
        <w:rPr>
          <w:rFonts w:ascii="Franklin Gothic Book" w:hAnsi="Franklin Gothic Book"/>
          <w:sz w:val="22"/>
        </w:rPr>
        <w:t xml:space="preserve">he economic model was not highly sensitive to cost of </w:t>
      </w:r>
      <w:r w:rsidRPr="00330942">
        <w:rPr>
          <w:rFonts w:ascii="Franklin Gothic Book" w:hAnsi="Franklin Gothic Book"/>
          <w:i/>
          <w:iCs/>
          <w:sz w:val="22"/>
        </w:rPr>
        <w:t>FGFR2</w:t>
      </w:r>
      <w:r w:rsidRPr="00330942">
        <w:rPr>
          <w:rFonts w:ascii="Franklin Gothic Book" w:hAnsi="Franklin Gothic Book"/>
          <w:sz w:val="22"/>
        </w:rPr>
        <w:t xml:space="preserve"> testing</w:t>
      </w:r>
      <w:r w:rsidR="004F5D64" w:rsidRPr="00330942">
        <w:rPr>
          <w:rFonts w:ascii="Franklin Gothic Book" w:hAnsi="Franklin Gothic Book"/>
          <w:sz w:val="22"/>
        </w:rPr>
        <w:t>.</w:t>
      </w:r>
    </w:p>
    <w:p w14:paraId="300BB7AA" w14:textId="0043946C" w:rsidR="0019585A" w:rsidRPr="00330942" w:rsidRDefault="00B84DFC" w:rsidP="00330942">
      <w:pPr>
        <w:jc w:val="left"/>
        <w:rPr>
          <w:rFonts w:ascii="Franklin Gothic Book" w:hAnsi="Franklin Gothic Book"/>
          <w:sz w:val="22"/>
        </w:rPr>
      </w:pPr>
      <w:r w:rsidRPr="00330942">
        <w:rPr>
          <w:rFonts w:ascii="Franklin Gothic Book" w:hAnsi="Franklin Gothic Book"/>
          <w:sz w:val="22"/>
        </w:rPr>
        <w:t>Additionally,</w:t>
      </w:r>
      <w:r w:rsidR="00746EC0" w:rsidRPr="00330942">
        <w:rPr>
          <w:rFonts w:ascii="Franklin Gothic Book" w:hAnsi="Franklin Gothic Book"/>
          <w:sz w:val="22"/>
        </w:rPr>
        <w:t xml:space="preserve"> </w:t>
      </w:r>
      <w:r w:rsidR="00135BE3" w:rsidRPr="00330942">
        <w:rPr>
          <w:rFonts w:ascii="Franklin Gothic Book" w:hAnsi="Franklin Gothic Book"/>
          <w:sz w:val="22"/>
        </w:rPr>
        <w:t xml:space="preserve">public consultation </w:t>
      </w:r>
      <w:r w:rsidRPr="00330942">
        <w:rPr>
          <w:rFonts w:ascii="Franklin Gothic Book" w:hAnsi="Franklin Gothic Book"/>
          <w:sz w:val="22"/>
        </w:rPr>
        <w:t>i</w:t>
      </w:r>
      <w:r w:rsidR="00746EC0" w:rsidRPr="00330942">
        <w:rPr>
          <w:rFonts w:ascii="Franklin Gothic Book" w:hAnsi="Franklin Gothic Book"/>
          <w:sz w:val="22"/>
        </w:rPr>
        <w:t xml:space="preserve">nput </w:t>
      </w:r>
      <w:r w:rsidRPr="00330942">
        <w:rPr>
          <w:rFonts w:ascii="Franklin Gothic Book" w:hAnsi="Franklin Gothic Book"/>
          <w:sz w:val="22"/>
        </w:rPr>
        <w:t xml:space="preserve">for the 1779 ratified PICO </w:t>
      </w:r>
      <w:r w:rsidR="00746EC0" w:rsidRPr="00330942">
        <w:rPr>
          <w:rFonts w:ascii="Franklin Gothic Book" w:hAnsi="Franklin Gothic Book"/>
          <w:sz w:val="22"/>
        </w:rPr>
        <w:t>stated that the MBS item should consider integrated panel testing using NGS as there are multiple alterations in CCA that will have targeted therapies in the near future and the costs for sequencing comprehensively to identify all actionable targets rather than sequential individual targets is warranted.</w:t>
      </w:r>
      <w:r w:rsidR="002363A0" w:rsidRPr="00330942">
        <w:rPr>
          <w:rFonts w:ascii="Franklin Gothic Book" w:hAnsi="Franklin Gothic Book"/>
          <w:sz w:val="22"/>
        </w:rPr>
        <w:t xml:space="preserve"> </w:t>
      </w:r>
    </w:p>
    <w:p w14:paraId="60AC6C44" w14:textId="52550632" w:rsidR="0019585A" w:rsidRPr="00330942" w:rsidRDefault="0019585A" w:rsidP="00330942">
      <w:pPr>
        <w:jc w:val="left"/>
        <w:rPr>
          <w:rFonts w:ascii="Franklin Gothic Book" w:hAnsi="Franklin Gothic Book"/>
          <w:sz w:val="22"/>
        </w:rPr>
      </w:pPr>
      <w:r w:rsidRPr="00330942">
        <w:rPr>
          <w:rFonts w:ascii="Franklin Gothic Book" w:hAnsi="Franklin Gothic Book"/>
          <w:sz w:val="22"/>
        </w:rPr>
        <w:t>Moreover, the proposed MBS item descriptor in the 1750 application for IDH1 testing (for ivosidenib)</w:t>
      </w:r>
      <w:r w:rsidR="003061F6" w:rsidRPr="00330942">
        <w:rPr>
          <w:rFonts w:ascii="Franklin Gothic Book" w:hAnsi="Franklin Gothic Book"/>
          <w:sz w:val="22"/>
        </w:rPr>
        <w:t xml:space="preserve"> as per MSAC advice in August 2024</w:t>
      </w:r>
      <w:r w:rsidRPr="00330942">
        <w:rPr>
          <w:rFonts w:ascii="Franklin Gothic Book" w:hAnsi="Franklin Gothic Book"/>
          <w:sz w:val="22"/>
        </w:rPr>
        <w:t xml:space="preserve"> was “(d)etection in tumour tissue of isocitrate dehydrogenase 1 (</w:t>
      </w:r>
      <w:r w:rsidRPr="00330942">
        <w:rPr>
          <w:rFonts w:ascii="Franklin Gothic Book" w:hAnsi="Franklin Gothic Book"/>
          <w:i/>
          <w:iCs/>
          <w:sz w:val="22"/>
        </w:rPr>
        <w:t>IDH1</w:t>
      </w:r>
      <w:r w:rsidRPr="00330942">
        <w:rPr>
          <w:rFonts w:ascii="Franklin Gothic Book" w:hAnsi="Franklin Gothic Book"/>
          <w:sz w:val="22"/>
        </w:rPr>
        <w:t xml:space="preserve">) variant status, in a patient with </w:t>
      </w:r>
      <w:r w:rsidRPr="46299847">
        <w:rPr>
          <w:rFonts w:ascii="Franklin Gothic Book" w:hAnsi="Franklin Gothic Book"/>
          <w:sz w:val="22"/>
        </w:rPr>
        <w:t>histologically</w:t>
      </w:r>
      <w:r w:rsidRPr="00330942">
        <w:rPr>
          <w:rFonts w:ascii="Franklin Gothic Book" w:hAnsi="Franklin Gothic Book"/>
          <w:sz w:val="22"/>
        </w:rPr>
        <w:t xml:space="preserve"> confirmed cholangiocarcinoma, to determine access to a relevant treatment under the Pharmaceutical Benefits Scheme”</w:t>
      </w:r>
      <w:r w:rsidR="003061F6" w:rsidRPr="00330942">
        <w:rPr>
          <w:rFonts w:ascii="Franklin Gothic Book" w:hAnsi="Franklin Gothic Book"/>
          <w:sz w:val="22"/>
        </w:rPr>
        <w:t xml:space="preserve"> (1750 public summary document)</w:t>
      </w:r>
      <w:r w:rsidRPr="00330942">
        <w:rPr>
          <w:rFonts w:ascii="Franklin Gothic Book" w:hAnsi="Franklin Gothic Book"/>
          <w:sz w:val="22"/>
        </w:rPr>
        <w:t xml:space="preserve">, which was </w:t>
      </w:r>
      <w:r w:rsidR="00CE2642" w:rsidRPr="00330942">
        <w:rPr>
          <w:rFonts w:ascii="Franklin Gothic Book" w:hAnsi="Franklin Gothic Book"/>
          <w:sz w:val="22"/>
        </w:rPr>
        <w:t>comparable</w:t>
      </w:r>
      <w:r w:rsidRPr="00330942">
        <w:rPr>
          <w:rFonts w:ascii="Franklin Gothic Book" w:hAnsi="Franklin Gothic Book"/>
          <w:sz w:val="22"/>
        </w:rPr>
        <w:t xml:space="preserve"> with the item descriptor from the 1779 ratified PICO (</w:t>
      </w:r>
      <w:r w:rsidR="005B1C7E" w:rsidRPr="005B1C7E">
        <w:rPr>
          <w:rFonts w:ascii="Franklin Gothic Book" w:hAnsi="Franklin Gothic Book"/>
          <w:sz w:val="22"/>
        </w:rPr>
        <w:fldChar w:fldCharType="begin"/>
      </w:r>
      <w:r w:rsidR="005B1C7E" w:rsidRPr="005B1C7E">
        <w:rPr>
          <w:rFonts w:ascii="Franklin Gothic Book" w:hAnsi="Franklin Gothic Book"/>
          <w:sz w:val="22"/>
        </w:rPr>
        <w:instrText xml:space="preserve"> REF _Ref198446742  \* MERGEFORMAT </w:instrText>
      </w:r>
      <w:r w:rsidR="005B1C7E" w:rsidRPr="005B1C7E">
        <w:rPr>
          <w:rFonts w:ascii="Franklin Gothic Book" w:hAnsi="Franklin Gothic Book"/>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1</w:t>
      </w:r>
      <w:r w:rsidR="005B1C7E" w:rsidRPr="005B1C7E">
        <w:rPr>
          <w:rFonts w:ascii="Franklin Gothic Book" w:hAnsi="Franklin Gothic Book"/>
          <w:sz w:val="22"/>
        </w:rPr>
        <w:fldChar w:fldCharType="end"/>
      </w:r>
      <w:r w:rsidRPr="00330942">
        <w:rPr>
          <w:rFonts w:ascii="Franklin Gothic Book" w:hAnsi="Franklin Gothic Book"/>
          <w:sz w:val="22"/>
        </w:rPr>
        <w:t>)</w:t>
      </w:r>
      <w:r w:rsidR="00990C42" w:rsidRPr="00330942">
        <w:rPr>
          <w:rFonts w:ascii="Franklin Gothic Book" w:hAnsi="Franklin Gothic Book"/>
          <w:sz w:val="22"/>
        </w:rPr>
        <w:t>. The proposed</w:t>
      </w:r>
      <w:r w:rsidR="004D1A46" w:rsidRPr="00330942">
        <w:rPr>
          <w:rFonts w:ascii="Franklin Gothic Book" w:hAnsi="Franklin Gothic Book"/>
          <w:sz w:val="22"/>
        </w:rPr>
        <w:t xml:space="preserve"> </w:t>
      </w:r>
      <w:r w:rsidR="00990C42" w:rsidRPr="00330942">
        <w:rPr>
          <w:rFonts w:ascii="Franklin Gothic Book" w:hAnsi="Franklin Gothic Book"/>
          <w:sz w:val="22"/>
        </w:rPr>
        <w:t>test</w:t>
      </w:r>
      <w:r w:rsidRPr="00330942">
        <w:rPr>
          <w:rFonts w:ascii="Franklin Gothic Book" w:hAnsi="Franklin Gothic Book"/>
          <w:sz w:val="22"/>
        </w:rPr>
        <w:t xml:space="preserve"> </w:t>
      </w:r>
      <w:r w:rsidR="00990C42" w:rsidRPr="00330942">
        <w:rPr>
          <w:rFonts w:ascii="Franklin Gothic Book" w:hAnsi="Franklin Gothic Book"/>
          <w:sz w:val="22"/>
        </w:rPr>
        <w:t>in 1750</w:t>
      </w:r>
      <w:r w:rsidR="00765F43" w:rsidRPr="00330942">
        <w:rPr>
          <w:rFonts w:ascii="Franklin Gothic Book" w:hAnsi="Franklin Gothic Book"/>
          <w:sz w:val="22"/>
        </w:rPr>
        <w:t xml:space="preserve"> </w:t>
      </w:r>
      <w:r w:rsidR="00787029" w:rsidRPr="00330942">
        <w:rPr>
          <w:rFonts w:ascii="Franklin Gothic Book" w:hAnsi="Franklin Gothic Book"/>
          <w:sz w:val="22"/>
        </w:rPr>
        <w:t xml:space="preserve">was </w:t>
      </w:r>
      <w:r w:rsidR="00765F43" w:rsidRPr="00330942">
        <w:rPr>
          <w:rFonts w:ascii="Franklin Gothic Book" w:hAnsi="Franklin Gothic Book"/>
          <w:sz w:val="22"/>
        </w:rPr>
        <w:t xml:space="preserve">associated </w:t>
      </w:r>
      <w:r w:rsidRPr="00330942">
        <w:rPr>
          <w:rFonts w:ascii="Franklin Gothic Book" w:hAnsi="Franklin Gothic Book"/>
          <w:sz w:val="22"/>
        </w:rPr>
        <w:t xml:space="preserve">with a </w:t>
      </w:r>
      <w:r w:rsidR="00765F43" w:rsidRPr="00330942">
        <w:rPr>
          <w:rFonts w:ascii="Franklin Gothic Book" w:hAnsi="Franklin Gothic Book"/>
          <w:sz w:val="22"/>
        </w:rPr>
        <w:t xml:space="preserve">proposed </w:t>
      </w:r>
      <w:r w:rsidRPr="00330942">
        <w:rPr>
          <w:rFonts w:ascii="Franklin Gothic Book" w:hAnsi="Franklin Gothic Book"/>
          <w:sz w:val="22"/>
        </w:rPr>
        <w:t>fee of $340</w:t>
      </w:r>
      <w:r w:rsidR="00787029" w:rsidRPr="00330942">
        <w:rPr>
          <w:rFonts w:ascii="Franklin Gothic Book" w:hAnsi="Franklin Gothic Book"/>
          <w:sz w:val="22"/>
        </w:rPr>
        <w:t>,</w:t>
      </w:r>
      <w:r w:rsidR="00F01583" w:rsidRPr="00330942">
        <w:rPr>
          <w:rFonts w:ascii="Franklin Gothic Book" w:hAnsi="Franklin Gothic Book"/>
          <w:sz w:val="22"/>
        </w:rPr>
        <w:t xml:space="preserve"> which </w:t>
      </w:r>
      <w:r w:rsidR="00787029" w:rsidRPr="00330942">
        <w:rPr>
          <w:rFonts w:ascii="Franklin Gothic Book" w:hAnsi="Franklin Gothic Book"/>
          <w:sz w:val="22"/>
        </w:rPr>
        <w:t>MSAC</w:t>
      </w:r>
      <w:r w:rsidR="00F01583" w:rsidRPr="00330942">
        <w:rPr>
          <w:rFonts w:ascii="Franklin Gothic Book" w:hAnsi="Franklin Gothic Book"/>
          <w:sz w:val="22"/>
        </w:rPr>
        <w:t xml:space="preserve"> considered appropriate (p4, Application 1750 PSD, MSAC meeting July 2024)</w:t>
      </w:r>
      <w:r w:rsidRPr="00330942">
        <w:rPr>
          <w:rFonts w:ascii="Franklin Gothic Book" w:hAnsi="Franklin Gothic Book"/>
          <w:sz w:val="22"/>
        </w:rPr>
        <w:t xml:space="preserve">. </w:t>
      </w:r>
    </w:p>
    <w:p w14:paraId="093E5C45" w14:textId="00EF56D2" w:rsidR="00125BB0" w:rsidRDefault="007B7E62" w:rsidP="00330942">
      <w:pPr>
        <w:jc w:val="left"/>
        <w:rPr>
          <w:rFonts w:ascii="Franklin Gothic Book" w:hAnsi="Franklin Gothic Book"/>
          <w:i/>
          <w:iCs/>
          <w:sz w:val="22"/>
        </w:rPr>
      </w:pPr>
      <w:r w:rsidRPr="00330942">
        <w:rPr>
          <w:rFonts w:ascii="Franklin Gothic Book" w:hAnsi="Franklin Gothic Book"/>
          <w:sz w:val="22"/>
        </w:rPr>
        <w:t xml:space="preserve">The </w:t>
      </w:r>
      <w:r w:rsidR="00EC25B4" w:rsidRPr="00330942">
        <w:rPr>
          <w:rFonts w:ascii="Franklin Gothic Book" w:hAnsi="Franklin Gothic Book"/>
          <w:sz w:val="22"/>
        </w:rPr>
        <w:t>commentary</w:t>
      </w:r>
      <w:r w:rsidRPr="00330942">
        <w:rPr>
          <w:rFonts w:ascii="Franklin Gothic Book" w:hAnsi="Franklin Gothic Book"/>
          <w:sz w:val="22"/>
        </w:rPr>
        <w:t xml:space="preserve"> considered that o</w:t>
      </w:r>
      <w:r w:rsidR="00F24BFD" w:rsidRPr="00330942">
        <w:rPr>
          <w:rFonts w:ascii="Franklin Gothic Book" w:hAnsi="Franklin Gothic Book"/>
          <w:sz w:val="22"/>
        </w:rPr>
        <w:t>verall</w:t>
      </w:r>
      <w:r w:rsidR="00746EC0" w:rsidRPr="00330942">
        <w:rPr>
          <w:rFonts w:ascii="Franklin Gothic Book" w:hAnsi="Franklin Gothic Book"/>
          <w:sz w:val="22"/>
        </w:rPr>
        <w:t>, the item descriptor as presented in the 1779 Ratified PICO</w:t>
      </w:r>
      <w:r w:rsidR="00AE5138" w:rsidRPr="00330942">
        <w:rPr>
          <w:rFonts w:ascii="Franklin Gothic Book" w:hAnsi="Franklin Gothic Book"/>
          <w:sz w:val="22"/>
        </w:rPr>
        <w:t xml:space="preserve"> (</w:t>
      </w:r>
      <w:r w:rsidR="005B1C7E" w:rsidRPr="005B1C7E">
        <w:rPr>
          <w:rFonts w:ascii="Franklin Gothic Book" w:hAnsi="Franklin Gothic Book"/>
          <w:sz w:val="22"/>
        </w:rPr>
        <w:fldChar w:fldCharType="begin"/>
      </w:r>
      <w:r w:rsidR="005B1C7E" w:rsidRPr="005B1C7E">
        <w:rPr>
          <w:rFonts w:ascii="Franklin Gothic Book" w:hAnsi="Franklin Gothic Book"/>
          <w:sz w:val="22"/>
        </w:rPr>
        <w:instrText xml:space="preserve"> REF _Ref198446742  \* MERGEFORMAT </w:instrText>
      </w:r>
      <w:r w:rsidR="005B1C7E" w:rsidRPr="005B1C7E">
        <w:rPr>
          <w:rFonts w:ascii="Franklin Gothic Book" w:hAnsi="Franklin Gothic Book"/>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1</w:t>
      </w:r>
      <w:r w:rsidR="005B1C7E" w:rsidRPr="005B1C7E">
        <w:rPr>
          <w:rFonts w:ascii="Franklin Gothic Book" w:hAnsi="Franklin Gothic Book"/>
          <w:sz w:val="22"/>
        </w:rPr>
        <w:fldChar w:fldCharType="end"/>
      </w:r>
      <w:r w:rsidR="00121384" w:rsidRPr="00330942">
        <w:rPr>
          <w:rFonts w:ascii="Franklin Gothic Book" w:hAnsi="Franklin Gothic Book"/>
          <w:sz w:val="22"/>
        </w:rPr>
        <w:t>)</w:t>
      </w:r>
      <w:r w:rsidR="00816E51" w:rsidRPr="00330942">
        <w:rPr>
          <w:rFonts w:ascii="Franklin Gothic Book" w:hAnsi="Franklin Gothic Book"/>
          <w:sz w:val="22"/>
        </w:rPr>
        <w:t xml:space="preserve"> </w:t>
      </w:r>
      <w:r w:rsidR="00746EC0" w:rsidRPr="00330942">
        <w:rPr>
          <w:rFonts w:ascii="Franklin Gothic Book" w:hAnsi="Franklin Gothic Book"/>
          <w:sz w:val="22"/>
        </w:rPr>
        <w:t>may better reflect Australian clinical advice</w:t>
      </w:r>
      <w:r w:rsidR="00710D1D" w:rsidRPr="00330942">
        <w:rPr>
          <w:rFonts w:ascii="Franklin Gothic Book" w:hAnsi="Franklin Gothic Book"/>
          <w:sz w:val="22"/>
        </w:rPr>
        <w:t xml:space="preserve"> received by the PASC</w:t>
      </w:r>
      <w:r w:rsidR="007B58C1" w:rsidRPr="00330942">
        <w:rPr>
          <w:rFonts w:ascii="Franklin Gothic Book" w:hAnsi="Franklin Gothic Book"/>
          <w:sz w:val="22"/>
        </w:rPr>
        <w:t xml:space="preserve"> and be </w:t>
      </w:r>
      <w:r w:rsidR="00710D1D" w:rsidRPr="00330942">
        <w:rPr>
          <w:rFonts w:ascii="Franklin Gothic Book" w:hAnsi="Franklin Gothic Book"/>
          <w:sz w:val="22"/>
        </w:rPr>
        <w:t xml:space="preserve">more comparable </w:t>
      </w:r>
      <w:r w:rsidR="007B58C1" w:rsidRPr="00330942">
        <w:rPr>
          <w:rFonts w:ascii="Franklin Gothic Book" w:hAnsi="Franklin Gothic Book"/>
          <w:sz w:val="22"/>
        </w:rPr>
        <w:t>with MSAC application 1750</w:t>
      </w:r>
      <w:r w:rsidR="00746EC0" w:rsidRPr="00330942">
        <w:rPr>
          <w:rFonts w:ascii="Franklin Gothic Book" w:hAnsi="Franklin Gothic Book"/>
          <w:sz w:val="22"/>
        </w:rPr>
        <w:t>.</w:t>
      </w:r>
      <w:r w:rsidR="00746EC0" w:rsidRPr="00330942">
        <w:rPr>
          <w:rFonts w:ascii="Franklin Gothic Book" w:hAnsi="Franklin Gothic Book"/>
          <w:i/>
          <w:iCs/>
          <w:sz w:val="22"/>
        </w:rPr>
        <w:t xml:space="preserve"> </w:t>
      </w:r>
    </w:p>
    <w:p w14:paraId="4A7D9E21" w14:textId="2465D8F7" w:rsidR="00125BB0" w:rsidRPr="00FE02BC" w:rsidRDefault="005B1C7E" w:rsidP="00125BB0">
      <w:pPr>
        <w:pStyle w:val="MSACESBulletPoint"/>
        <w:numPr>
          <w:ilvl w:val="0"/>
          <w:numId w:val="0"/>
        </w:numPr>
        <w:rPr>
          <w:rFonts w:ascii="Franklin Gothic Book" w:hAnsi="Franklin Gothic Book" w:cstheme="minorHAnsi"/>
          <w:sz w:val="22"/>
        </w:rPr>
      </w:pPr>
      <w:r w:rsidRPr="005B1C7E">
        <w:rPr>
          <w:rFonts w:ascii="Franklin Gothic Book" w:hAnsi="Franklin Gothic Book" w:cstheme="minorHAnsi"/>
          <w:sz w:val="22"/>
        </w:rPr>
        <w:fldChar w:fldCharType="begin"/>
      </w:r>
      <w:r w:rsidRPr="005B1C7E">
        <w:rPr>
          <w:rFonts w:ascii="Franklin Gothic Book" w:hAnsi="Franklin Gothic Book" w:cstheme="minorHAnsi"/>
          <w:sz w:val="22"/>
        </w:rPr>
        <w:instrText xml:space="preserve"> REF _Ref198447039  \* MERGEFORMAT </w:instrText>
      </w:r>
      <w:r w:rsidRPr="005B1C7E">
        <w:rPr>
          <w:rFonts w:ascii="Franklin Gothic Book" w:hAnsi="Franklin Gothic Book" w:cstheme="minorHAnsi"/>
          <w:sz w:val="22"/>
        </w:rPr>
        <w:fldChar w:fldCharType="separate"/>
      </w:r>
      <w:r w:rsidRPr="005B1C7E">
        <w:rPr>
          <w:rFonts w:ascii="Franklin Gothic Book" w:hAnsi="Franklin Gothic Book"/>
          <w:sz w:val="22"/>
        </w:rPr>
        <w:t xml:space="preserve">Table </w:t>
      </w:r>
      <w:r w:rsidRPr="005B1C7E">
        <w:rPr>
          <w:rFonts w:ascii="Franklin Gothic Book" w:hAnsi="Franklin Gothic Book"/>
          <w:noProof/>
          <w:sz w:val="22"/>
        </w:rPr>
        <w:t>3</w:t>
      </w:r>
      <w:r w:rsidRPr="005B1C7E">
        <w:rPr>
          <w:rFonts w:ascii="Franklin Gothic Book" w:hAnsi="Franklin Gothic Book" w:cstheme="minorHAnsi"/>
          <w:sz w:val="22"/>
        </w:rPr>
        <w:fldChar w:fldCharType="end"/>
      </w:r>
      <w:r>
        <w:rPr>
          <w:rFonts w:ascii="Franklin Gothic Book" w:hAnsi="Franklin Gothic Book" w:cstheme="minorHAnsi"/>
          <w:sz w:val="22"/>
        </w:rPr>
        <w:t xml:space="preserve"> </w:t>
      </w:r>
      <w:r w:rsidR="00125BB0" w:rsidRPr="00FE02BC">
        <w:rPr>
          <w:rFonts w:ascii="Franklin Gothic Book" w:hAnsi="Franklin Gothic Book" w:cstheme="minorHAnsi"/>
          <w:sz w:val="22"/>
        </w:rPr>
        <w:t xml:space="preserve">presents the submission’s PICO table. </w:t>
      </w:r>
    </w:p>
    <w:p w14:paraId="50282550" w14:textId="444B63AB" w:rsidR="00125BB0" w:rsidRPr="009D316D" w:rsidRDefault="009D316D" w:rsidP="009D316D">
      <w:pPr>
        <w:pStyle w:val="Caption"/>
      </w:pPr>
      <w:bookmarkStart w:id="13" w:name="_Ref198447039"/>
      <w:r>
        <w:lastRenderedPageBreak/>
        <w:t xml:space="preserve">Table </w:t>
      </w:r>
      <w:r>
        <w:fldChar w:fldCharType="begin"/>
      </w:r>
      <w:r>
        <w:instrText>SEQ Table \* ARABIC</w:instrText>
      </w:r>
      <w:r>
        <w:fldChar w:fldCharType="separate"/>
      </w:r>
      <w:r w:rsidR="005B1C7E">
        <w:rPr>
          <w:noProof/>
        </w:rPr>
        <w:t>3</w:t>
      </w:r>
      <w:r>
        <w:fldChar w:fldCharType="end"/>
      </w:r>
      <w:bookmarkEnd w:id="13"/>
      <w:r>
        <w:tab/>
      </w:r>
      <w:r w:rsidR="00125BB0" w:rsidRPr="00B27879">
        <w:t>Key components of the clinical issue addressed by the submission</w:t>
      </w:r>
    </w:p>
    <w:tbl>
      <w:tblPr>
        <w:tblStyle w:val="PBACTableStyle"/>
        <w:tblW w:w="0" w:type="auto"/>
        <w:tblLook w:val="04A0" w:firstRow="1" w:lastRow="0" w:firstColumn="1" w:lastColumn="0" w:noHBand="0" w:noVBand="1"/>
      </w:tblPr>
      <w:tblGrid>
        <w:gridCol w:w="1184"/>
        <w:gridCol w:w="7832"/>
      </w:tblGrid>
      <w:tr w:rsidR="00B50418" w:rsidRPr="00B27879" w14:paraId="28D782E1" w14:textId="77777777" w:rsidTr="00D6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2F2C5949" w14:textId="77777777" w:rsidR="00125BB0" w:rsidRPr="00B27879" w:rsidRDefault="00125BB0" w:rsidP="00D60F0E">
            <w:pPr>
              <w:pStyle w:val="TableText"/>
              <w:keepNext/>
              <w:keepLines/>
              <w:contextualSpacing w:val="0"/>
              <w:rPr>
                <w:color w:val="auto"/>
                <w:lang w:val="en-AU"/>
              </w:rPr>
            </w:pPr>
            <w:r w:rsidRPr="00B27879">
              <w:rPr>
                <w:color w:val="auto"/>
                <w:lang w:val="en-AU"/>
              </w:rPr>
              <w:t>Component</w:t>
            </w:r>
          </w:p>
        </w:tc>
        <w:tc>
          <w:tcPr>
            <w:tcW w:w="7843" w:type="dxa"/>
          </w:tcPr>
          <w:p w14:paraId="536A1C96" w14:textId="77777777" w:rsidR="00125BB0" w:rsidRPr="00B27879" w:rsidRDefault="00125BB0" w:rsidP="00D60F0E">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Description</w:t>
            </w:r>
          </w:p>
        </w:tc>
      </w:tr>
      <w:tr w:rsidR="00B50418" w:rsidRPr="00B27879" w14:paraId="3B65C182" w14:textId="77777777" w:rsidTr="00D60F0E">
        <w:trPr>
          <w:trHeight w:val="636"/>
        </w:trPr>
        <w:tc>
          <w:tcPr>
            <w:cnfStyle w:val="001000000000" w:firstRow="0" w:lastRow="0" w:firstColumn="1" w:lastColumn="0" w:oddVBand="0" w:evenVBand="0" w:oddHBand="0" w:evenHBand="0" w:firstRowFirstColumn="0" w:firstRowLastColumn="0" w:lastRowFirstColumn="0" w:lastRowLastColumn="0"/>
            <w:tcW w:w="1173" w:type="dxa"/>
          </w:tcPr>
          <w:p w14:paraId="6EC4CA27" w14:textId="77777777" w:rsidR="00125BB0" w:rsidRPr="00B27879" w:rsidRDefault="00125BB0" w:rsidP="00D60F0E">
            <w:pPr>
              <w:pStyle w:val="TableText"/>
              <w:keepNext/>
              <w:keepLines/>
              <w:contextualSpacing w:val="0"/>
              <w:rPr>
                <w:color w:val="auto"/>
                <w:lang w:val="en-AU"/>
              </w:rPr>
            </w:pPr>
            <w:r w:rsidRPr="00B27879">
              <w:rPr>
                <w:color w:val="auto"/>
                <w:lang w:val="en-AU"/>
              </w:rPr>
              <w:t>Population</w:t>
            </w:r>
          </w:p>
        </w:tc>
        <w:tc>
          <w:tcPr>
            <w:tcW w:w="7843" w:type="dxa"/>
          </w:tcPr>
          <w:p w14:paraId="0E8C20E6"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Test: adult patients with locally advanced or metastatic CCA</w:t>
            </w:r>
          </w:p>
          <w:p w14:paraId="30D6CC3B"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Drug: adult patients with locally advanced or metastatic CCA with a </w:t>
            </w:r>
            <w:r w:rsidRPr="00B27879">
              <w:rPr>
                <w:i/>
                <w:iCs/>
                <w:color w:val="auto"/>
                <w:lang w:val="en-AU"/>
              </w:rPr>
              <w:t>FGFR2</w:t>
            </w:r>
            <w:r w:rsidRPr="00B27879">
              <w:rPr>
                <w:color w:val="auto"/>
                <w:lang w:val="en-AU"/>
              </w:rPr>
              <w:t xml:space="preserve"> gene fusion or rearrangement that have progressed after at least one prior line of systemic therapy</w:t>
            </w:r>
          </w:p>
        </w:tc>
      </w:tr>
      <w:tr w:rsidR="00B50418" w:rsidRPr="00B27879" w14:paraId="02375EA7" w14:textId="77777777" w:rsidTr="00D60F0E">
        <w:tc>
          <w:tcPr>
            <w:cnfStyle w:val="001000000000" w:firstRow="0" w:lastRow="0" w:firstColumn="1" w:lastColumn="0" w:oddVBand="0" w:evenVBand="0" w:oddHBand="0" w:evenHBand="0" w:firstRowFirstColumn="0" w:firstRowLastColumn="0" w:lastRowFirstColumn="0" w:lastRowLastColumn="0"/>
            <w:tcW w:w="1173" w:type="dxa"/>
          </w:tcPr>
          <w:p w14:paraId="49BD7C68" w14:textId="77777777" w:rsidR="00125BB0" w:rsidRPr="00B27879" w:rsidRDefault="00125BB0" w:rsidP="00D60F0E">
            <w:pPr>
              <w:pStyle w:val="TableText"/>
              <w:keepNext/>
              <w:keepLines/>
              <w:contextualSpacing w:val="0"/>
              <w:rPr>
                <w:color w:val="auto"/>
                <w:lang w:val="en-AU"/>
              </w:rPr>
            </w:pPr>
            <w:r w:rsidRPr="00B27879">
              <w:rPr>
                <w:color w:val="auto"/>
                <w:lang w:val="en-AU"/>
              </w:rPr>
              <w:t>Intervention</w:t>
            </w:r>
          </w:p>
        </w:tc>
        <w:tc>
          <w:tcPr>
            <w:tcW w:w="7843" w:type="dxa"/>
          </w:tcPr>
          <w:p w14:paraId="055A7601"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Test: tumour tissue testing for </w:t>
            </w:r>
            <w:r w:rsidRPr="00B27879">
              <w:rPr>
                <w:i/>
                <w:iCs/>
                <w:color w:val="auto"/>
                <w:lang w:val="en-AU"/>
              </w:rPr>
              <w:t>FGFR2</w:t>
            </w:r>
            <w:r w:rsidRPr="00B27879">
              <w:rPr>
                <w:color w:val="auto"/>
                <w:lang w:val="en-AU"/>
              </w:rPr>
              <w:t xml:space="preserve"> gene fusions or rearrangements using RNA NGS </w:t>
            </w:r>
          </w:p>
          <w:p w14:paraId="7A6DBE21"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Alternate test: tumour tissue testing for </w:t>
            </w:r>
            <w:r w:rsidRPr="00B27879">
              <w:rPr>
                <w:i/>
                <w:iCs/>
                <w:color w:val="auto"/>
                <w:lang w:val="en-AU"/>
              </w:rPr>
              <w:t>FGFR2</w:t>
            </w:r>
            <w:r w:rsidRPr="00B27879">
              <w:rPr>
                <w:color w:val="auto"/>
                <w:lang w:val="en-AU"/>
              </w:rPr>
              <w:t xml:space="preserve"> gene fusions or rearrangements using FISH testing on DNA</w:t>
            </w:r>
          </w:p>
          <w:p w14:paraId="5F23F9EA"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Drug: futibatinib 20 mg (5*4 mg tablets) taken orally once daily until disease progression or unacceptable toxicity</w:t>
            </w:r>
          </w:p>
        </w:tc>
      </w:tr>
      <w:tr w:rsidR="00B50418" w:rsidRPr="00B27879" w14:paraId="0B8DDAD5" w14:textId="77777777" w:rsidTr="00D60F0E">
        <w:tc>
          <w:tcPr>
            <w:cnfStyle w:val="001000000000" w:firstRow="0" w:lastRow="0" w:firstColumn="1" w:lastColumn="0" w:oddVBand="0" w:evenVBand="0" w:oddHBand="0" w:evenHBand="0" w:firstRowFirstColumn="0" w:firstRowLastColumn="0" w:lastRowFirstColumn="0" w:lastRowLastColumn="0"/>
            <w:tcW w:w="1173" w:type="dxa"/>
          </w:tcPr>
          <w:p w14:paraId="2136DB93" w14:textId="77777777" w:rsidR="00125BB0" w:rsidRPr="00B27879" w:rsidRDefault="00125BB0" w:rsidP="00D60F0E">
            <w:pPr>
              <w:pStyle w:val="TableText"/>
              <w:keepNext/>
              <w:keepLines/>
              <w:contextualSpacing w:val="0"/>
              <w:rPr>
                <w:color w:val="auto"/>
                <w:lang w:val="en-AU"/>
              </w:rPr>
            </w:pPr>
            <w:r w:rsidRPr="00B27879">
              <w:rPr>
                <w:color w:val="auto"/>
                <w:lang w:val="en-AU"/>
              </w:rPr>
              <w:t>Comparator</w:t>
            </w:r>
          </w:p>
        </w:tc>
        <w:tc>
          <w:tcPr>
            <w:tcW w:w="7843" w:type="dxa"/>
          </w:tcPr>
          <w:p w14:paraId="50926501"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Test: no testing for </w:t>
            </w:r>
            <w:r w:rsidRPr="00B27879">
              <w:rPr>
                <w:i/>
                <w:iCs/>
                <w:color w:val="auto"/>
                <w:lang w:val="en-AU"/>
              </w:rPr>
              <w:t>FGFR2</w:t>
            </w:r>
            <w:r w:rsidRPr="00B27879">
              <w:rPr>
                <w:color w:val="auto"/>
                <w:lang w:val="en-AU"/>
              </w:rPr>
              <w:t xml:space="preserve"> gene fusions or rearrangements</w:t>
            </w:r>
          </w:p>
          <w:p w14:paraId="1B39B69A"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Drug: primary comparator: SoC chemotherapy, represented by guideline-preferred FOLFOX (modified FOLFOX 6 chemotherapy (oxaliplatin 85 mg/m2, calcium folinate 50 mg, fluorouracil 400 mg/m</w:t>
            </w:r>
            <w:r w:rsidRPr="00491485">
              <w:rPr>
                <w:color w:val="auto"/>
                <w:vertAlign w:val="superscript"/>
                <w:lang w:val="en-AU"/>
              </w:rPr>
              <w:t>2</w:t>
            </w:r>
            <w:r w:rsidRPr="00B27879">
              <w:rPr>
                <w:color w:val="auto"/>
                <w:lang w:val="en-AU"/>
              </w:rPr>
              <w:t xml:space="preserve"> bolus and 2400 mg/m</w:t>
            </w:r>
            <w:r w:rsidRPr="00491485">
              <w:rPr>
                <w:color w:val="auto"/>
                <w:vertAlign w:val="superscript"/>
                <w:lang w:val="en-AU"/>
              </w:rPr>
              <w:t>2</w:t>
            </w:r>
            <w:r w:rsidRPr="00B27879">
              <w:rPr>
                <w:color w:val="auto"/>
                <w:lang w:val="en-AU"/>
              </w:rPr>
              <w:t xml:space="preserve"> continuous infusion over 46 hours; every 14 days for up to 12 cycles)</w:t>
            </w:r>
          </w:p>
          <w:p w14:paraId="101EE041"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Secondary comparator: palliative care (with active symptom control)</w:t>
            </w:r>
          </w:p>
        </w:tc>
      </w:tr>
      <w:tr w:rsidR="00B50418" w:rsidRPr="00B27879" w14:paraId="5249A172" w14:textId="77777777" w:rsidTr="00D60F0E">
        <w:tc>
          <w:tcPr>
            <w:cnfStyle w:val="001000000000" w:firstRow="0" w:lastRow="0" w:firstColumn="1" w:lastColumn="0" w:oddVBand="0" w:evenVBand="0" w:oddHBand="0" w:evenHBand="0" w:firstRowFirstColumn="0" w:firstRowLastColumn="0" w:lastRowFirstColumn="0" w:lastRowLastColumn="0"/>
            <w:tcW w:w="1173" w:type="dxa"/>
          </w:tcPr>
          <w:p w14:paraId="5C10E037" w14:textId="77777777" w:rsidR="00125BB0" w:rsidRPr="00DE2FCC" w:rsidRDefault="00125BB0" w:rsidP="00D60F0E">
            <w:pPr>
              <w:pStyle w:val="TableText"/>
              <w:keepNext/>
              <w:keepLines/>
              <w:contextualSpacing w:val="0"/>
              <w:rPr>
                <w:color w:val="auto"/>
                <w:vertAlign w:val="superscript"/>
                <w:lang w:val="en-AU"/>
              </w:rPr>
            </w:pPr>
            <w:r w:rsidRPr="00B27879">
              <w:rPr>
                <w:color w:val="auto"/>
                <w:lang w:val="en-AU"/>
              </w:rPr>
              <w:t>Outcomes</w:t>
            </w:r>
            <w:r>
              <w:rPr>
                <w:color w:val="auto"/>
                <w:vertAlign w:val="superscript"/>
                <w:lang w:val="en-AU"/>
              </w:rPr>
              <w:t>a</w:t>
            </w:r>
          </w:p>
        </w:tc>
        <w:tc>
          <w:tcPr>
            <w:tcW w:w="7843" w:type="dxa"/>
          </w:tcPr>
          <w:p w14:paraId="0E7678B9"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Test: diagnostic yield, prognostic impact, treatment effect modification, reliability of testing, concordance between proposed testing method and clinical utility standard</w:t>
            </w:r>
          </w:p>
          <w:p w14:paraId="72020368"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Drug: PFS, OS, ORR, HRQoL, safety</w:t>
            </w:r>
          </w:p>
        </w:tc>
      </w:tr>
      <w:tr w:rsidR="00B50418" w:rsidRPr="00B27879" w14:paraId="371EADE3" w14:textId="77777777" w:rsidTr="00D60F0E">
        <w:tc>
          <w:tcPr>
            <w:cnfStyle w:val="001000000000" w:firstRow="0" w:lastRow="0" w:firstColumn="1" w:lastColumn="0" w:oddVBand="0" w:evenVBand="0" w:oddHBand="0" w:evenHBand="0" w:firstRowFirstColumn="0" w:firstRowLastColumn="0" w:lastRowFirstColumn="0" w:lastRowLastColumn="0"/>
            <w:tcW w:w="1173" w:type="dxa"/>
          </w:tcPr>
          <w:p w14:paraId="6DC36535" w14:textId="77777777" w:rsidR="00125BB0" w:rsidRPr="00B27879" w:rsidRDefault="00125BB0" w:rsidP="00D60F0E">
            <w:pPr>
              <w:pStyle w:val="TableText"/>
              <w:keepNext/>
              <w:keepLines/>
              <w:contextualSpacing w:val="0"/>
              <w:rPr>
                <w:color w:val="auto"/>
                <w:lang w:val="en-AU"/>
              </w:rPr>
            </w:pPr>
            <w:r w:rsidRPr="00B27879">
              <w:rPr>
                <w:color w:val="auto"/>
                <w:lang w:val="en-AU"/>
              </w:rPr>
              <w:t>Clinical claim</w:t>
            </w:r>
          </w:p>
        </w:tc>
        <w:tc>
          <w:tcPr>
            <w:tcW w:w="7843" w:type="dxa"/>
          </w:tcPr>
          <w:p w14:paraId="7C0E9770" w14:textId="77777777" w:rsidR="00125BB0" w:rsidRPr="00B27879" w:rsidRDefault="00125BB0" w:rsidP="00D60F0E">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Main claim: in patients with locally advanced or metastatic CCA with a FGFR2 fusion or rearrangement, identified by tumour tissue testing, that have progressed after at least one prior line of systemic therapy, futibatinib is superior in terms of efficacy (OS, PFS and ORR) and safety, compared to FOLFOX.</w:t>
            </w:r>
          </w:p>
          <w:p w14:paraId="56D4A730" w14:textId="77777777" w:rsidR="00125BB0" w:rsidRPr="00B27879" w:rsidRDefault="00125BB0" w:rsidP="00D60F0E">
            <w:pPr>
              <w:pStyle w:val="TableText"/>
              <w:keepNext/>
              <w:keepLines/>
              <w:spacing w:before="240"/>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Secondary claim: In adult patients with locally advanced or metastatic CCA with a FGFR2 fusion or rearrangement, identified by tumour tissue testing, that have progressed after at least one prior line of systemic therapy, futibatinib is superior in terms of efficacy (OS, PFS and ORR), compared to palliative care (with ASC), with a different safety profile that is manageable.</w:t>
            </w:r>
          </w:p>
        </w:tc>
      </w:tr>
    </w:tbl>
    <w:p w14:paraId="2F01A1F3" w14:textId="77777777" w:rsidR="00125BB0" w:rsidRPr="00B27879" w:rsidRDefault="00125BB0" w:rsidP="00125BB0">
      <w:pPr>
        <w:pStyle w:val="TableFooter"/>
        <w:keepNext/>
        <w:keepLines/>
      </w:pPr>
      <w:r w:rsidRPr="00B27879">
        <w:t>Source: Table 1.1, p21 of the submission.</w:t>
      </w:r>
    </w:p>
    <w:p w14:paraId="6CAEC1DD" w14:textId="77777777" w:rsidR="00125BB0" w:rsidRPr="00B27879" w:rsidRDefault="00125BB0" w:rsidP="00125BB0">
      <w:pPr>
        <w:pStyle w:val="TableFigureFooter"/>
      </w:pPr>
      <w:r w:rsidRPr="2914E55D">
        <w:t>DNA = deoxyribonucleic acid; CCA = cholangiocarcinoma; FGFR2 = fibroblast growth factor receptor 2; FISH = fluorescence in situ hybridisation; HRQoL= health related quality of life; NGS = with next-generation sequencing; ORR = objective response rate: OS = overall survival; PFS = progression free survival; RNA = ribonucleic acid; SoC = standard of care</w:t>
      </w:r>
      <w:r>
        <w:br/>
      </w:r>
      <w:r w:rsidRPr="2914E55D">
        <w:t>a The list of outcomes related to the test in the submission’s PICO was more limited than the Ratified PICO Criteria.</w:t>
      </w:r>
    </w:p>
    <w:p w14:paraId="14D8895F" w14:textId="07502C48" w:rsidR="00125BB0" w:rsidRPr="00330942" w:rsidRDefault="00125BB0" w:rsidP="00125BB0">
      <w:pPr>
        <w:jc w:val="left"/>
        <w:rPr>
          <w:rFonts w:ascii="Franklin Gothic Book" w:hAnsi="Franklin Gothic Book"/>
          <w:i/>
          <w:iCs/>
          <w:sz w:val="22"/>
        </w:rPr>
      </w:pPr>
      <w:r w:rsidRPr="00FE02BC">
        <w:rPr>
          <w:rFonts w:ascii="Franklin Gothic Book" w:hAnsi="Franklin Gothic Book"/>
          <w:sz w:val="22"/>
        </w:rPr>
        <w:t>A key difference between the submission’s PICO and the 1779 Ratified PICO was that the test population in submission’s PICO was restricted to adult patients with locally advanced or metastatic CCA, whereas the test population in the 1779 Ratified PICO was adult patients with CCA. This reflects a difference in the requested test population with implications on the proposed treatment algorithm, diagnostic yield and utilisation.</w:t>
      </w:r>
    </w:p>
    <w:p w14:paraId="5A5EF8AD" w14:textId="10DC4730" w:rsidR="00F7501D" w:rsidRPr="00330942" w:rsidRDefault="00FD07C6"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14" w:name="_Toc93044759"/>
      <w:bookmarkStart w:id="15" w:name="_Toc93322893"/>
      <w:bookmarkStart w:id="16" w:name="_Toc187865644"/>
      <w:bookmarkEnd w:id="14"/>
      <w:bookmarkEnd w:id="15"/>
      <w:r w:rsidRPr="00330942">
        <w:rPr>
          <w:rFonts w:ascii="Franklin Gothic Medium" w:hAnsi="Franklin Gothic Medium"/>
          <w:b w:val="0"/>
          <w:i w:val="0"/>
          <w:snapToGrid/>
          <w:color w:val="000000" w:themeColor="text1"/>
          <w:sz w:val="32"/>
          <w:szCs w:val="26"/>
        </w:rPr>
        <w:t>Population</w:t>
      </w:r>
      <w:bookmarkEnd w:id="16"/>
    </w:p>
    <w:p w14:paraId="0F1CD7B3" w14:textId="47A84B59"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CCA refers to the group of rare and aggressive malignancies that arise from epithelial cells that line the biliary tree (Banales 2020; Howlader 2020). CCA is categorised depending on the location of the tumour and includes intrahepatic CCA (iCCA), which originates from </w:t>
      </w:r>
      <w:r w:rsidR="54885F61" w:rsidRPr="00330942">
        <w:rPr>
          <w:rFonts w:ascii="Franklin Gothic Book" w:hAnsi="Franklin Gothic Book"/>
          <w:color w:val="auto"/>
          <w:sz w:val="22"/>
        </w:rPr>
        <w:t xml:space="preserve">peripheral </w:t>
      </w:r>
      <w:r w:rsidRPr="00330942">
        <w:rPr>
          <w:rFonts w:ascii="Franklin Gothic Book" w:hAnsi="Franklin Gothic Book"/>
          <w:color w:val="auto"/>
          <w:sz w:val="22"/>
        </w:rPr>
        <w:t>bile ducts</w:t>
      </w:r>
      <w:r w:rsidR="37F1CFB0" w:rsidRPr="00330942">
        <w:rPr>
          <w:rFonts w:ascii="Franklin Gothic Book" w:hAnsi="Franklin Gothic Book"/>
          <w:color w:val="auto"/>
          <w:sz w:val="22"/>
        </w:rPr>
        <w:t>,</w:t>
      </w:r>
      <w:r w:rsidRPr="00330942">
        <w:rPr>
          <w:rFonts w:ascii="Franklin Gothic Book" w:hAnsi="Franklin Gothic Book"/>
          <w:color w:val="auto"/>
          <w:sz w:val="22"/>
        </w:rPr>
        <w:t xml:space="preserve"> proximal to the second-order ducts</w:t>
      </w:r>
      <w:r w:rsidR="7E7AF5B6" w:rsidRPr="00330942">
        <w:rPr>
          <w:rFonts w:ascii="Franklin Gothic Book" w:hAnsi="Franklin Gothic Book"/>
          <w:color w:val="auto"/>
          <w:sz w:val="22"/>
        </w:rPr>
        <w:t>,</w:t>
      </w:r>
      <w:r w:rsidRPr="00330942">
        <w:rPr>
          <w:rFonts w:ascii="Franklin Gothic Book" w:hAnsi="Franklin Gothic Book"/>
          <w:color w:val="auto"/>
          <w:sz w:val="22"/>
        </w:rPr>
        <w:t xml:space="preserve"> and represents approximately 20% of cases, or extrahepatic CCA (eCCA), which represents the remaining 80% of cases (Banales, 2020; Valle 2021). Treatment guidelines generally recommend similar treatment pathways for both iCCA and eCCA.</w:t>
      </w:r>
    </w:p>
    <w:p w14:paraId="608BAA7E" w14:textId="3959D298"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CCA accounts for approximately 3% of all gastrointestinal malignancies and 26% of all liver and intrahepatic bile duct cancers (Banales 2020; Howlader 2020). CCA is most often diagnosed at a late stage, resulting in poor prognosis and limiting treatment options (Mukkamalla 2018).</w:t>
      </w:r>
    </w:p>
    <w:p w14:paraId="6EF33B09" w14:textId="7249307D"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The symptoms of CCA depend on location, presence of metastases, and underlying disease (such as liver failure) (Banales 2020; Valle 2021). Symptoms arise because of direct compression (such as biliary obstruction</w:t>
      </w:r>
      <w:r w:rsidR="00FA3ED5" w:rsidRPr="00330942">
        <w:rPr>
          <w:rFonts w:ascii="Franklin Gothic Book" w:hAnsi="Franklin Gothic Book"/>
          <w:color w:val="auto"/>
          <w:sz w:val="22"/>
        </w:rPr>
        <w:t>) or</w:t>
      </w:r>
      <w:r w:rsidRPr="00330942">
        <w:rPr>
          <w:rFonts w:ascii="Franklin Gothic Book" w:hAnsi="Franklin Gothic Book"/>
          <w:color w:val="auto"/>
          <w:sz w:val="22"/>
        </w:rPr>
        <w:t xml:space="preserve"> can be constitutional or due to underlying pathology (such as chronic liver disease). In eCCA, patients may present with biliary obstruction and jaundice, whereas in iCCA, patients are often asymptomatic prior to the appearance of late, nonspecific symptoms such as weight loss, nausea, fatigue, and abdominal pain (Banales 2020).</w:t>
      </w:r>
    </w:p>
    <w:p w14:paraId="7473875C" w14:textId="20DD5123"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lastRenderedPageBreak/>
        <w:t xml:space="preserve">Up to 88% of all biliary tract cancers harbour pathological molecular aberrations/alterations (Lamarca 2020). The most frequent </w:t>
      </w:r>
      <w:r w:rsidR="00AB474D" w:rsidRPr="00330942">
        <w:rPr>
          <w:rFonts w:ascii="Franklin Gothic Book" w:hAnsi="Franklin Gothic Book"/>
          <w:color w:val="auto"/>
          <w:sz w:val="22"/>
        </w:rPr>
        <w:t>variant</w:t>
      </w:r>
      <w:r w:rsidRPr="00330942">
        <w:rPr>
          <w:rFonts w:ascii="Franklin Gothic Book" w:hAnsi="Franklin Gothic Book"/>
          <w:color w:val="auto"/>
          <w:sz w:val="22"/>
        </w:rPr>
        <w:t xml:space="preserve">s in CCA include </w:t>
      </w:r>
      <w:r w:rsidRPr="00330942">
        <w:rPr>
          <w:rFonts w:ascii="Franklin Gothic Book" w:hAnsi="Franklin Gothic Book"/>
          <w:i/>
          <w:iCs/>
          <w:color w:val="auto"/>
          <w:sz w:val="22"/>
        </w:rPr>
        <w:t>IDH1/2, FGFR2, BRAF, BAP1, ARID1A, KRAS, TP53, SMAD4, ERBB2/HER2, PRKACA-PRKACB</w:t>
      </w:r>
      <w:r w:rsidRPr="00330942">
        <w:rPr>
          <w:rFonts w:ascii="Franklin Gothic Book" w:hAnsi="Franklin Gothic Book"/>
          <w:color w:val="auto"/>
          <w:sz w:val="22"/>
        </w:rPr>
        <w:t xml:space="preserve"> fusions, and </w:t>
      </w:r>
      <w:r w:rsidRPr="00330942">
        <w:rPr>
          <w:rFonts w:ascii="Franklin Gothic Book" w:hAnsi="Franklin Gothic Book"/>
          <w:i/>
          <w:iCs/>
          <w:color w:val="auto"/>
          <w:sz w:val="22"/>
        </w:rPr>
        <w:t>ELF3</w:t>
      </w:r>
      <w:r w:rsidRPr="00330942">
        <w:rPr>
          <w:rFonts w:ascii="Franklin Gothic Book" w:hAnsi="Franklin Gothic Book"/>
          <w:color w:val="auto"/>
          <w:sz w:val="22"/>
        </w:rPr>
        <w:t xml:space="preserve"> (Banales 2020; Valle 2021). Genomic alterations in </w:t>
      </w:r>
      <w:r w:rsidRPr="00330942">
        <w:rPr>
          <w:rFonts w:ascii="Franklin Gothic Book" w:hAnsi="Franklin Gothic Book"/>
          <w:i/>
          <w:iCs/>
          <w:color w:val="auto"/>
          <w:sz w:val="22"/>
        </w:rPr>
        <w:t>FGFR2, IDH1/IDH2, BRAF, BAP1</w:t>
      </w:r>
      <w:r w:rsidRPr="00330942">
        <w:rPr>
          <w:rFonts w:ascii="Franklin Gothic Book" w:hAnsi="Franklin Gothic Book"/>
          <w:color w:val="auto"/>
          <w:sz w:val="22"/>
        </w:rPr>
        <w:t xml:space="preserve"> and </w:t>
      </w:r>
      <w:r w:rsidRPr="00330942">
        <w:rPr>
          <w:rFonts w:ascii="Franklin Gothic Book" w:hAnsi="Franklin Gothic Book"/>
          <w:i/>
          <w:iCs/>
          <w:color w:val="auto"/>
          <w:sz w:val="22"/>
        </w:rPr>
        <w:t>ARID1A</w:t>
      </w:r>
      <w:r w:rsidRPr="00330942">
        <w:rPr>
          <w:rFonts w:ascii="Franklin Gothic Book" w:hAnsi="Franklin Gothic Book"/>
          <w:color w:val="auto"/>
          <w:sz w:val="22"/>
        </w:rPr>
        <w:t xml:space="preserve"> occur more frequently in iCCA, while alterations in </w:t>
      </w:r>
      <w:r w:rsidRPr="00330942">
        <w:rPr>
          <w:rFonts w:ascii="Franklin Gothic Book" w:hAnsi="Franklin Gothic Book"/>
          <w:i/>
          <w:iCs/>
          <w:color w:val="auto"/>
          <w:sz w:val="22"/>
        </w:rPr>
        <w:t>ERBB2/HER2, PRKACA-PRKACB,</w:t>
      </w:r>
      <w:r w:rsidRPr="00330942">
        <w:rPr>
          <w:rFonts w:ascii="Franklin Gothic Book" w:hAnsi="Franklin Gothic Book"/>
          <w:color w:val="auto"/>
          <w:sz w:val="22"/>
        </w:rPr>
        <w:t xml:space="preserve"> and </w:t>
      </w:r>
      <w:r w:rsidRPr="00330942">
        <w:rPr>
          <w:rFonts w:ascii="Franklin Gothic Book" w:hAnsi="Franklin Gothic Book"/>
          <w:i/>
          <w:iCs/>
          <w:color w:val="auto"/>
          <w:sz w:val="22"/>
        </w:rPr>
        <w:t>ELF3</w:t>
      </w:r>
      <w:r w:rsidRPr="00330942">
        <w:rPr>
          <w:rFonts w:ascii="Franklin Gothic Book" w:hAnsi="Franklin Gothic Book"/>
          <w:color w:val="auto"/>
          <w:sz w:val="22"/>
        </w:rPr>
        <w:t xml:space="preserve"> are more frequent in eCCA (Banales 2020; Valle 2021)</w:t>
      </w:r>
    </w:p>
    <w:p w14:paraId="6859740C" w14:textId="4269EB45"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The requested testing population is adult patients with locally advanced or metastatic CCA.</w:t>
      </w:r>
    </w:p>
    <w:p w14:paraId="029A4AB2" w14:textId="5745C57C" w:rsidR="0050164E" w:rsidRPr="00330942" w:rsidRDefault="00F7501D" w:rsidP="00330942">
      <w:pPr>
        <w:jc w:val="left"/>
        <w:rPr>
          <w:rFonts w:ascii="Franklin Gothic Book" w:hAnsi="Franklin Gothic Book"/>
          <w:sz w:val="22"/>
        </w:rPr>
      </w:pPr>
      <w:r w:rsidRPr="00330942">
        <w:rPr>
          <w:rFonts w:ascii="Franklin Gothic Book" w:hAnsi="Franklin Gothic Book"/>
          <w:sz w:val="22"/>
        </w:rPr>
        <w:t>The</w:t>
      </w:r>
      <w:r w:rsidR="00332F7A" w:rsidRPr="00330942">
        <w:rPr>
          <w:rFonts w:ascii="Franklin Gothic Book" w:hAnsi="Franklin Gothic Book"/>
          <w:sz w:val="22"/>
        </w:rPr>
        <w:t xml:space="preserve"> </w:t>
      </w:r>
      <w:r w:rsidR="00EC25B4" w:rsidRPr="00330942">
        <w:rPr>
          <w:rFonts w:ascii="Franklin Gothic Book" w:hAnsi="Franklin Gothic Book"/>
          <w:sz w:val="22"/>
        </w:rPr>
        <w:t>commentary</w:t>
      </w:r>
      <w:r w:rsidR="00332F7A" w:rsidRPr="00330942">
        <w:rPr>
          <w:rFonts w:ascii="Franklin Gothic Book" w:hAnsi="Franklin Gothic Book"/>
          <w:sz w:val="22"/>
        </w:rPr>
        <w:t xml:space="preserve"> considered that the</w:t>
      </w:r>
      <w:r w:rsidRPr="00330942">
        <w:rPr>
          <w:rFonts w:ascii="Franklin Gothic Book" w:hAnsi="Franklin Gothic Book"/>
          <w:sz w:val="22"/>
        </w:rPr>
        <w:t xml:space="preserve"> population targeted for testing in the submission </w:t>
      </w:r>
      <w:r w:rsidR="007C5118" w:rsidRPr="00330942">
        <w:rPr>
          <w:rFonts w:ascii="Franklin Gothic Book" w:hAnsi="Franklin Gothic Book"/>
          <w:sz w:val="22"/>
        </w:rPr>
        <w:t>wa</w:t>
      </w:r>
      <w:r w:rsidRPr="00330942">
        <w:rPr>
          <w:rFonts w:ascii="Franklin Gothic Book" w:hAnsi="Franklin Gothic Book"/>
          <w:sz w:val="22"/>
        </w:rPr>
        <w:t xml:space="preserve">s well described and </w:t>
      </w:r>
      <w:r w:rsidR="00333F28" w:rsidRPr="00330942">
        <w:rPr>
          <w:rFonts w:ascii="Franklin Gothic Book" w:hAnsi="Franklin Gothic Book"/>
          <w:sz w:val="22"/>
        </w:rPr>
        <w:t>consider</w:t>
      </w:r>
      <w:r w:rsidR="00787029" w:rsidRPr="00330942">
        <w:rPr>
          <w:rFonts w:ascii="Franklin Gothic Book" w:hAnsi="Franklin Gothic Book"/>
          <w:sz w:val="22"/>
        </w:rPr>
        <w:t>ed</w:t>
      </w:r>
      <w:r w:rsidR="00333F28" w:rsidRPr="00330942">
        <w:rPr>
          <w:rFonts w:ascii="Franklin Gothic Book" w:hAnsi="Franklin Gothic Book"/>
          <w:sz w:val="22"/>
        </w:rPr>
        <w:t xml:space="preserve"> it </w:t>
      </w:r>
      <w:r w:rsidR="00DE2257" w:rsidRPr="00330942">
        <w:rPr>
          <w:rFonts w:ascii="Franklin Gothic Book" w:hAnsi="Franklin Gothic Book"/>
          <w:sz w:val="22"/>
        </w:rPr>
        <w:t>reasonable as it was consistent with international guidelines (ESMO 2023; NCCN 2024).</w:t>
      </w:r>
      <w:r w:rsidRPr="00330942">
        <w:rPr>
          <w:rFonts w:ascii="Franklin Gothic Book" w:hAnsi="Franklin Gothic Book"/>
          <w:sz w:val="22"/>
        </w:rPr>
        <w:t xml:space="preserve"> </w:t>
      </w:r>
      <w:r w:rsidR="00D33481" w:rsidRPr="00330942">
        <w:rPr>
          <w:rFonts w:ascii="Franklin Gothic Book" w:hAnsi="Franklin Gothic Book"/>
          <w:sz w:val="22"/>
        </w:rPr>
        <w:t>However</w:t>
      </w:r>
      <w:r w:rsidRPr="00330942">
        <w:rPr>
          <w:rFonts w:ascii="Franklin Gothic Book" w:hAnsi="Franklin Gothic Book"/>
          <w:sz w:val="22"/>
        </w:rPr>
        <w:t xml:space="preserve">, </w:t>
      </w:r>
      <w:r w:rsidR="00F578AA" w:rsidRPr="00330942">
        <w:rPr>
          <w:rFonts w:ascii="Franklin Gothic Book" w:hAnsi="Franklin Gothic Book"/>
          <w:sz w:val="22"/>
        </w:rPr>
        <w:t xml:space="preserve">as discussed above </w:t>
      </w:r>
      <w:r w:rsidRPr="00330942">
        <w:rPr>
          <w:rFonts w:ascii="Franklin Gothic Book" w:hAnsi="Franklin Gothic Book"/>
          <w:sz w:val="22"/>
        </w:rPr>
        <w:t xml:space="preserve">in the 1779 PICO confirmation, PASC supported testing for </w:t>
      </w:r>
      <w:r w:rsidRPr="00330942">
        <w:rPr>
          <w:rFonts w:ascii="Franklin Gothic Book" w:hAnsi="Franklin Gothic Book"/>
          <w:i/>
          <w:iCs/>
          <w:sz w:val="22"/>
        </w:rPr>
        <w:t>FGFR2</w:t>
      </w:r>
      <w:r w:rsidRPr="00330942">
        <w:rPr>
          <w:rFonts w:ascii="Franklin Gothic Book" w:hAnsi="Franklin Gothic Book"/>
          <w:sz w:val="22"/>
        </w:rPr>
        <w:t xml:space="preserve"> gene fusion at the point of diagnosis, regardless of stage, as CCA is a rapidly progressive disease</w:t>
      </w:r>
      <w:r w:rsidR="003D5853" w:rsidRPr="00330942">
        <w:rPr>
          <w:rFonts w:ascii="Franklin Gothic Book" w:hAnsi="Franklin Gothic Book"/>
          <w:sz w:val="22"/>
        </w:rPr>
        <w:t>, whereas</w:t>
      </w:r>
      <w:r w:rsidRPr="00330942">
        <w:rPr>
          <w:rFonts w:ascii="Franklin Gothic Book" w:hAnsi="Franklin Gothic Book"/>
          <w:sz w:val="22"/>
        </w:rPr>
        <w:t xml:space="preserve"> </w:t>
      </w:r>
      <w:r w:rsidR="003D5853" w:rsidRPr="00330942">
        <w:rPr>
          <w:rFonts w:ascii="Franklin Gothic Book" w:hAnsi="Franklin Gothic Book"/>
          <w:sz w:val="22"/>
        </w:rPr>
        <w:t>t</w:t>
      </w:r>
      <w:r w:rsidRPr="00330942">
        <w:rPr>
          <w:rFonts w:ascii="Franklin Gothic Book" w:hAnsi="Franklin Gothic Book"/>
          <w:sz w:val="22"/>
        </w:rPr>
        <w:t xml:space="preserve">he submission has presented a </w:t>
      </w:r>
      <w:r w:rsidR="00DE2257" w:rsidRPr="00330942">
        <w:rPr>
          <w:rFonts w:ascii="Franklin Gothic Book" w:hAnsi="Franklin Gothic Book"/>
          <w:sz w:val="22"/>
        </w:rPr>
        <w:t xml:space="preserve">narrower </w:t>
      </w:r>
      <w:r w:rsidRPr="00330942">
        <w:rPr>
          <w:rFonts w:ascii="Franklin Gothic Book" w:hAnsi="Franklin Gothic Book"/>
          <w:sz w:val="22"/>
        </w:rPr>
        <w:t>alternate population of patients with advanced or metastatic CCA</w:t>
      </w:r>
      <w:r w:rsidR="003D5853" w:rsidRPr="00330942">
        <w:rPr>
          <w:rFonts w:ascii="Franklin Gothic Book" w:hAnsi="Franklin Gothic Book"/>
          <w:sz w:val="22"/>
        </w:rPr>
        <w:t xml:space="preserve"> for testing</w:t>
      </w:r>
      <w:r w:rsidR="00DE2257" w:rsidRPr="00330942">
        <w:rPr>
          <w:rFonts w:ascii="Franklin Gothic Book" w:hAnsi="Franklin Gothic Book"/>
          <w:sz w:val="22"/>
        </w:rPr>
        <w:t>.</w:t>
      </w:r>
      <w:r w:rsidR="007344EC" w:rsidRPr="00330942">
        <w:rPr>
          <w:rFonts w:ascii="Franklin Gothic Book" w:hAnsi="Franklin Gothic Book"/>
          <w:sz w:val="22"/>
        </w:rPr>
        <w:t xml:space="preserve"> </w:t>
      </w:r>
    </w:p>
    <w:p w14:paraId="7846BC38" w14:textId="7AE65D08" w:rsidR="002C6907" w:rsidRPr="00330942" w:rsidRDefault="006718AF" w:rsidP="00330942">
      <w:pPr>
        <w:jc w:val="left"/>
        <w:rPr>
          <w:rFonts w:ascii="Franklin Gothic Book" w:hAnsi="Franklin Gothic Book"/>
          <w:sz w:val="22"/>
        </w:rPr>
      </w:pPr>
      <w:r w:rsidRPr="00330942">
        <w:rPr>
          <w:rFonts w:ascii="Franklin Gothic Book" w:hAnsi="Franklin Gothic Book"/>
          <w:sz w:val="22"/>
        </w:rPr>
        <w:t xml:space="preserve">The </w:t>
      </w:r>
      <w:r w:rsidR="00EC25B4" w:rsidRPr="00330942">
        <w:rPr>
          <w:rFonts w:ascii="Franklin Gothic Book" w:hAnsi="Franklin Gothic Book"/>
          <w:sz w:val="22"/>
        </w:rPr>
        <w:t>commentary</w:t>
      </w:r>
      <w:r w:rsidRPr="00330942">
        <w:rPr>
          <w:rFonts w:ascii="Franklin Gothic Book" w:hAnsi="Franklin Gothic Book"/>
          <w:sz w:val="22"/>
        </w:rPr>
        <w:t xml:space="preserve"> considered that g</w:t>
      </w:r>
      <w:r w:rsidR="007042A3" w:rsidRPr="00330942">
        <w:rPr>
          <w:rFonts w:ascii="Franklin Gothic Book" w:hAnsi="Franklin Gothic Book"/>
          <w:sz w:val="22"/>
        </w:rPr>
        <w:t xml:space="preserve">iven 80% of patients who are diagnosed with CCA are diagnosed at the locally advanced or metastatic stage (as assumed in the financial estimates and previously considered appropriate by the PBAC DUSC </w:t>
      </w:r>
      <w:r w:rsidR="005754FE" w:rsidRPr="00330942">
        <w:rPr>
          <w:rFonts w:ascii="Franklin Gothic Book" w:hAnsi="Franklin Gothic Book"/>
          <w:sz w:val="22"/>
        </w:rPr>
        <w:t xml:space="preserve">(Table 16, durvalumab PSD, </w:t>
      </w:r>
      <w:r w:rsidR="00F2350C" w:rsidRPr="00330942">
        <w:rPr>
          <w:rFonts w:ascii="Franklin Gothic Book" w:hAnsi="Franklin Gothic Book"/>
          <w:sz w:val="22"/>
        </w:rPr>
        <w:t xml:space="preserve">March 2023 PBAC meeting)), </w:t>
      </w:r>
      <w:r w:rsidR="0076310A" w:rsidRPr="00330942">
        <w:rPr>
          <w:rFonts w:ascii="Franklin Gothic Book" w:hAnsi="Franklin Gothic Book"/>
          <w:sz w:val="22"/>
        </w:rPr>
        <w:t>the</w:t>
      </w:r>
      <w:r w:rsidR="00874D1D" w:rsidRPr="00330942">
        <w:rPr>
          <w:rFonts w:ascii="Franklin Gothic Book" w:hAnsi="Franklin Gothic Book"/>
          <w:sz w:val="22"/>
        </w:rPr>
        <w:t xml:space="preserve"> majority of CCA patients</w:t>
      </w:r>
      <w:r w:rsidR="0076310A" w:rsidRPr="00330942">
        <w:rPr>
          <w:rFonts w:ascii="Franklin Gothic Book" w:hAnsi="Franklin Gothic Book"/>
          <w:sz w:val="22"/>
        </w:rPr>
        <w:t xml:space="preserve"> would not experience any difference </w:t>
      </w:r>
      <w:r w:rsidR="00736611" w:rsidRPr="00330942">
        <w:rPr>
          <w:rFonts w:ascii="Franklin Gothic Book" w:hAnsi="Franklin Gothic Book"/>
          <w:sz w:val="22"/>
        </w:rPr>
        <w:t xml:space="preserve">in </w:t>
      </w:r>
      <w:r w:rsidR="004D35B0" w:rsidRPr="00330942">
        <w:rPr>
          <w:rFonts w:ascii="Franklin Gothic Book" w:hAnsi="Franklin Gothic Book"/>
          <w:sz w:val="22"/>
        </w:rPr>
        <w:t xml:space="preserve">terms of the time of </w:t>
      </w:r>
      <w:r w:rsidR="00736611" w:rsidRPr="00330942">
        <w:rPr>
          <w:rFonts w:ascii="Franklin Gothic Book" w:hAnsi="Franklin Gothic Book"/>
          <w:sz w:val="22"/>
        </w:rPr>
        <w:t xml:space="preserve">testing </w:t>
      </w:r>
      <w:r w:rsidR="003A59B7" w:rsidRPr="00330942">
        <w:rPr>
          <w:rFonts w:ascii="Franklin Gothic Book" w:hAnsi="Franklin Gothic Book"/>
          <w:sz w:val="22"/>
        </w:rPr>
        <w:t xml:space="preserve">irrespective of </w:t>
      </w:r>
      <w:r w:rsidR="00C70B61" w:rsidRPr="00330942">
        <w:rPr>
          <w:rFonts w:ascii="Franklin Gothic Book" w:hAnsi="Franklin Gothic Book"/>
          <w:sz w:val="22"/>
        </w:rPr>
        <w:t xml:space="preserve">whether the </w:t>
      </w:r>
      <w:r w:rsidR="00612CA8" w:rsidRPr="00330942">
        <w:rPr>
          <w:rFonts w:ascii="Franklin Gothic Book" w:hAnsi="Franklin Gothic Book"/>
          <w:sz w:val="22"/>
        </w:rPr>
        <w:t>item descriptor from the 1779 Ratified PICO (</w:t>
      </w:r>
      <w:r w:rsidR="005B1C7E" w:rsidRPr="005B1C7E">
        <w:rPr>
          <w:rFonts w:ascii="Franklin Gothic Book" w:hAnsi="Franklin Gothic Book"/>
          <w:sz w:val="22"/>
        </w:rPr>
        <w:fldChar w:fldCharType="begin"/>
      </w:r>
      <w:r w:rsidR="005B1C7E" w:rsidRPr="005B1C7E">
        <w:rPr>
          <w:rFonts w:ascii="Franklin Gothic Book" w:hAnsi="Franklin Gothic Book"/>
          <w:sz w:val="22"/>
        </w:rPr>
        <w:instrText xml:space="preserve"> REF _Ref198446742  \* MERGEFORMAT </w:instrText>
      </w:r>
      <w:r w:rsidR="005B1C7E" w:rsidRPr="005B1C7E">
        <w:rPr>
          <w:rFonts w:ascii="Franklin Gothic Book" w:hAnsi="Franklin Gothic Book"/>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1</w:t>
      </w:r>
      <w:r w:rsidR="005B1C7E" w:rsidRPr="005B1C7E">
        <w:rPr>
          <w:rFonts w:ascii="Franklin Gothic Book" w:hAnsi="Franklin Gothic Book"/>
          <w:sz w:val="22"/>
        </w:rPr>
        <w:fldChar w:fldCharType="end"/>
      </w:r>
      <w:r w:rsidR="007F6104" w:rsidRPr="00330942">
        <w:rPr>
          <w:rFonts w:ascii="Franklin Gothic Book" w:hAnsi="Franklin Gothic Book"/>
          <w:sz w:val="22"/>
        </w:rPr>
        <w:t>) or the alternate proposed item descriptor in the submission (</w:t>
      </w:r>
      <w:r w:rsidR="005B1C7E" w:rsidRPr="005B1C7E">
        <w:rPr>
          <w:rFonts w:ascii="Franklin Gothic Book" w:hAnsi="Franklin Gothic Book"/>
          <w:sz w:val="22"/>
        </w:rPr>
        <w:fldChar w:fldCharType="begin"/>
      </w:r>
      <w:r w:rsidR="005B1C7E" w:rsidRPr="005B1C7E">
        <w:rPr>
          <w:rFonts w:ascii="Franklin Gothic Book" w:hAnsi="Franklin Gothic Book"/>
          <w:sz w:val="22"/>
        </w:rPr>
        <w:instrText xml:space="preserve"> REF _Ref198446817  \* MERGEFORMAT </w:instrText>
      </w:r>
      <w:r w:rsidR="005B1C7E" w:rsidRPr="005B1C7E">
        <w:rPr>
          <w:rFonts w:ascii="Franklin Gothic Book" w:hAnsi="Franklin Gothic Book"/>
          <w:sz w:val="22"/>
        </w:rPr>
        <w:fldChar w:fldCharType="separate"/>
      </w:r>
      <w:r w:rsidR="005B1C7E" w:rsidRPr="005B1C7E">
        <w:rPr>
          <w:rFonts w:ascii="Franklin Gothic Book" w:hAnsi="Franklin Gothic Book"/>
          <w:sz w:val="22"/>
        </w:rPr>
        <w:t xml:space="preserve">Table </w:t>
      </w:r>
      <w:r w:rsidR="005B1C7E" w:rsidRPr="005B1C7E">
        <w:rPr>
          <w:rFonts w:ascii="Franklin Gothic Book" w:hAnsi="Franklin Gothic Book"/>
          <w:noProof/>
          <w:sz w:val="22"/>
        </w:rPr>
        <w:t>2</w:t>
      </w:r>
      <w:r w:rsidR="005B1C7E" w:rsidRPr="005B1C7E">
        <w:rPr>
          <w:rFonts w:ascii="Franklin Gothic Book" w:hAnsi="Franklin Gothic Book"/>
          <w:sz w:val="22"/>
        </w:rPr>
        <w:fldChar w:fldCharType="end"/>
      </w:r>
      <w:r w:rsidR="007F6104" w:rsidRPr="00330942">
        <w:rPr>
          <w:rFonts w:ascii="Franklin Gothic Book" w:hAnsi="Franklin Gothic Book"/>
          <w:sz w:val="22"/>
        </w:rPr>
        <w:t xml:space="preserve">) was </w:t>
      </w:r>
      <w:r w:rsidR="006B383D" w:rsidRPr="00330942">
        <w:rPr>
          <w:rFonts w:ascii="Franklin Gothic Book" w:hAnsi="Franklin Gothic Book"/>
          <w:sz w:val="22"/>
        </w:rPr>
        <w:t>recommended.</w:t>
      </w:r>
      <w:r w:rsidR="00232E72" w:rsidRPr="00330942">
        <w:rPr>
          <w:rFonts w:ascii="Franklin Gothic Book" w:hAnsi="Franklin Gothic Book"/>
          <w:sz w:val="22"/>
        </w:rPr>
        <w:t xml:space="preserve"> </w:t>
      </w:r>
      <w:r w:rsidR="00B53CD2" w:rsidRPr="00330942">
        <w:rPr>
          <w:rFonts w:ascii="Franklin Gothic Book" w:hAnsi="Franklin Gothic Book"/>
          <w:sz w:val="22"/>
        </w:rPr>
        <w:t xml:space="preserve">However, for patients who are diagnosed at an early stage, </w:t>
      </w:r>
      <w:r w:rsidR="00E374E6" w:rsidRPr="00330942">
        <w:rPr>
          <w:rFonts w:ascii="Franklin Gothic Book" w:hAnsi="Franklin Gothic Book"/>
          <w:sz w:val="22"/>
        </w:rPr>
        <w:t xml:space="preserve">the experience </w:t>
      </w:r>
      <w:r w:rsidR="0051001D" w:rsidRPr="00330942">
        <w:rPr>
          <w:rFonts w:ascii="Franklin Gothic Book" w:hAnsi="Franklin Gothic Book"/>
          <w:sz w:val="22"/>
        </w:rPr>
        <w:t>may differ</w:t>
      </w:r>
      <w:r w:rsidR="00E374E6" w:rsidRPr="00330942">
        <w:rPr>
          <w:rFonts w:ascii="Franklin Gothic Book" w:hAnsi="Franklin Gothic Book"/>
          <w:sz w:val="22"/>
        </w:rPr>
        <w:t xml:space="preserve"> as</w:t>
      </w:r>
      <w:r w:rsidR="00FF4880" w:rsidRPr="00330942">
        <w:rPr>
          <w:rFonts w:ascii="Franklin Gothic Book" w:hAnsi="Franklin Gothic Book"/>
          <w:sz w:val="22"/>
        </w:rPr>
        <w:t xml:space="preserve"> follows: With </w:t>
      </w:r>
      <w:r w:rsidR="00E374E6" w:rsidRPr="00330942">
        <w:rPr>
          <w:rFonts w:ascii="Franklin Gothic Book" w:hAnsi="Franklin Gothic Book"/>
          <w:sz w:val="22"/>
        </w:rPr>
        <w:t xml:space="preserve">the MBS item descriptor from the 1779 Ratified PICO, </w:t>
      </w:r>
      <w:r w:rsidR="00D65834" w:rsidRPr="00330942">
        <w:rPr>
          <w:rFonts w:ascii="Franklin Gothic Book" w:hAnsi="Franklin Gothic Book"/>
          <w:sz w:val="22"/>
        </w:rPr>
        <w:t xml:space="preserve">patients who are diagnosed at </w:t>
      </w:r>
      <w:r w:rsidR="00110CEF" w:rsidRPr="00330942">
        <w:rPr>
          <w:rFonts w:ascii="Franklin Gothic Book" w:hAnsi="Franklin Gothic Book"/>
          <w:sz w:val="22"/>
        </w:rPr>
        <w:t xml:space="preserve">an early stage of CCA would be eligible for testing at the point of diagnosis. The advantage of this would be that the tissue sample would be fresh and </w:t>
      </w:r>
      <w:r w:rsidR="000213C0" w:rsidRPr="00330942">
        <w:rPr>
          <w:rFonts w:ascii="Franklin Gothic Book" w:hAnsi="Franklin Gothic Book"/>
          <w:sz w:val="22"/>
        </w:rPr>
        <w:t>less likely to be degrade</w:t>
      </w:r>
      <w:r w:rsidR="00F91980" w:rsidRPr="00330942">
        <w:rPr>
          <w:rFonts w:ascii="Franklin Gothic Book" w:hAnsi="Franklin Gothic Book"/>
          <w:sz w:val="22"/>
        </w:rPr>
        <w:t>d</w:t>
      </w:r>
      <w:r w:rsidR="00153A4F" w:rsidRPr="00330942">
        <w:rPr>
          <w:rFonts w:ascii="Franklin Gothic Book" w:hAnsi="Franklin Gothic Book"/>
          <w:sz w:val="22"/>
        </w:rPr>
        <w:t xml:space="preserve">, </w:t>
      </w:r>
      <w:r w:rsidR="006B7DD8" w:rsidRPr="00330942">
        <w:rPr>
          <w:rFonts w:ascii="Franklin Gothic Book" w:hAnsi="Franklin Gothic Book"/>
          <w:sz w:val="22"/>
        </w:rPr>
        <w:t xml:space="preserve">it </w:t>
      </w:r>
      <w:r w:rsidR="00153A4F" w:rsidRPr="00330942">
        <w:rPr>
          <w:rFonts w:ascii="Franklin Gothic Book" w:hAnsi="Franklin Gothic Book"/>
          <w:sz w:val="22"/>
        </w:rPr>
        <w:t>would</w:t>
      </w:r>
      <w:r w:rsidR="006B7DD8" w:rsidRPr="00330942">
        <w:rPr>
          <w:rFonts w:ascii="Franklin Gothic Book" w:hAnsi="Franklin Gothic Book"/>
          <w:sz w:val="22"/>
        </w:rPr>
        <w:t xml:space="preserve"> also</w:t>
      </w:r>
      <w:r w:rsidR="00153A4F" w:rsidRPr="00330942">
        <w:rPr>
          <w:rFonts w:ascii="Franklin Gothic Book" w:hAnsi="Franklin Gothic Book"/>
          <w:sz w:val="22"/>
        </w:rPr>
        <w:t xml:space="preserve"> streamline the diagnostic process and allow more efficient use of diagnostic tissue. However, potential disadvantages could be potential </w:t>
      </w:r>
      <w:r w:rsidR="00352B9A" w:rsidRPr="00330942">
        <w:rPr>
          <w:rFonts w:ascii="Franklin Gothic Book" w:hAnsi="Franklin Gothic Book"/>
          <w:sz w:val="22"/>
        </w:rPr>
        <w:t xml:space="preserve">resource </w:t>
      </w:r>
      <w:r w:rsidR="00153A4F" w:rsidRPr="00330942">
        <w:rPr>
          <w:rFonts w:ascii="Franklin Gothic Book" w:hAnsi="Franklin Gothic Book"/>
          <w:sz w:val="22"/>
        </w:rPr>
        <w:t>wastage as patients may not progress to requiring treatment with FGFR2 inhibitors</w:t>
      </w:r>
      <w:r w:rsidR="00F65228" w:rsidRPr="00330942">
        <w:rPr>
          <w:rFonts w:ascii="Franklin Gothic Book" w:hAnsi="Franklin Gothic Book"/>
          <w:sz w:val="22"/>
        </w:rPr>
        <w:t xml:space="preserve">, and </w:t>
      </w:r>
      <w:r w:rsidR="009346E1" w:rsidRPr="00330942">
        <w:rPr>
          <w:rFonts w:ascii="Franklin Gothic Book" w:hAnsi="Franklin Gothic Book"/>
          <w:sz w:val="22"/>
        </w:rPr>
        <w:t xml:space="preserve">patients who subsequently develop </w:t>
      </w:r>
      <w:r w:rsidR="009346E1" w:rsidRPr="00330942">
        <w:rPr>
          <w:rFonts w:ascii="Franklin Gothic Book" w:hAnsi="Franklin Gothic Book"/>
          <w:i/>
          <w:iCs/>
          <w:sz w:val="22"/>
        </w:rPr>
        <w:t>FGFR2</w:t>
      </w:r>
      <w:r w:rsidR="009346E1" w:rsidRPr="00330942">
        <w:rPr>
          <w:rFonts w:ascii="Franklin Gothic Book" w:hAnsi="Franklin Gothic Book"/>
          <w:sz w:val="22"/>
        </w:rPr>
        <w:t xml:space="preserve"> variant</w:t>
      </w:r>
      <w:r w:rsidR="00792733" w:rsidRPr="00330942">
        <w:rPr>
          <w:rFonts w:ascii="Franklin Gothic Book" w:hAnsi="Franklin Gothic Book"/>
          <w:sz w:val="22"/>
        </w:rPr>
        <w:t>s</w:t>
      </w:r>
      <w:r w:rsidR="009346E1" w:rsidRPr="00330942">
        <w:rPr>
          <w:rFonts w:ascii="Franklin Gothic Book" w:hAnsi="Franklin Gothic Book"/>
          <w:sz w:val="22"/>
        </w:rPr>
        <w:t xml:space="preserve"> may not be captured given that </w:t>
      </w:r>
      <w:r w:rsidR="00F65228" w:rsidRPr="00330942">
        <w:rPr>
          <w:rFonts w:ascii="Franklin Gothic Book" w:hAnsi="Franklin Gothic Book"/>
          <w:sz w:val="22"/>
        </w:rPr>
        <w:t xml:space="preserve">there is evidence that </w:t>
      </w:r>
      <w:r w:rsidR="00F65228" w:rsidRPr="00330942">
        <w:rPr>
          <w:rFonts w:ascii="Franklin Gothic Book" w:hAnsi="Franklin Gothic Book"/>
          <w:i/>
          <w:iCs/>
          <w:sz w:val="22"/>
        </w:rPr>
        <w:t>FGFR2</w:t>
      </w:r>
      <w:r w:rsidR="00F65228" w:rsidRPr="00330942">
        <w:rPr>
          <w:rFonts w:ascii="Franklin Gothic Book" w:hAnsi="Franklin Gothic Book"/>
          <w:sz w:val="22"/>
        </w:rPr>
        <w:t xml:space="preserve"> variants may </w:t>
      </w:r>
      <w:r w:rsidR="00784266" w:rsidRPr="00330942">
        <w:rPr>
          <w:rFonts w:ascii="Franklin Gothic Book" w:hAnsi="Franklin Gothic Book"/>
          <w:sz w:val="22"/>
        </w:rPr>
        <w:t>develop with treatment</w:t>
      </w:r>
      <w:r w:rsidR="009346E1" w:rsidRPr="00330942">
        <w:rPr>
          <w:rFonts w:ascii="Franklin Gothic Book" w:hAnsi="Franklin Gothic Book"/>
          <w:sz w:val="22"/>
        </w:rPr>
        <w:t>.</w:t>
      </w:r>
      <w:r w:rsidR="00784266" w:rsidRPr="00330942">
        <w:rPr>
          <w:rFonts w:ascii="Franklin Gothic Book" w:hAnsi="Franklin Gothic Book"/>
          <w:sz w:val="22"/>
        </w:rPr>
        <w:t xml:space="preserve"> </w:t>
      </w:r>
      <w:r w:rsidR="009346E1" w:rsidRPr="00330942">
        <w:rPr>
          <w:rFonts w:ascii="Franklin Gothic Book" w:hAnsi="Franklin Gothic Book"/>
          <w:sz w:val="22"/>
        </w:rPr>
        <w:t>T</w:t>
      </w:r>
      <w:r w:rsidR="00784266" w:rsidRPr="00330942">
        <w:rPr>
          <w:rFonts w:ascii="Franklin Gothic Book" w:hAnsi="Franklin Gothic Book"/>
          <w:sz w:val="22"/>
        </w:rPr>
        <w:t>he</w:t>
      </w:r>
      <w:r w:rsidR="009346E1" w:rsidRPr="00330942">
        <w:rPr>
          <w:rFonts w:ascii="Franklin Gothic Book" w:hAnsi="Franklin Gothic Book"/>
          <w:sz w:val="22"/>
        </w:rPr>
        <w:t>re is also evidence</w:t>
      </w:r>
      <w:r w:rsidR="00C62FC6" w:rsidRPr="00330942">
        <w:rPr>
          <w:rFonts w:ascii="Franklin Gothic Book" w:hAnsi="Franklin Gothic Book"/>
          <w:sz w:val="22"/>
        </w:rPr>
        <w:t xml:space="preserve"> that the</w:t>
      </w:r>
      <w:r w:rsidR="00784266" w:rsidRPr="00330942">
        <w:rPr>
          <w:rFonts w:ascii="Franklin Gothic Book" w:hAnsi="Franklin Gothic Book"/>
          <w:sz w:val="22"/>
        </w:rPr>
        <w:t xml:space="preserve"> diagnostic yield </w:t>
      </w:r>
      <w:r w:rsidR="009346E1" w:rsidRPr="00330942">
        <w:rPr>
          <w:rFonts w:ascii="Franklin Gothic Book" w:hAnsi="Franklin Gothic Book"/>
          <w:sz w:val="22"/>
        </w:rPr>
        <w:t xml:space="preserve">in the whole CCA population was lower than </w:t>
      </w:r>
      <w:r w:rsidR="00C62FC6" w:rsidRPr="00330942">
        <w:rPr>
          <w:rFonts w:ascii="Franklin Gothic Book" w:hAnsi="Franklin Gothic Book"/>
          <w:sz w:val="22"/>
        </w:rPr>
        <w:t xml:space="preserve">in advanced CCA. This is discussed further below in </w:t>
      </w:r>
      <w:r w:rsidR="00FF4880" w:rsidRPr="00330942">
        <w:rPr>
          <w:rFonts w:ascii="Franklin Gothic Book" w:hAnsi="Franklin Gothic Book"/>
          <w:sz w:val="22"/>
        </w:rPr>
        <w:t>the diagnostic yield section of the executive summary</w:t>
      </w:r>
      <w:r w:rsidR="002C6907" w:rsidRPr="00330942">
        <w:rPr>
          <w:rFonts w:ascii="Franklin Gothic Book" w:hAnsi="Franklin Gothic Book"/>
          <w:sz w:val="22"/>
        </w:rPr>
        <w:t>.</w:t>
      </w:r>
    </w:p>
    <w:p w14:paraId="7262891C" w14:textId="646C277C" w:rsidR="00E374E6" w:rsidRPr="00330942" w:rsidRDefault="00912751" w:rsidP="00330942">
      <w:pPr>
        <w:jc w:val="left"/>
        <w:rPr>
          <w:rFonts w:ascii="Franklin Gothic Book" w:hAnsi="Franklin Gothic Book"/>
          <w:sz w:val="22"/>
        </w:rPr>
      </w:pPr>
      <w:r w:rsidRPr="00330942">
        <w:rPr>
          <w:rFonts w:ascii="Franklin Gothic Book" w:hAnsi="Franklin Gothic Book"/>
          <w:sz w:val="22"/>
        </w:rPr>
        <w:t xml:space="preserve">The </w:t>
      </w:r>
      <w:r w:rsidR="00EC25B4" w:rsidRPr="00330942">
        <w:rPr>
          <w:rFonts w:ascii="Franklin Gothic Book" w:hAnsi="Franklin Gothic Book"/>
          <w:sz w:val="22"/>
        </w:rPr>
        <w:t>commentary</w:t>
      </w:r>
      <w:r w:rsidRPr="00330942">
        <w:rPr>
          <w:rFonts w:ascii="Franklin Gothic Book" w:hAnsi="Franklin Gothic Book"/>
          <w:sz w:val="22"/>
        </w:rPr>
        <w:t xml:space="preserve"> noted that w</w:t>
      </w:r>
      <w:r w:rsidR="002C6907" w:rsidRPr="00330942">
        <w:rPr>
          <w:rFonts w:ascii="Franklin Gothic Book" w:hAnsi="Franklin Gothic Book"/>
          <w:sz w:val="22"/>
        </w:rPr>
        <w:t xml:space="preserve">ith the alternative item descriptor proposed in the submission, patients who are diagnosed at an early stage of CCA would not be eligible for </w:t>
      </w:r>
      <w:r w:rsidR="002B0A3C" w:rsidRPr="00330942">
        <w:rPr>
          <w:rFonts w:ascii="Franklin Gothic Book" w:hAnsi="Franklin Gothic Book"/>
          <w:sz w:val="22"/>
        </w:rPr>
        <w:t>testing</w:t>
      </w:r>
      <w:r w:rsidR="00B76828" w:rsidRPr="00330942">
        <w:rPr>
          <w:rFonts w:ascii="Franklin Gothic Book" w:hAnsi="Franklin Gothic Book"/>
          <w:sz w:val="22"/>
        </w:rPr>
        <w:t xml:space="preserve"> at diagnosis</w:t>
      </w:r>
      <w:r w:rsidR="00F93F97" w:rsidRPr="00330942">
        <w:rPr>
          <w:rFonts w:ascii="Franklin Gothic Book" w:hAnsi="Franklin Gothic Book"/>
          <w:sz w:val="22"/>
        </w:rPr>
        <w:t xml:space="preserve">, </w:t>
      </w:r>
      <w:r w:rsidR="00874D1D" w:rsidRPr="00330942">
        <w:rPr>
          <w:rFonts w:ascii="Franklin Gothic Book" w:hAnsi="Franklin Gothic Book"/>
          <w:sz w:val="22"/>
        </w:rPr>
        <w:t>and</w:t>
      </w:r>
      <w:r w:rsidR="00F93F97" w:rsidRPr="00330942">
        <w:rPr>
          <w:rFonts w:ascii="Franklin Gothic Book" w:hAnsi="Franklin Gothic Book"/>
          <w:sz w:val="22"/>
        </w:rPr>
        <w:t xml:space="preserve"> only those who experience recurrence or metastasis</w:t>
      </w:r>
      <w:r w:rsidR="00FF4880" w:rsidRPr="00330942">
        <w:rPr>
          <w:rFonts w:ascii="Franklin Gothic Book" w:hAnsi="Franklin Gothic Book"/>
          <w:sz w:val="22"/>
        </w:rPr>
        <w:t xml:space="preserve"> </w:t>
      </w:r>
      <w:r w:rsidR="00874D1D" w:rsidRPr="00330942">
        <w:rPr>
          <w:rFonts w:ascii="Franklin Gothic Book" w:hAnsi="Franklin Gothic Book"/>
          <w:sz w:val="22"/>
        </w:rPr>
        <w:t xml:space="preserve">would be eligible for testing. The advantage </w:t>
      </w:r>
      <w:r w:rsidR="00DE3516" w:rsidRPr="00330942">
        <w:rPr>
          <w:rFonts w:ascii="Franklin Gothic Book" w:hAnsi="Franklin Gothic Book"/>
          <w:sz w:val="22"/>
        </w:rPr>
        <w:t xml:space="preserve">would be that there would be less potential </w:t>
      </w:r>
      <w:r w:rsidR="00352B9A" w:rsidRPr="00330942">
        <w:rPr>
          <w:rFonts w:ascii="Franklin Gothic Book" w:hAnsi="Franklin Gothic Book"/>
          <w:sz w:val="22"/>
        </w:rPr>
        <w:t xml:space="preserve">resource </w:t>
      </w:r>
      <w:r w:rsidR="00DE3516" w:rsidRPr="00330942">
        <w:rPr>
          <w:rFonts w:ascii="Franklin Gothic Book" w:hAnsi="Franklin Gothic Book"/>
          <w:sz w:val="22"/>
        </w:rPr>
        <w:t xml:space="preserve">wastage as patients are more likely to be eligible for FGFR2 inhibitors (which are restricted to </w:t>
      </w:r>
      <w:r w:rsidR="00234110" w:rsidRPr="00330942">
        <w:rPr>
          <w:rFonts w:ascii="Franklin Gothic Book" w:hAnsi="Franklin Gothic Book"/>
          <w:sz w:val="22"/>
        </w:rPr>
        <w:t xml:space="preserve">advanced or recurrent disease) </w:t>
      </w:r>
      <w:r w:rsidR="0051001D" w:rsidRPr="00330942">
        <w:rPr>
          <w:rFonts w:ascii="Franklin Gothic Book" w:hAnsi="Franklin Gothic Book"/>
          <w:sz w:val="22"/>
        </w:rPr>
        <w:t xml:space="preserve">and it is likely more eligible patients may be </w:t>
      </w:r>
      <w:r w:rsidR="00B40F8E" w:rsidRPr="00330942">
        <w:rPr>
          <w:rFonts w:ascii="Franklin Gothic Book" w:hAnsi="Franklin Gothic Book"/>
          <w:sz w:val="22"/>
        </w:rPr>
        <w:t>identified</w:t>
      </w:r>
      <w:r w:rsidR="00C20B6F" w:rsidRPr="00330942">
        <w:rPr>
          <w:rFonts w:ascii="Franklin Gothic Book" w:hAnsi="Franklin Gothic Book"/>
          <w:sz w:val="22"/>
        </w:rPr>
        <w:t xml:space="preserve"> based on observational diagnostic yield evidence</w:t>
      </w:r>
      <w:r w:rsidR="00B40F8E" w:rsidRPr="00330942">
        <w:rPr>
          <w:rFonts w:ascii="Franklin Gothic Book" w:hAnsi="Franklin Gothic Book"/>
          <w:sz w:val="22"/>
        </w:rPr>
        <w:t>.</w:t>
      </w:r>
      <w:r w:rsidR="00C20B6F" w:rsidRPr="00330942">
        <w:rPr>
          <w:rFonts w:ascii="Franklin Gothic Book" w:hAnsi="Franklin Gothic Book"/>
          <w:sz w:val="22"/>
        </w:rPr>
        <w:t xml:space="preserve"> However, </w:t>
      </w:r>
      <w:r w:rsidR="002A1EB0" w:rsidRPr="00330942">
        <w:rPr>
          <w:rFonts w:ascii="Franklin Gothic Book" w:hAnsi="Franklin Gothic Book"/>
          <w:sz w:val="22"/>
        </w:rPr>
        <w:t>testing may be reliant on archival tissue which may have degraded and</w:t>
      </w:r>
      <w:r w:rsidR="0013245A" w:rsidRPr="00330942">
        <w:rPr>
          <w:rFonts w:ascii="Franklin Gothic Book" w:hAnsi="Franklin Gothic Book"/>
          <w:sz w:val="22"/>
        </w:rPr>
        <w:t xml:space="preserve"> </w:t>
      </w:r>
      <w:r w:rsidR="008538EE" w:rsidRPr="00330942">
        <w:rPr>
          <w:rFonts w:ascii="Franklin Gothic Book" w:hAnsi="Franklin Gothic Book"/>
          <w:sz w:val="22"/>
        </w:rPr>
        <w:t>testing may be more difficult and/or less reliable</w:t>
      </w:r>
      <w:r w:rsidR="00B13CFF" w:rsidRPr="00330942">
        <w:rPr>
          <w:rFonts w:ascii="Franklin Gothic Book" w:hAnsi="Franklin Gothic Book"/>
          <w:sz w:val="22"/>
        </w:rPr>
        <w:t>.</w:t>
      </w:r>
      <w:r w:rsidR="008538EE" w:rsidRPr="00330942">
        <w:rPr>
          <w:rFonts w:ascii="Franklin Gothic Book" w:hAnsi="Franklin Gothic Book"/>
          <w:sz w:val="22"/>
        </w:rPr>
        <w:t xml:space="preserve"> </w:t>
      </w:r>
      <w:r w:rsidR="00B13CFF" w:rsidRPr="00330942">
        <w:rPr>
          <w:rFonts w:ascii="Franklin Gothic Book" w:hAnsi="Franklin Gothic Book"/>
          <w:sz w:val="22"/>
        </w:rPr>
        <w:t>I</w:t>
      </w:r>
      <w:r w:rsidR="0013245A" w:rsidRPr="00330942">
        <w:rPr>
          <w:rFonts w:ascii="Franklin Gothic Book" w:hAnsi="Franklin Gothic Book"/>
          <w:sz w:val="22"/>
        </w:rPr>
        <w:t xml:space="preserve">n some cases </w:t>
      </w:r>
      <w:r w:rsidR="00C20B6F" w:rsidRPr="00330942">
        <w:rPr>
          <w:rFonts w:ascii="Franklin Gothic Book" w:hAnsi="Franklin Gothic Book"/>
          <w:sz w:val="22"/>
        </w:rPr>
        <w:t xml:space="preserve">there may be additional safety </w:t>
      </w:r>
      <w:r w:rsidR="002A1EB0" w:rsidRPr="00330942">
        <w:rPr>
          <w:rFonts w:ascii="Franklin Gothic Book" w:hAnsi="Franklin Gothic Book"/>
          <w:sz w:val="22"/>
        </w:rPr>
        <w:t xml:space="preserve">risks for patients </w:t>
      </w:r>
      <w:r w:rsidR="0013245A" w:rsidRPr="00330942">
        <w:rPr>
          <w:rFonts w:ascii="Franklin Gothic Book" w:hAnsi="Franklin Gothic Book"/>
          <w:sz w:val="22"/>
        </w:rPr>
        <w:t>who may require a re-biopsy for testing.</w:t>
      </w:r>
    </w:p>
    <w:p w14:paraId="2B2EAB7E" w14:textId="7461B080"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Fibroblast growth factor receptors (FGFRs) are a type of receptor tyrosine kinase with high functional importance in a number of biological processes, including development, differentiation, survival, migration, and proliferation. The fibroblast growth factor (FGF) pathway consists of 22 human FGFs and 4 transmembrane receptors with intracellular tyrosine kinase domains (</w:t>
      </w:r>
      <w:r w:rsidRPr="00330942">
        <w:rPr>
          <w:rFonts w:ascii="Franklin Gothic Book" w:hAnsi="Franklin Gothic Book"/>
          <w:i/>
          <w:iCs/>
          <w:color w:val="auto"/>
          <w:sz w:val="22"/>
        </w:rPr>
        <w:t>FGFR1, FGFR2, FGFR3,</w:t>
      </w:r>
      <w:r w:rsidRPr="00330942">
        <w:rPr>
          <w:rFonts w:ascii="Franklin Gothic Book" w:hAnsi="Franklin Gothic Book"/>
          <w:color w:val="auto"/>
          <w:sz w:val="22"/>
        </w:rPr>
        <w:t xml:space="preserve"> and </w:t>
      </w:r>
      <w:r w:rsidRPr="00330942">
        <w:rPr>
          <w:rFonts w:ascii="Franklin Gothic Book" w:hAnsi="Franklin Gothic Book"/>
          <w:i/>
          <w:iCs/>
          <w:color w:val="auto"/>
          <w:sz w:val="22"/>
        </w:rPr>
        <w:t>FGFR4</w:t>
      </w:r>
      <w:r w:rsidRPr="00330942">
        <w:rPr>
          <w:rFonts w:ascii="Franklin Gothic Book" w:hAnsi="Franklin Gothic Book"/>
          <w:color w:val="auto"/>
          <w:sz w:val="22"/>
        </w:rPr>
        <w:t>) (Goyal 2021). The binding of FGF ligands to FGFR leads to the dimerization of receptors and activates the intracellular tyrosine kinase of the FGFR transmembrane receptor via phosphorylation. This induces activation of intracellular pathways leading to gene transcription.</w:t>
      </w:r>
    </w:p>
    <w:p w14:paraId="3875BB85" w14:textId="51BE79CB"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The presence of various types of </w:t>
      </w:r>
      <w:r w:rsidRPr="00330942">
        <w:rPr>
          <w:rFonts w:ascii="Franklin Gothic Book" w:hAnsi="Franklin Gothic Book"/>
          <w:i/>
          <w:iCs/>
          <w:color w:val="auto"/>
          <w:sz w:val="22"/>
        </w:rPr>
        <w:t>FGFR</w:t>
      </w:r>
      <w:r w:rsidRPr="00330942">
        <w:rPr>
          <w:rFonts w:ascii="Franklin Gothic Book" w:hAnsi="Franklin Gothic Book"/>
          <w:color w:val="auto"/>
          <w:sz w:val="22"/>
        </w:rPr>
        <w:t xml:space="preserve"> aberrations/alterations can promote carcinogenesis through gene amplification, activating </w:t>
      </w:r>
      <w:r w:rsidR="00AB474D" w:rsidRPr="00330942">
        <w:rPr>
          <w:rFonts w:ascii="Franklin Gothic Book" w:hAnsi="Franklin Gothic Book"/>
          <w:color w:val="auto"/>
          <w:sz w:val="22"/>
        </w:rPr>
        <w:t>variant</w:t>
      </w:r>
      <w:r w:rsidRPr="00330942">
        <w:rPr>
          <w:rFonts w:ascii="Franklin Gothic Book" w:hAnsi="Franklin Gothic Book"/>
          <w:color w:val="auto"/>
          <w:sz w:val="22"/>
        </w:rPr>
        <w:t xml:space="preserve">s, point </w:t>
      </w:r>
      <w:r w:rsidR="00AB474D" w:rsidRPr="00330942">
        <w:rPr>
          <w:rFonts w:ascii="Franklin Gothic Book" w:hAnsi="Franklin Gothic Book"/>
          <w:color w:val="auto"/>
          <w:sz w:val="22"/>
        </w:rPr>
        <w:t>variant</w:t>
      </w:r>
      <w:r w:rsidRPr="00330942">
        <w:rPr>
          <w:rFonts w:ascii="Franklin Gothic Book" w:hAnsi="Franklin Gothic Book"/>
          <w:color w:val="auto"/>
          <w:sz w:val="22"/>
        </w:rPr>
        <w:t xml:space="preserve">s, fusions/ translocations and fusions/translocations (Goyal 2021; Goyal 2020; Helsten 2016; Dabney 2019; ESMO 2021). </w:t>
      </w:r>
    </w:p>
    <w:p w14:paraId="17A7B762" w14:textId="6699E8FC"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lastRenderedPageBreak/>
        <w:t xml:space="preserve">Among CCA patients with </w:t>
      </w:r>
      <w:r w:rsidRPr="00330942">
        <w:rPr>
          <w:rFonts w:ascii="Franklin Gothic Book" w:hAnsi="Franklin Gothic Book"/>
          <w:i/>
          <w:iCs/>
          <w:color w:val="auto"/>
          <w:sz w:val="22"/>
        </w:rPr>
        <w:t>FGFR</w:t>
      </w:r>
      <w:r w:rsidRPr="00330942">
        <w:rPr>
          <w:rFonts w:ascii="Franklin Gothic Book" w:hAnsi="Franklin Gothic Book"/>
          <w:color w:val="auto"/>
          <w:sz w:val="22"/>
        </w:rPr>
        <w:t xml:space="preserve"> alterations,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fusions have been found to be the most common alteration (approximately 70%). The most common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fusion partner in iCCA is </w:t>
      </w:r>
      <w:r w:rsidRPr="00330942">
        <w:rPr>
          <w:rFonts w:ascii="Franklin Gothic Book" w:hAnsi="Franklin Gothic Book"/>
          <w:i/>
          <w:iCs/>
          <w:color w:val="auto"/>
          <w:sz w:val="22"/>
        </w:rPr>
        <w:t>BICC1</w:t>
      </w:r>
      <w:r w:rsidRPr="00330942">
        <w:rPr>
          <w:rFonts w:ascii="Franklin Gothic Book" w:hAnsi="Franklin Gothic Book"/>
          <w:color w:val="auto"/>
          <w:sz w:val="22"/>
        </w:rPr>
        <w:t xml:space="preserve"> (approximately 30% of fusions). Usually,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fusions are mutually exclusive with </w:t>
      </w:r>
      <w:r w:rsidRPr="00330942">
        <w:rPr>
          <w:rFonts w:ascii="Franklin Gothic Book" w:hAnsi="Franklin Gothic Book"/>
          <w:i/>
          <w:iCs/>
          <w:color w:val="auto"/>
          <w:sz w:val="22"/>
        </w:rPr>
        <w:t>IDH1</w:t>
      </w:r>
      <w:r w:rsidRPr="00330942">
        <w:rPr>
          <w:rFonts w:ascii="Franklin Gothic Book" w:hAnsi="Franklin Gothic Book"/>
          <w:color w:val="auto"/>
          <w:sz w:val="22"/>
        </w:rPr>
        <w:t xml:space="preserve"> </w:t>
      </w:r>
      <w:r w:rsidR="00AB474D" w:rsidRPr="00330942">
        <w:rPr>
          <w:rFonts w:ascii="Franklin Gothic Book" w:hAnsi="Franklin Gothic Book"/>
          <w:color w:val="auto"/>
          <w:sz w:val="22"/>
        </w:rPr>
        <w:t>variant</w:t>
      </w:r>
      <w:r w:rsidRPr="00330942">
        <w:rPr>
          <w:rFonts w:ascii="Franklin Gothic Book" w:hAnsi="Franklin Gothic Book"/>
          <w:color w:val="auto"/>
          <w:sz w:val="22"/>
        </w:rPr>
        <w:t xml:space="preserve">s. </w:t>
      </w:r>
    </w:p>
    <w:p w14:paraId="1832EAD1" w14:textId="4BFDFD7A"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As noted in the 1779 Ratified PICO, FGFR2 is encoded by the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gene located on chromosome 10 (Normanno 2021). FGFR2 fusions have been classified as level I genomic alteration according to the ESMO Scale for Clinical Actionability of Molecular Targets (ESCAT) (Mosele 2020). </w:t>
      </w:r>
      <w:r w:rsidR="00EC25B4" w:rsidRPr="00330942">
        <w:rPr>
          <w:rFonts w:ascii="Franklin Gothic Book" w:hAnsi="Franklin Gothic Book"/>
          <w:color w:val="auto"/>
          <w:sz w:val="22"/>
        </w:rPr>
        <w:t xml:space="preserve">The commentary noted that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fusions or rearrangements have also been classified as Tier I variants (i.e., variants with strong clinical significance) in CCA, according to the Joint Consensus Recommendation of the Association for Molecular Pathology, American Society of Clinical Oncology, and College of American Pathologists (Li 2017).</w:t>
      </w:r>
    </w:p>
    <w:p w14:paraId="746720F3" w14:textId="162CD65B" w:rsidR="00F7501D" w:rsidRPr="00330942" w:rsidRDefault="00E32C10"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The </w:t>
      </w:r>
      <w:r w:rsidR="00F7501D" w:rsidRPr="00330942">
        <w:rPr>
          <w:rFonts w:ascii="Franklin Gothic Book" w:hAnsi="Franklin Gothic Book"/>
          <w:color w:val="auto"/>
          <w:sz w:val="22"/>
        </w:rPr>
        <w:t>PASC noted that FGFR2 gene fusions were a relevant biomarker, regardless of the fusion gene partner.</w:t>
      </w:r>
    </w:p>
    <w:p w14:paraId="6C878DA0" w14:textId="33D5834D" w:rsidR="00F7501D" w:rsidRPr="00330942" w:rsidRDefault="00F7501D"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The submission did not discuss the stability of the biomarker. </w:t>
      </w:r>
      <w:r w:rsidR="00332F7A" w:rsidRPr="00330942">
        <w:rPr>
          <w:rFonts w:ascii="Franklin Gothic Book" w:hAnsi="Franklin Gothic Book"/>
          <w:color w:val="auto"/>
          <w:sz w:val="22"/>
        </w:rPr>
        <w:t xml:space="preserve">The </w:t>
      </w:r>
      <w:r w:rsidR="00EC25B4" w:rsidRPr="00330942">
        <w:rPr>
          <w:rFonts w:ascii="Franklin Gothic Book" w:hAnsi="Franklin Gothic Book"/>
          <w:color w:val="auto"/>
          <w:sz w:val="22"/>
        </w:rPr>
        <w:t>commentary</w:t>
      </w:r>
      <w:r w:rsidR="00456354" w:rsidRPr="00330942">
        <w:rPr>
          <w:rFonts w:ascii="Franklin Gothic Book" w:hAnsi="Franklin Gothic Book"/>
          <w:color w:val="auto"/>
          <w:sz w:val="22"/>
        </w:rPr>
        <w:t xml:space="preserve"> noted that t</w:t>
      </w:r>
      <w:r w:rsidRPr="00330942">
        <w:rPr>
          <w:rFonts w:ascii="Franklin Gothic Book" w:hAnsi="Franklin Gothic Book"/>
          <w:color w:val="auto"/>
          <w:sz w:val="22"/>
        </w:rPr>
        <w:t xml:space="preserve">his was listed as an outcome in the 1779 Ratified PICO Confirmation. A literature search conducted during the evaluation identified limited information regarding the stability of </w:t>
      </w:r>
      <w:r w:rsidRPr="00330942">
        <w:rPr>
          <w:rFonts w:ascii="Franklin Gothic Book" w:hAnsi="Franklin Gothic Book"/>
          <w:i/>
          <w:iCs/>
          <w:color w:val="auto"/>
          <w:sz w:val="22"/>
        </w:rPr>
        <w:t>FGFR</w:t>
      </w:r>
      <w:r w:rsidRPr="00330942">
        <w:rPr>
          <w:rFonts w:ascii="Franklin Gothic Book" w:hAnsi="Franklin Gothic Book"/>
          <w:color w:val="auto"/>
          <w:sz w:val="22"/>
        </w:rPr>
        <w:t xml:space="preserve"> biomarkers in general. In advanced </w:t>
      </w:r>
      <w:r w:rsidR="00FA3ED5" w:rsidRPr="00330942">
        <w:rPr>
          <w:rFonts w:ascii="Franklin Gothic Book" w:hAnsi="Franklin Gothic Book"/>
          <w:color w:val="auto"/>
          <w:sz w:val="22"/>
        </w:rPr>
        <w:t>non-small</w:t>
      </w:r>
      <w:r w:rsidRPr="00330942">
        <w:rPr>
          <w:rFonts w:ascii="Franklin Gothic Book" w:hAnsi="Franklin Gothic Book"/>
          <w:color w:val="auto"/>
          <w:sz w:val="22"/>
        </w:rPr>
        <w:t xml:space="preserve"> cell lung cancer, over 23% of </w:t>
      </w:r>
      <w:r w:rsidRPr="00330942">
        <w:rPr>
          <w:rFonts w:ascii="Franklin Gothic Book" w:hAnsi="Franklin Gothic Book"/>
          <w:i/>
          <w:iCs/>
          <w:color w:val="auto"/>
          <w:sz w:val="22"/>
        </w:rPr>
        <w:t>FGFR2/3</w:t>
      </w:r>
      <w:r w:rsidRPr="00330942">
        <w:rPr>
          <w:rFonts w:ascii="Franklin Gothic Book" w:hAnsi="Franklin Gothic Book"/>
          <w:color w:val="auto"/>
          <w:sz w:val="22"/>
        </w:rPr>
        <w:t xml:space="preserve"> fusions may be associated with acquired resistance following treatment with </w:t>
      </w:r>
      <w:r w:rsidR="00F509C0" w:rsidRPr="00330942">
        <w:rPr>
          <w:rFonts w:ascii="Franklin Gothic Book" w:hAnsi="Franklin Gothic Book"/>
          <w:color w:val="auto"/>
          <w:sz w:val="22"/>
        </w:rPr>
        <w:t xml:space="preserve">epidermal growth factor receptor </w:t>
      </w:r>
      <w:r w:rsidRPr="00330942">
        <w:rPr>
          <w:rFonts w:ascii="Franklin Gothic Book" w:hAnsi="Franklin Gothic Book"/>
          <w:color w:val="auto"/>
          <w:sz w:val="22"/>
        </w:rPr>
        <w:t>tyrosine kinase inhibitors (Raphael 2022)</w:t>
      </w:r>
      <w:r w:rsidRPr="00330942">
        <w:rPr>
          <w:rStyle w:val="FootnoteReference"/>
          <w:rFonts w:ascii="Franklin Gothic Book" w:hAnsi="Franklin Gothic Book"/>
          <w:color w:val="auto"/>
          <w:sz w:val="22"/>
        </w:rPr>
        <w:footnoteReference w:id="6"/>
      </w:r>
      <w:r w:rsidRPr="00330942">
        <w:rPr>
          <w:rFonts w:ascii="Franklin Gothic Book" w:hAnsi="Franklin Gothic Book"/>
          <w:color w:val="auto"/>
          <w:sz w:val="22"/>
        </w:rPr>
        <w:t xml:space="preserve"> which may point to alterations acquired by prior treatment. </w:t>
      </w:r>
    </w:p>
    <w:p w14:paraId="27511582" w14:textId="20BEA001" w:rsidR="00F7501D" w:rsidRPr="00330942" w:rsidRDefault="006E7BDC" w:rsidP="00330942">
      <w:pPr>
        <w:pStyle w:val="InstructionalText"/>
        <w:jc w:val="left"/>
        <w:rPr>
          <w:rFonts w:ascii="Franklin Gothic Book" w:hAnsi="Franklin Gothic Book"/>
          <w:color w:val="auto"/>
          <w:sz w:val="22"/>
        </w:rPr>
      </w:pPr>
      <w:r w:rsidRPr="00330942">
        <w:rPr>
          <w:rFonts w:ascii="Franklin Gothic Book" w:hAnsi="Franklin Gothic Book"/>
          <w:color w:val="auto"/>
          <w:sz w:val="22"/>
        </w:rPr>
        <w:t xml:space="preserve">Neuman 2023, which reported the results of a study assessing the early real-world performance of NGS on RNA and FISH on DNA for the identification of </w:t>
      </w:r>
      <w:r w:rsidRPr="00330942">
        <w:rPr>
          <w:rFonts w:ascii="Franklin Gothic Book" w:hAnsi="Franklin Gothic Book"/>
          <w:i/>
          <w:iCs/>
          <w:color w:val="auto"/>
          <w:sz w:val="22"/>
        </w:rPr>
        <w:t>FGFR2</w:t>
      </w:r>
      <w:r w:rsidRPr="00330942">
        <w:rPr>
          <w:rFonts w:ascii="Franklin Gothic Book" w:hAnsi="Franklin Gothic Book"/>
          <w:color w:val="auto"/>
          <w:sz w:val="22"/>
        </w:rPr>
        <w:t xml:space="preserve"> alterations in patients with CCA in Germany, noted that “(t)he detection of full-length transcripts by RNA sequencing in </w:t>
      </w:r>
      <w:r w:rsidR="000E02A2" w:rsidRPr="00330942">
        <w:rPr>
          <w:rFonts w:ascii="Franklin Gothic Book" w:hAnsi="Franklin Gothic Book"/>
          <w:color w:val="auto"/>
          <w:sz w:val="22"/>
        </w:rPr>
        <w:t xml:space="preserve">[Formalin-fixed, paraffin-embedded] </w:t>
      </w:r>
      <w:r w:rsidRPr="00330942">
        <w:rPr>
          <w:rFonts w:ascii="Franklin Gothic Book" w:hAnsi="Franklin Gothic Book"/>
          <w:color w:val="auto"/>
          <w:sz w:val="22"/>
        </w:rPr>
        <w:t>FFPE material is technically challenging due to the prominent degradation of RNA in FFPE samples.”</w:t>
      </w:r>
      <w:r w:rsidR="006D1413" w:rsidRPr="00330942">
        <w:rPr>
          <w:rFonts w:ascii="Franklin Gothic Book" w:hAnsi="Franklin Gothic Book"/>
          <w:color w:val="auto"/>
          <w:sz w:val="22"/>
        </w:rPr>
        <w:t xml:space="preserve"> </w:t>
      </w:r>
      <w:r w:rsidR="00F7501D" w:rsidRPr="00330942">
        <w:rPr>
          <w:rFonts w:ascii="Franklin Gothic Book" w:hAnsi="Franklin Gothic Book"/>
          <w:color w:val="auto"/>
          <w:sz w:val="22"/>
        </w:rPr>
        <w:t xml:space="preserve">The prevalence data presented </w:t>
      </w:r>
      <w:r w:rsidR="004F5D64" w:rsidRPr="00330942">
        <w:rPr>
          <w:rFonts w:ascii="Franklin Gothic Book" w:hAnsi="Franklin Gothic Book"/>
          <w:color w:val="auto"/>
          <w:sz w:val="22"/>
        </w:rPr>
        <w:t>in the submission</w:t>
      </w:r>
      <w:r w:rsidR="00F60A7D" w:rsidRPr="00330942">
        <w:rPr>
          <w:rFonts w:ascii="Franklin Gothic Book" w:hAnsi="Franklin Gothic Book"/>
          <w:color w:val="auto"/>
          <w:sz w:val="22"/>
        </w:rPr>
        <w:t xml:space="preserve"> (see</w:t>
      </w:r>
      <w:r w:rsidR="005B1C7E">
        <w:rPr>
          <w:rFonts w:ascii="Franklin Gothic Book" w:hAnsi="Franklin Gothic Book"/>
          <w:color w:val="auto"/>
          <w:sz w:val="22"/>
        </w:rPr>
        <w:t xml:space="preserve"> </w:t>
      </w:r>
      <w:r w:rsidR="005B1C7E" w:rsidRPr="005B1C7E">
        <w:rPr>
          <w:rFonts w:ascii="Franklin Gothic Book" w:hAnsi="Franklin Gothic Book"/>
          <w:color w:val="auto"/>
          <w:sz w:val="22"/>
        </w:rPr>
        <w:fldChar w:fldCharType="begin"/>
      </w:r>
      <w:r w:rsidR="005B1C7E" w:rsidRPr="005B1C7E">
        <w:rPr>
          <w:rFonts w:ascii="Franklin Gothic Book" w:hAnsi="Franklin Gothic Book"/>
          <w:color w:val="auto"/>
          <w:sz w:val="22"/>
        </w:rPr>
        <w:instrText xml:space="preserve"> REF _Ref198447157  \* MERGEFORMAT </w:instrText>
      </w:r>
      <w:r w:rsidR="005B1C7E" w:rsidRPr="005B1C7E">
        <w:rPr>
          <w:rFonts w:ascii="Franklin Gothic Book" w:hAnsi="Franklin Gothic Book"/>
          <w:color w:val="auto"/>
          <w:sz w:val="22"/>
        </w:rPr>
        <w:fldChar w:fldCharType="separate"/>
      </w:r>
      <w:r w:rsidR="005B1C7E" w:rsidRPr="005B1C7E">
        <w:rPr>
          <w:rFonts w:ascii="Franklin Gothic Book" w:hAnsi="Franklin Gothic Book"/>
          <w:color w:val="auto"/>
          <w:sz w:val="22"/>
        </w:rPr>
        <w:t xml:space="preserve">Table </w:t>
      </w:r>
      <w:r w:rsidR="005B1C7E" w:rsidRPr="005B1C7E">
        <w:rPr>
          <w:rFonts w:ascii="Franklin Gothic Book" w:hAnsi="Franklin Gothic Book"/>
          <w:noProof/>
          <w:color w:val="auto"/>
          <w:sz w:val="22"/>
        </w:rPr>
        <w:t>6</w:t>
      </w:r>
      <w:r w:rsidR="005B1C7E" w:rsidRPr="005B1C7E">
        <w:rPr>
          <w:rFonts w:ascii="Franklin Gothic Book" w:hAnsi="Franklin Gothic Book"/>
          <w:color w:val="auto"/>
          <w:sz w:val="22"/>
        </w:rPr>
        <w:fldChar w:fldCharType="end"/>
      </w:r>
      <w:r w:rsidR="005363C1" w:rsidRPr="00330942">
        <w:rPr>
          <w:rFonts w:ascii="Franklin Gothic Book" w:hAnsi="Franklin Gothic Book"/>
          <w:color w:val="auto"/>
          <w:sz w:val="22"/>
        </w:rPr>
        <w:t>)</w:t>
      </w:r>
      <w:r w:rsidR="00F7501D" w:rsidRPr="00330942">
        <w:rPr>
          <w:rFonts w:ascii="Franklin Gothic Book" w:hAnsi="Franklin Gothic Book"/>
          <w:color w:val="auto"/>
          <w:sz w:val="22"/>
        </w:rPr>
        <w:t xml:space="preserve"> also suggest that there may be higher prevalence of </w:t>
      </w:r>
      <w:r w:rsidR="00F7501D" w:rsidRPr="00330942">
        <w:rPr>
          <w:rFonts w:ascii="Franklin Gothic Book" w:hAnsi="Franklin Gothic Book"/>
          <w:i/>
          <w:iCs/>
          <w:color w:val="auto"/>
          <w:sz w:val="22"/>
        </w:rPr>
        <w:t>FGFR2</w:t>
      </w:r>
      <w:r w:rsidR="00F7501D" w:rsidRPr="00330942">
        <w:rPr>
          <w:rFonts w:ascii="Franklin Gothic Book" w:hAnsi="Franklin Gothic Book"/>
          <w:color w:val="auto"/>
          <w:sz w:val="22"/>
        </w:rPr>
        <w:t xml:space="preserve"> </w:t>
      </w:r>
      <w:r w:rsidR="008E0ADF" w:rsidRPr="00330942">
        <w:rPr>
          <w:rFonts w:ascii="Franklin Gothic Book" w:hAnsi="Franklin Gothic Book"/>
          <w:color w:val="auto"/>
          <w:sz w:val="22"/>
        </w:rPr>
        <w:t>variant</w:t>
      </w:r>
      <w:r w:rsidR="00B94F3F">
        <w:rPr>
          <w:rFonts w:ascii="Franklin Gothic Book" w:hAnsi="Franklin Gothic Book"/>
          <w:color w:val="auto"/>
          <w:sz w:val="22"/>
        </w:rPr>
        <w:t>s</w:t>
      </w:r>
      <w:r w:rsidR="00F7501D" w:rsidRPr="00330942">
        <w:rPr>
          <w:rFonts w:ascii="Franklin Gothic Book" w:hAnsi="Franklin Gothic Book"/>
          <w:color w:val="auto"/>
          <w:sz w:val="22"/>
        </w:rPr>
        <w:t xml:space="preserve"> in advanced CCA compared to CCA in general, though this may reflect underlying differences in the included studies than actual prevalence. </w:t>
      </w:r>
    </w:p>
    <w:p w14:paraId="28B1DEDC" w14:textId="036DFFE0" w:rsidR="00FD07C6" w:rsidRPr="00330942" w:rsidRDefault="00607670" w:rsidP="00330942">
      <w:pPr>
        <w:pStyle w:val="InstructionalText"/>
        <w:jc w:val="left"/>
        <w:rPr>
          <w:rFonts w:ascii="Franklin Gothic Book" w:hAnsi="Franklin Gothic Book"/>
          <w:color w:val="auto"/>
          <w:sz w:val="22"/>
        </w:rPr>
      </w:pPr>
      <w:bookmarkStart w:id="17" w:name="_Hlk187247464"/>
      <w:r w:rsidRPr="00330942">
        <w:rPr>
          <w:rFonts w:ascii="Franklin Gothic Book" w:hAnsi="Franklin Gothic Book"/>
          <w:color w:val="auto"/>
          <w:sz w:val="22"/>
        </w:rPr>
        <w:t>Therefore, g</w:t>
      </w:r>
      <w:r w:rsidR="00F7501D" w:rsidRPr="00330942">
        <w:rPr>
          <w:rFonts w:ascii="Franklin Gothic Book" w:hAnsi="Franklin Gothic Book"/>
          <w:color w:val="auto"/>
          <w:sz w:val="22"/>
        </w:rPr>
        <w:t xml:space="preserve">iven the uncertainty regarding stability of the biomarker, </w:t>
      </w:r>
      <w:r w:rsidR="00EC25B4" w:rsidRPr="00330942">
        <w:rPr>
          <w:rFonts w:ascii="Franklin Gothic Book" w:hAnsi="Franklin Gothic Book"/>
          <w:color w:val="auto"/>
          <w:sz w:val="22"/>
        </w:rPr>
        <w:t xml:space="preserve">the commentary considered that </w:t>
      </w:r>
      <w:r w:rsidR="00F7501D" w:rsidRPr="00330942">
        <w:rPr>
          <w:rFonts w:ascii="Franklin Gothic Book" w:hAnsi="Franklin Gothic Book"/>
          <w:color w:val="auto"/>
          <w:sz w:val="22"/>
        </w:rPr>
        <w:t xml:space="preserve">it </w:t>
      </w:r>
      <w:r w:rsidR="009A30F2" w:rsidRPr="00330942">
        <w:rPr>
          <w:rFonts w:ascii="Franklin Gothic Book" w:hAnsi="Franklin Gothic Book"/>
          <w:color w:val="auto"/>
          <w:sz w:val="22"/>
        </w:rPr>
        <w:t>wa</w:t>
      </w:r>
      <w:r w:rsidR="00F7501D" w:rsidRPr="00330942">
        <w:rPr>
          <w:rFonts w:ascii="Franklin Gothic Book" w:hAnsi="Franklin Gothic Book"/>
          <w:color w:val="auto"/>
          <w:sz w:val="22"/>
        </w:rPr>
        <w:t>s unclear at what point would be the optimal time for FGFR</w:t>
      </w:r>
      <w:r w:rsidR="00706598" w:rsidRPr="00330942">
        <w:rPr>
          <w:rFonts w:ascii="Franklin Gothic Book" w:hAnsi="Franklin Gothic Book"/>
          <w:color w:val="auto"/>
          <w:sz w:val="22"/>
        </w:rPr>
        <w:t>2</w:t>
      </w:r>
      <w:r w:rsidR="00F7501D" w:rsidRPr="00330942">
        <w:rPr>
          <w:rFonts w:ascii="Franklin Gothic Book" w:hAnsi="Franklin Gothic Book"/>
          <w:color w:val="auto"/>
          <w:sz w:val="22"/>
        </w:rPr>
        <w:t xml:space="preserve"> testing, and whether testing </w:t>
      </w:r>
      <w:r w:rsidR="00101D7F" w:rsidRPr="00330942">
        <w:rPr>
          <w:rFonts w:ascii="Franklin Gothic Book" w:hAnsi="Franklin Gothic Book"/>
          <w:color w:val="auto"/>
          <w:sz w:val="22"/>
        </w:rPr>
        <w:t xml:space="preserve">should </w:t>
      </w:r>
      <w:r w:rsidR="00F7501D" w:rsidRPr="00330942">
        <w:rPr>
          <w:rFonts w:ascii="Franklin Gothic Book" w:hAnsi="Franklin Gothic Book"/>
          <w:color w:val="auto"/>
          <w:sz w:val="22"/>
        </w:rPr>
        <w:t xml:space="preserve">be </w:t>
      </w:r>
      <w:r w:rsidR="00101D7F" w:rsidRPr="00330942">
        <w:rPr>
          <w:rFonts w:ascii="Franklin Gothic Book" w:hAnsi="Franklin Gothic Book"/>
          <w:color w:val="auto"/>
          <w:sz w:val="22"/>
        </w:rPr>
        <w:t xml:space="preserve">performed </w:t>
      </w:r>
      <w:r w:rsidR="00F7501D" w:rsidRPr="00330942">
        <w:rPr>
          <w:rFonts w:ascii="Franklin Gothic Book" w:hAnsi="Franklin Gothic Book"/>
          <w:color w:val="auto"/>
          <w:sz w:val="22"/>
        </w:rPr>
        <w:t>once per lifetime in all patients (as proposed in the requested MBS item) and/or whether re-biopsy and retesting may be necessary in some patients.</w:t>
      </w:r>
      <w:bookmarkEnd w:id="17"/>
    </w:p>
    <w:p w14:paraId="4ABF7510" w14:textId="77777777" w:rsidR="00FD07C6" w:rsidRPr="00330942" w:rsidRDefault="00FD07C6"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18" w:name="_Toc187865645"/>
      <w:r w:rsidRPr="00330942">
        <w:rPr>
          <w:rFonts w:ascii="Franklin Gothic Medium" w:hAnsi="Franklin Gothic Medium"/>
          <w:b w:val="0"/>
          <w:i w:val="0"/>
          <w:snapToGrid/>
          <w:color w:val="000000" w:themeColor="text1"/>
          <w:sz w:val="32"/>
          <w:szCs w:val="26"/>
        </w:rPr>
        <w:t>Comparator</w:t>
      </w:r>
      <w:bookmarkEnd w:id="18"/>
    </w:p>
    <w:p w14:paraId="6316409D" w14:textId="65549554" w:rsidR="00FD07C6" w:rsidRPr="00330942" w:rsidRDefault="001610F5" w:rsidP="00330942">
      <w:pPr>
        <w:pStyle w:val="InstructionalText"/>
        <w:jc w:val="left"/>
        <w:rPr>
          <w:rFonts w:ascii="Franklin Gothic Book" w:hAnsi="Franklin Gothic Book"/>
          <w:i/>
          <w:iCs/>
          <w:color w:val="auto"/>
          <w:sz w:val="22"/>
        </w:rPr>
      </w:pPr>
      <w:r w:rsidRPr="00330942">
        <w:rPr>
          <w:rFonts w:ascii="Franklin Gothic Book" w:hAnsi="Franklin Gothic Book"/>
          <w:color w:val="auto"/>
          <w:sz w:val="22"/>
        </w:rPr>
        <w:t xml:space="preserve">The nominated test comparator in the submission </w:t>
      </w:r>
      <w:r w:rsidR="003B71FE" w:rsidRPr="00330942">
        <w:rPr>
          <w:rFonts w:ascii="Franklin Gothic Book" w:hAnsi="Franklin Gothic Book"/>
          <w:color w:val="auto"/>
          <w:sz w:val="22"/>
        </w:rPr>
        <w:t>wa</w:t>
      </w:r>
      <w:r w:rsidRPr="00330942">
        <w:rPr>
          <w:rFonts w:ascii="Franklin Gothic Book" w:hAnsi="Franklin Gothic Book"/>
          <w:color w:val="auto"/>
          <w:sz w:val="22"/>
        </w:rPr>
        <w:t xml:space="preserve">s no testing, consistent with 1779 Ratified PICO criteria. </w:t>
      </w:r>
      <w:r w:rsidR="002E0407" w:rsidRPr="00330942">
        <w:rPr>
          <w:rFonts w:ascii="Franklin Gothic Book" w:hAnsi="Franklin Gothic Book"/>
          <w:color w:val="auto"/>
          <w:sz w:val="22"/>
        </w:rPr>
        <w:t xml:space="preserve">The </w:t>
      </w:r>
      <w:r w:rsidR="00EC25B4" w:rsidRPr="00330942">
        <w:rPr>
          <w:rFonts w:ascii="Franklin Gothic Book" w:hAnsi="Franklin Gothic Book"/>
          <w:color w:val="auto"/>
          <w:sz w:val="22"/>
        </w:rPr>
        <w:t>com</w:t>
      </w:r>
      <w:r w:rsidR="00D82E81" w:rsidRPr="00330942">
        <w:rPr>
          <w:rFonts w:ascii="Franklin Gothic Book" w:hAnsi="Franklin Gothic Book"/>
          <w:color w:val="auto"/>
          <w:sz w:val="22"/>
        </w:rPr>
        <w:t>m</w:t>
      </w:r>
      <w:r w:rsidR="00EC25B4" w:rsidRPr="00330942">
        <w:rPr>
          <w:rFonts w:ascii="Franklin Gothic Book" w:hAnsi="Franklin Gothic Book"/>
          <w:color w:val="auto"/>
          <w:sz w:val="22"/>
        </w:rPr>
        <w:t>entary</w:t>
      </w:r>
      <w:r w:rsidR="002E0407" w:rsidRPr="00330942">
        <w:rPr>
          <w:rFonts w:ascii="Franklin Gothic Book" w:hAnsi="Franklin Gothic Book"/>
          <w:color w:val="auto"/>
          <w:sz w:val="22"/>
        </w:rPr>
        <w:t xml:space="preserve"> considered that t</w:t>
      </w:r>
      <w:r w:rsidRPr="00330942">
        <w:rPr>
          <w:rFonts w:ascii="Franklin Gothic Book" w:hAnsi="Franklin Gothic Book"/>
          <w:color w:val="auto"/>
          <w:sz w:val="22"/>
        </w:rPr>
        <w:t>his was reasonable.</w:t>
      </w:r>
      <w:r w:rsidRPr="00330942">
        <w:rPr>
          <w:rFonts w:ascii="Franklin Gothic Book" w:hAnsi="Franklin Gothic Book"/>
          <w:i/>
          <w:iCs/>
          <w:color w:val="auto"/>
          <w:sz w:val="22"/>
        </w:rPr>
        <w:t xml:space="preserve"> </w:t>
      </w:r>
    </w:p>
    <w:p w14:paraId="539F1FE1" w14:textId="3DB346B7" w:rsidR="00223282" w:rsidRPr="00330942" w:rsidRDefault="00457155" w:rsidP="00330942">
      <w:pPr>
        <w:jc w:val="left"/>
        <w:rPr>
          <w:rFonts w:ascii="Franklin Gothic Book" w:hAnsi="Franklin Gothic Book"/>
          <w:sz w:val="22"/>
        </w:rPr>
      </w:pPr>
      <w:r w:rsidRPr="00330942">
        <w:rPr>
          <w:rFonts w:ascii="Franklin Gothic Book" w:hAnsi="Franklin Gothic Book"/>
          <w:sz w:val="22"/>
        </w:rPr>
        <w:t>The submission nominate</w:t>
      </w:r>
      <w:r w:rsidR="00706598" w:rsidRPr="00330942">
        <w:rPr>
          <w:rFonts w:ascii="Franklin Gothic Book" w:hAnsi="Franklin Gothic Book"/>
          <w:sz w:val="22"/>
        </w:rPr>
        <w:t>d</w:t>
      </w:r>
      <w:r w:rsidRPr="00330942">
        <w:rPr>
          <w:rFonts w:ascii="Franklin Gothic Book" w:hAnsi="Franklin Gothic Book"/>
          <w:sz w:val="22"/>
        </w:rPr>
        <w:t xml:space="preserve"> </w:t>
      </w:r>
      <w:r w:rsidRPr="00330942">
        <w:rPr>
          <w:rStyle w:val="InstructionalTextChar"/>
          <w:rFonts w:ascii="Franklin Gothic Book" w:hAnsi="Franklin Gothic Book"/>
          <w:color w:val="auto"/>
          <w:sz w:val="22"/>
        </w:rPr>
        <w:t>standard of care (S</w:t>
      </w:r>
      <w:r w:rsidR="00414A39" w:rsidRPr="00330942">
        <w:rPr>
          <w:rStyle w:val="InstructionalTextChar"/>
          <w:rFonts w:ascii="Franklin Gothic Book" w:hAnsi="Franklin Gothic Book"/>
          <w:color w:val="auto"/>
          <w:sz w:val="22"/>
        </w:rPr>
        <w:t>o</w:t>
      </w:r>
      <w:r w:rsidRPr="00330942">
        <w:rPr>
          <w:rStyle w:val="InstructionalTextChar"/>
          <w:rFonts w:ascii="Franklin Gothic Book" w:hAnsi="Franklin Gothic Book"/>
          <w:color w:val="auto"/>
          <w:sz w:val="22"/>
        </w:rPr>
        <w:t>C)</w:t>
      </w:r>
      <w:r w:rsidRPr="00330942">
        <w:rPr>
          <w:rFonts w:ascii="Franklin Gothic Book" w:hAnsi="Franklin Gothic Book"/>
          <w:sz w:val="22"/>
        </w:rPr>
        <w:t xml:space="preserve"> as the main comparator for </w:t>
      </w:r>
      <w:r w:rsidR="00051BF5" w:rsidRPr="00330942">
        <w:rPr>
          <w:rFonts w:ascii="Franklin Gothic Book" w:hAnsi="Franklin Gothic Book"/>
          <w:sz w:val="22"/>
        </w:rPr>
        <w:t>futibatinib</w:t>
      </w:r>
      <w:r w:rsidRPr="00330942">
        <w:rPr>
          <w:rFonts w:ascii="Franklin Gothic Book" w:hAnsi="Franklin Gothic Book"/>
          <w:sz w:val="22"/>
        </w:rPr>
        <w:t>. Specifically, FOLFOX; as modified FOLFOX6 chemotherapy (oxaliplatin 85 mg/m</w:t>
      </w:r>
      <w:r w:rsidRPr="00330942">
        <w:rPr>
          <w:rFonts w:ascii="Franklin Gothic Book" w:hAnsi="Franklin Gothic Book"/>
          <w:sz w:val="22"/>
          <w:vertAlign w:val="superscript"/>
        </w:rPr>
        <w:t>2</w:t>
      </w:r>
      <w:r w:rsidRPr="00330942">
        <w:rPr>
          <w:rFonts w:ascii="Franklin Gothic Book" w:hAnsi="Franklin Gothic Book"/>
          <w:sz w:val="22"/>
        </w:rPr>
        <w:t>, calcium folinate 50 mg, fluorouracil 400 mg/m</w:t>
      </w:r>
      <w:r w:rsidRPr="00330942">
        <w:rPr>
          <w:rFonts w:ascii="Franklin Gothic Book" w:hAnsi="Franklin Gothic Book"/>
          <w:sz w:val="22"/>
          <w:vertAlign w:val="superscript"/>
        </w:rPr>
        <w:t>2</w:t>
      </w:r>
      <w:r w:rsidRPr="00330942">
        <w:rPr>
          <w:rFonts w:ascii="Franklin Gothic Book" w:hAnsi="Franklin Gothic Book"/>
          <w:sz w:val="22"/>
        </w:rPr>
        <w:t> bolus and 2400 mg/m</w:t>
      </w:r>
      <w:r w:rsidRPr="00330942">
        <w:rPr>
          <w:rFonts w:ascii="Franklin Gothic Book" w:hAnsi="Franklin Gothic Book"/>
          <w:sz w:val="22"/>
          <w:vertAlign w:val="superscript"/>
        </w:rPr>
        <w:t>2</w:t>
      </w:r>
      <w:r w:rsidRPr="00330942">
        <w:rPr>
          <w:rFonts w:ascii="Franklin Gothic Book" w:hAnsi="Franklin Gothic Book"/>
          <w:sz w:val="22"/>
        </w:rPr>
        <w:t xml:space="preserve"> continuous infusion over 46 hours; given </w:t>
      </w:r>
      <w:r w:rsidRPr="00330942">
        <w:rPr>
          <w:rFonts w:ascii="Franklin Gothic Book" w:hAnsi="Franklin Gothic Book"/>
          <w:sz w:val="22"/>
        </w:rPr>
        <w:lastRenderedPageBreak/>
        <w:t>every 14 days for up to 12 cycles, as per eviQ protocol) was proposed as the S</w:t>
      </w:r>
      <w:r w:rsidR="00414A39" w:rsidRPr="00330942">
        <w:rPr>
          <w:rFonts w:ascii="Franklin Gothic Book" w:hAnsi="Franklin Gothic Book"/>
          <w:sz w:val="22"/>
        </w:rPr>
        <w:t>o</w:t>
      </w:r>
      <w:r w:rsidRPr="00330942">
        <w:rPr>
          <w:rFonts w:ascii="Franklin Gothic Book" w:hAnsi="Franklin Gothic Book"/>
          <w:sz w:val="22"/>
        </w:rPr>
        <w:t xml:space="preserve">C in Australian practice. </w:t>
      </w:r>
    </w:p>
    <w:p w14:paraId="255A6FB5" w14:textId="2FBDF5EB" w:rsidR="00223282" w:rsidRPr="00330942" w:rsidRDefault="00223282" w:rsidP="00330942">
      <w:pPr>
        <w:jc w:val="left"/>
        <w:rPr>
          <w:rFonts w:ascii="Franklin Gothic Book" w:hAnsi="Franklin Gothic Book"/>
          <w:sz w:val="22"/>
        </w:rPr>
      </w:pPr>
      <w:r w:rsidRPr="00330942">
        <w:rPr>
          <w:rFonts w:ascii="Franklin Gothic Book" w:hAnsi="Franklin Gothic Book"/>
          <w:sz w:val="22"/>
        </w:rPr>
        <w:t xml:space="preserve">The submission noted that advice received from local experts suggests that futibatinib may replace a proportion of palliative care with active symptom control </w:t>
      </w:r>
      <w:r w:rsidR="00542FCA" w:rsidRPr="00330942">
        <w:rPr>
          <w:rFonts w:ascii="Franklin Gothic Book" w:hAnsi="Franklin Gothic Book"/>
          <w:sz w:val="22"/>
        </w:rPr>
        <w:t xml:space="preserve">(ASC) </w:t>
      </w:r>
      <w:r w:rsidRPr="00330942">
        <w:rPr>
          <w:rFonts w:ascii="Franklin Gothic Book" w:hAnsi="Franklin Gothic Book"/>
          <w:sz w:val="22"/>
        </w:rPr>
        <w:t xml:space="preserve">in some patients where clinically appropriate, however advisers </w:t>
      </w:r>
      <w:r w:rsidR="004C0B3A" w:rsidRPr="00330942">
        <w:rPr>
          <w:rFonts w:ascii="Franklin Gothic Book" w:hAnsi="Franklin Gothic Book"/>
          <w:sz w:val="22"/>
        </w:rPr>
        <w:t xml:space="preserve">to the </w:t>
      </w:r>
      <w:r w:rsidR="00211265" w:rsidRPr="00330942">
        <w:rPr>
          <w:rFonts w:ascii="Franklin Gothic Book" w:hAnsi="Franklin Gothic Book"/>
          <w:sz w:val="22"/>
        </w:rPr>
        <w:t>applicant</w:t>
      </w:r>
      <w:r w:rsidR="004C0B3A" w:rsidRPr="00330942">
        <w:rPr>
          <w:rFonts w:ascii="Franklin Gothic Book" w:hAnsi="Franklin Gothic Book"/>
          <w:sz w:val="22"/>
        </w:rPr>
        <w:t xml:space="preserve"> </w:t>
      </w:r>
      <w:r w:rsidRPr="00330942">
        <w:rPr>
          <w:rFonts w:ascii="Franklin Gothic Book" w:hAnsi="Franklin Gothic Book"/>
          <w:sz w:val="22"/>
        </w:rPr>
        <w:t>confirmed that FOLFOX is the appropriate main comparator for this submission, as it is the regimen most likely to be replaced by futibatinib in practice (90-95%).</w:t>
      </w:r>
    </w:p>
    <w:p w14:paraId="20B70D75" w14:textId="56B4B824" w:rsidR="00223282" w:rsidRPr="00330942" w:rsidRDefault="00223282" w:rsidP="00330942">
      <w:pPr>
        <w:jc w:val="left"/>
        <w:rPr>
          <w:rFonts w:ascii="Franklin Gothic Book" w:hAnsi="Franklin Gothic Book"/>
          <w:sz w:val="22"/>
        </w:rPr>
      </w:pPr>
      <w:r w:rsidRPr="00330942">
        <w:rPr>
          <w:rFonts w:ascii="Franklin Gothic Book" w:hAnsi="Franklin Gothic Book"/>
          <w:sz w:val="22"/>
        </w:rPr>
        <w:t>In the consideration of ivosidenib at the July 2024 PBAC meeting, it was considered that the nomination of palliative care/</w:t>
      </w:r>
      <w:r w:rsidR="0042565D" w:rsidRPr="00330942">
        <w:rPr>
          <w:rFonts w:ascii="Franklin Gothic Book" w:hAnsi="Franklin Gothic Book"/>
          <w:sz w:val="22"/>
        </w:rPr>
        <w:t>best supportive care (</w:t>
      </w:r>
      <w:r w:rsidRPr="00330942">
        <w:rPr>
          <w:rFonts w:ascii="Franklin Gothic Book" w:hAnsi="Franklin Gothic Book"/>
          <w:sz w:val="22"/>
        </w:rPr>
        <w:t>BSC</w:t>
      </w:r>
      <w:r w:rsidR="0042565D" w:rsidRPr="00330942">
        <w:rPr>
          <w:rFonts w:ascii="Franklin Gothic Book" w:hAnsi="Franklin Gothic Book"/>
          <w:sz w:val="22"/>
        </w:rPr>
        <w:t>)</w:t>
      </w:r>
      <w:r w:rsidRPr="00330942">
        <w:rPr>
          <w:rFonts w:ascii="Franklin Gothic Book" w:hAnsi="Franklin Gothic Book"/>
          <w:sz w:val="22"/>
        </w:rPr>
        <w:t xml:space="preserve"> as the primary comparator and FOLFOX as the secondary comparator appeared reasonable (paragraph 5.3, ivosidenib PSD, July 2024</w:t>
      </w:r>
      <w:r w:rsidR="00C55C07" w:rsidRPr="00330942">
        <w:rPr>
          <w:rFonts w:ascii="Franklin Gothic Book" w:hAnsi="Franklin Gothic Book"/>
          <w:sz w:val="22"/>
        </w:rPr>
        <w:t xml:space="preserve"> PBAC meeting</w:t>
      </w:r>
      <w:r w:rsidR="00FF037F" w:rsidRPr="00330942">
        <w:rPr>
          <w:rFonts w:ascii="Franklin Gothic Book" w:hAnsi="Franklin Gothic Book"/>
          <w:sz w:val="22"/>
        </w:rPr>
        <w:t>)</w:t>
      </w:r>
      <w:r w:rsidR="00C55C07" w:rsidRPr="00330942">
        <w:rPr>
          <w:rFonts w:ascii="Franklin Gothic Book" w:hAnsi="Franklin Gothic Book"/>
          <w:sz w:val="22"/>
        </w:rPr>
        <w:t>.</w:t>
      </w:r>
      <w:r w:rsidRPr="00330942">
        <w:rPr>
          <w:rFonts w:ascii="Franklin Gothic Book" w:hAnsi="Franklin Gothic Book"/>
          <w:sz w:val="22"/>
        </w:rPr>
        <w:t xml:space="preserve"> </w:t>
      </w:r>
      <w:r w:rsidR="00C55C07" w:rsidRPr="00330942">
        <w:rPr>
          <w:rFonts w:ascii="Franklin Gothic Book" w:hAnsi="Franklin Gothic Book"/>
          <w:sz w:val="22"/>
        </w:rPr>
        <w:t>The ESC also noted that in TOPAZ-1, 51-54% of patients received subsequent chemotherapy and FOLFOX (based on ABC-06) has proven efficacy (paragraph 5.2, ivosidenib PSD, July 2024 PBAC meeting), suggesting that FOLFOX was a reasonable comparator and may in fact be used by the majority of patients</w:t>
      </w:r>
      <w:r w:rsidR="00265D1F" w:rsidRPr="00330942">
        <w:rPr>
          <w:rFonts w:ascii="Franklin Gothic Book" w:hAnsi="Franklin Gothic Book"/>
          <w:sz w:val="22"/>
        </w:rPr>
        <w:t xml:space="preserve"> in the second line setting</w:t>
      </w:r>
      <w:r w:rsidR="00C55C07" w:rsidRPr="00330942">
        <w:rPr>
          <w:rFonts w:ascii="Franklin Gothic Book" w:hAnsi="Franklin Gothic Book"/>
          <w:sz w:val="22"/>
        </w:rPr>
        <w:t>. T</w:t>
      </w:r>
      <w:r w:rsidRPr="00330942">
        <w:rPr>
          <w:rFonts w:ascii="Franklin Gothic Book" w:hAnsi="Franklin Gothic Book"/>
          <w:sz w:val="22"/>
        </w:rPr>
        <w:t>he PBAC also considered that FOLFOX was an important relevant comparator for a substantial proportion of patients. (paragraph 7.5, ivosidenib PSD, July 2024).</w:t>
      </w:r>
    </w:p>
    <w:p w14:paraId="2A896CD0" w14:textId="0CBFFFF7" w:rsidR="008477D2" w:rsidRPr="00330942" w:rsidRDefault="000D024B" w:rsidP="00330942">
      <w:pPr>
        <w:jc w:val="left"/>
        <w:rPr>
          <w:rFonts w:ascii="Franklin Gothic Book" w:hAnsi="Franklin Gothic Book"/>
          <w:sz w:val="22"/>
        </w:rPr>
      </w:pPr>
      <w:r w:rsidRPr="00330942">
        <w:rPr>
          <w:rFonts w:ascii="Franklin Gothic Book" w:hAnsi="Franklin Gothic Book"/>
          <w:sz w:val="22"/>
        </w:rPr>
        <w:t>The commentary considered i</w:t>
      </w:r>
      <w:r w:rsidR="008477D2" w:rsidRPr="00330942">
        <w:rPr>
          <w:rFonts w:ascii="Franklin Gothic Book" w:hAnsi="Franklin Gothic Book"/>
          <w:sz w:val="22"/>
        </w:rPr>
        <w:t xml:space="preserve">t unlikely that ivosidenib would be a comparator for the majority of patients as </w:t>
      </w:r>
      <w:r w:rsidR="008477D2" w:rsidRPr="00330942">
        <w:rPr>
          <w:rFonts w:ascii="Franklin Gothic Book" w:hAnsi="Franklin Gothic Book"/>
          <w:i/>
          <w:iCs/>
          <w:sz w:val="22"/>
        </w:rPr>
        <w:t>IDH1</w:t>
      </w:r>
      <w:r w:rsidR="008477D2" w:rsidRPr="00330942">
        <w:rPr>
          <w:rFonts w:ascii="Franklin Gothic Book" w:hAnsi="Franklin Gothic Book"/>
          <w:sz w:val="22"/>
        </w:rPr>
        <w:t xml:space="preserve"> and </w:t>
      </w:r>
      <w:r w:rsidR="008477D2" w:rsidRPr="00330942">
        <w:rPr>
          <w:rFonts w:ascii="Franklin Gothic Book" w:hAnsi="Franklin Gothic Book"/>
          <w:i/>
          <w:iCs/>
          <w:sz w:val="22"/>
        </w:rPr>
        <w:t>FGFR2</w:t>
      </w:r>
      <w:r w:rsidR="008477D2" w:rsidRPr="00330942">
        <w:rPr>
          <w:rFonts w:ascii="Franklin Gothic Book" w:hAnsi="Franklin Gothic Book"/>
          <w:sz w:val="22"/>
        </w:rPr>
        <w:t xml:space="preserve"> </w:t>
      </w:r>
      <w:r w:rsidR="00AB474D" w:rsidRPr="00330942">
        <w:rPr>
          <w:rFonts w:ascii="Franklin Gothic Book" w:hAnsi="Franklin Gothic Book"/>
          <w:sz w:val="22"/>
        </w:rPr>
        <w:t>variant</w:t>
      </w:r>
      <w:r w:rsidR="008477D2" w:rsidRPr="00330942">
        <w:rPr>
          <w:rFonts w:ascii="Franklin Gothic Book" w:hAnsi="Franklin Gothic Book"/>
          <w:sz w:val="22"/>
        </w:rPr>
        <w:t xml:space="preserve">s are generally considered mutually exclusive (Murugesan 2022) though 7/618 patients (1.1%) with </w:t>
      </w:r>
      <w:r w:rsidR="008477D2" w:rsidRPr="00330942">
        <w:rPr>
          <w:rFonts w:ascii="Franklin Gothic Book" w:hAnsi="Franklin Gothic Book"/>
          <w:i/>
          <w:iCs/>
          <w:sz w:val="22"/>
        </w:rPr>
        <w:t>FGFR2</w:t>
      </w:r>
      <w:r w:rsidR="008477D2" w:rsidRPr="00330942">
        <w:rPr>
          <w:rFonts w:ascii="Franklin Gothic Book" w:hAnsi="Franklin Gothic Book"/>
          <w:sz w:val="22"/>
        </w:rPr>
        <w:t xml:space="preserve"> </w:t>
      </w:r>
      <w:r w:rsidR="00AB474D" w:rsidRPr="00330942">
        <w:rPr>
          <w:rFonts w:ascii="Franklin Gothic Book" w:hAnsi="Franklin Gothic Book"/>
          <w:sz w:val="22"/>
        </w:rPr>
        <w:t>variant</w:t>
      </w:r>
      <w:r w:rsidR="008477D2" w:rsidRPr="00330942">
        <w:rPr>
          <w:rFonts w:ascii="Franklin Gothic Book" w:hAnsi="Franklin Gothic Book"/>
          <w:sz w:val="22"/>
        </w:rPr>
        <w:t xml:space="preserve">s also had </w:t>
      </w:r>
      <w:r w:rsidR="008477D2" w:rsidRPr="00330942">
        <w:rPr>
          <w:rFonts w:ascii="Franklin Gothic Book" w:hAnsi="Franklin Gothic Book"/>
          <w:i/>
          <w:iCs/>
          <w:sz w:val="22"/>
        </w:rPr>
        <w:t>IDH1</w:t>
      </w:r>
      <w:r w:rsidR="008477D2" w:rsidRPr="00330942">
        <w:rPr>
          <w:rFonts w:ascii="Franklin Gothic Book" w:hAnsi="Franklin Gothic Book"/>
          <w:sz w:val="22"/>
        </w:rPr>
        <w:t xml:space="preserve"> </w:t>
      </w:r>
      <w:r w:rsidR="00AB474D" w:rsidRPr="00330942">
        <w:rPr>
          <w:rFonts w:ascii="Franklin Gothic Book" w:hAnsi="Franklin Gothic Book"/>
          <w:sz w:val="22"/>
        </w:rPr>
        <w:t>variant</w:t>
      </w:r>
      <w:r w:rsidR="008477D2" w:rsidRPr="00330942">
        <w:rPr>
          <w:rFonts w:ascii="Franklin Gothic Book" w:hAnsi="Franklin Gothic Book"/>
          <w:sz w:val="22"/>
        </w:rPr>
        <w:t xml:space="preserve"> in Murugesan 2022.</w:t>
      </w:r>
    </w:p>
    <w:p w14:paraId="0C562C32" w14:textId="31AD42EE" w:rsidR="00457155" w:rsidRDefault="007F6846" w:rsidP="00330942">
      <w:pPr>
        <w:jc w:val="left"/>
        <w:rPr>
          <w:rFonts w:ascii="Franklin Gothic Book" w:hAnsi="Franklin Gothic Book"/>
          <w:sz w:val="22"/>
        </w:rPr>
      </w:pPr>
      <w:r w:rsidRPr="00330942">
        <w:rPr>
          <w:rFonts w:ascii="Franklin Gothic Book" w:hAnsi="Franklin Gothic Book"/>
          <w:sz w:val="22"/>
        </w:rPr>
        <w:t>T</w:t>
      </w:r>
      <w:r w:rsidR="00914DF6" w:rsidRPr="00330942">
        <w:rPr>
          <w:rFonts w:ascii="Franklin Gothic Book" w:hAnsi="Franklin Gothic Book"/>
          <w:sz w:val="22"/>
        </w:rPr>
        <w:t xml:space="preserve">he </w:t>
      </w:r>
      <w:r w:rsidR="000D024B" w:rsidRPr="00330942">
        <w:rPr>
          <w:rFonts w:ascii="Franklin Gothic Book" w:hAnsi="Franklin Gothic Book"/>
          <w:sz w:val="22"/>
        </w:rPr>
        <w:t>commentary</w:t>
      </w:r>
      <w:r w:rsidRPr="00330942">
        <w:rPr>
          <w:rFonts w:ascii="Franklin Gothic Book" w:hAnsi="Franklin Gothic Book"/>
          <w:sz w:val="22"/>
        </w:rPr>
        <w:t xml:space="preserve"> considered that t</w:t>
      </w:r>
      <w:r w:rsidR="00223282" w:rsidRPr="00330942">
        <w:rPr>
          <w:rFonts w:ascii="Franklin Gothic Book" w:hAnsi="Franklin Gothic Book"/>
          <w:sz w:val="22"/>
        </w:rPr>
        <w:t xml:space="preserve">he nominated </w:t>
      </w:r>
      <w:r w:rsidR="00FB39F1" w:rsidRPr="00330942">
        <w:rPr>
          <w:rFonts w:ascii="Franklin Gothic Book" w:hAnsi="Franklin Gothic Book"/>
          <w:sz w:val="22"/>
        </w:rPr>
        <w:t xml:space="preserve">treatment </w:t>
      </w:r>
      <w:r w:rsidR="00223282" w:rsidRPr="00330942">
        <w:rPr>
          <w:rFonts w:ascii="Franklin Gothic Book" w:hAnsi="Franklin Gothic Book"/>
          <w:sz w:val="22"/>
        </w:rPr>
        <w:t>comparator was consistent with the Ratified PICO confirmation, which considered the comparator to be second- or subsequent line treatment with standard of care chemotherapy or palliative care with active symptom control.</w:t>
      </w:r>
    </w:p>
    <w:p w14:paraId="370A1D57" w14:textId="2E83CD4F" w:rsidR="00330942" w:rsidRPr="00330942" w:rsidRDefault="00330942"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19" w:name="_Toc69491421"/>
      <w:r w:rsidRPr="00330942">
        <w:rPr>
          <w:rFonts w:ascii="Franklin Gothic Medium" w:hAnsi="Franklin Gothic Medium"/>
          <w:b w:val="0"/>
          <w:i w:val="0"/>
          <w:snapToGrid/>
          <w:color w:val="000000" w:themeColor="text1"/>
          <w:sz w:val="32"/>
          <w:szCs w:val="26"/>
        </w:rPr>
        <w:t>Summary of public consultation input</w:t>
      </w:r>
      <w:bookmarkEnd w:id="19"/>
    </w:p>
    <w:p w14:paraId="09F5A3B9" w14:textId="4C0D03E1" w:rsidR="00AF02C3" w:rsidRDefault="00AF02C3" w:rsidP="78096582">
      <w:pPr>
        <w:tabs>
          <w:tab w:val="left" w:pos="3686"/>
        </w:tabs>
        <w:spacing w:line="256" w:lineRule="auto"/>
        <w:jc w:val="left"/>
        <w:rPr>
          <w:rFonts w:ascii="Franklin Gothic Book" w:hAnsi="Franklin Gothic Book"/>
          <w:sz w:val="22"/>
        </w:rPr>
      </w:pPr>
      <w:bookmarkStart w:id="20" w:name="_Toc187865646"/>
      <w:r w:rsidRPr="78096582">
        <w:rPr>
          <w:rFonts w:ascii="Franklin Gothic Book" w:hAnsi="Franklin Gothic Book"/>
          <w:sz w:val="22"/>
        </w:rPr>
        <w:t xml:space="preserve">Consultation input was received from </w:t>
      </w:r>
      <w:r w:rsidR="007B06F4">
        <w:rPr>
          <w:rFonts w:ascii="Franklin Gothic Book" w:hAnsi="Franklin Gothic Book"/>
          <w:sz w:val="22"/>
        </w:rPr>
        <w:t>two</w:t>
      </w:r>
      <w:r w:rsidR="007B06F4" w:rsidRPr="78096582">
        <w:rPr>
          <w:rFonts w:ascii="Franklin Gothic Book" w:hAnsi="Franklin Gothic Book"/>
          <w:sz w:val="22"/>
        </w:rPr>
        <w:t xml:space="preserve"> </w:t>
      </w:r>
      <w:r w:rsidRPr="78096582">
        <w:rPr>
          <w:rFonts w:ascii="Franklin Gothic Book" w:hAnsi="Franklin Gothic Book"/>
          <w:sz w:val="22"/>
        </w:rPr>
        <w:t>medical, health, or other (non-consumer) organisations</w:t>
      </w:r>
      <w:r w:rsidR="00205F36" w:rsidRPr="78096582">
        <w:rPr>
          <w:rFonts w:ascii="Franklin Gothic Book" w:hAnsi="Franklin Gothic Book"/>
          <w:sz w:val="22"/>
        </w:rPr>
        <w:t xml:space="preserve"> and t</w:t>
      </w:r>
      <w:r w:rsidR="2B311B69" w:rsidRPr="78096582">
        <w:rPr>
          <w:rFonts w:ascii="Franklin Gothic Book" w:hAnsi="Franklin Gothic Book"/>
          <w:sz w:val="22"/>
        </w:rPr>
        <w:t xml:space="preserve">hree </w:t>
      </w:r>
      <w:r w:rsidR="00205F36" w:rsidRPr="78096582">
        <w:rPr>
          <w:rFonts w:ascii="Franklin Gothic Book" w:hAnsi="Franklin Gothic Book"/>
          <w:sz w:val="22"/>
        </w:rPr>
        <w:t>consumer groups or organisations</w:t>
      </w:r>
      <w:r w:rsidRPr="78096582">
        <w:rPr>
          <w:rFonts w:ascii="Franklin Gothic Book" w:hAnsi="Franklin Gothic Book"/>
          <w:sz w:val="22"/>
        </w:rPr>
        <w:t xml:space="preserve">. </w:t>
      </w:r>
      <w:r w:rsidR="00205F36" w:rsidRPr="78096582">
        <w:rPr>
          <w:rFonts w:ascii="Franklin Gothic Book" w:hAnsi="Franklin Gothic Book"/>
          <w:sz w:val="22"/>
        </w:rPr>
        <w:t>Two</w:t>
      </w:r>
      <w:r w:rsidRPr="78096582">
        <w:rPr>
          <w:rFonts w:ascii="Franklin Gothic Book" w:hAnsi="Franklin Gothic Book"/>
          <w:sz w:val="22"/>
        </w:rPr>
        <w:t xml:space="preserve"> inputs were received from individuals – </w:t>
      </w:r>
      <w:r w:rsidR="00205F36" w:rsidRPr="78096582">
        <w:rPr>
          <w:rFonts w:ascii="Franklin Gothic Book" w:hAnsi="Franklin Gothic Book"/>
          <w:sz w:val="22"/>
        </w:rPr>
        <w:t>one</w:t>
      </w:r>
      <w:r w:rsidRPr="78096582">
        <w:rPr>
          <w:rFonts w:ascii="Franklin Gothic Book" w:hAnsi="Franklin Gothic Book"/>
          <w:sz w:val="22"/>
        </w:rPr>
        <w:t xml:space="preserve"> health professional</w:t>
      </w:r>
      <w:r w:rsidR="00CD6346" w:rsidRPr="78096582">
        <w:rPr>
          <w:rFonts w:ascii="Franklin Gothic Book" w:hAnsi="Franklin Gothic Book"/>
          <w:sz w:val="22"/>
        </w:rPr>
        <w:t xml:space="preserve">/ </w:t>
      </w:r>
      <w:r w:rsidR="00205F36" w:rsidRPr="78096582">
        <w:rPr>
          <w:rFonts w:ascii="Franklin Gothic Book" w:hAnsi="Franklin Gothic Book"/>
          <w:sz w:val="22"/>
        </w:rPr>
        <w:t>academic</w:t>
      </w:r>
      <w:r w:rsidRPr="78096582">
        <w:rPr>
          <w:rFonts w:ascii="Franklin Gothic Book" w:hAnsi="Franklin Gothic Book"/>
          <w:sz w:val="22"/>
        </w:rPr>
        <w:t xml:space="preserve"> and one consumer.</w:t>
      </w:r>
    </w:p>
    <w:p w14:paraId="2F96A34F" w14:textId="77777777" w:rsidR="00AF02C3" w:rsidRPr="00AF02C3" w:rsidRDefault="00AF02C3" w:rsidP="00AF02C3">
      <w:pPr>
        <w:tabs>
          <w:tab w:val="left" w:pos="3686"/>
        </w:tabs>
        <w:spacing w:line="256" w:lineRule="auto"/>
        <w:jc w:val="left"/>
        <w:rPr>
          <w:rFonts w:ascii="Franklin Gothic Book" w:hAnsi="Franklin Gothic Book" w:cstheme="minorHAnsi"/>
          <w:sz w:val="22"/>
        </w:rPr>
      </w:pPr>
      <w:r w:rsidRPr="00AF02C3">
        <w:rPr>
          <w:rFonts w:ascii="Franklin Gothic Book" w:hAnsi="Franklin Gothic Book" w:cstheme="minorHAnsi"/>
          <w:sz w:val="22"/>
        </w:rPr>
        <w:t>The organisations that submitted input were:</w:t>
      </w:r>
    </w:p>
    <w:p w14:paraId="00BE9502" w14:textId="6A88FC5C" w:rsidR="00AF02C3" w:rsidRDefault="00083B95" w:rsidP="78096582">
      <w:pPr>
        <w:numPr>
          <w:ilvl w:val="0"/>
          <w:numId w:val="44"/>
        </w:numPr>
        <w:tabs>
          <w:tab w:val="left" w:pos="3686"/>
        </w:tabs>
        <w:spacing w:line="256" w:lineRule="auto"/>
        <w:contextualSpacing/>
        <w:jc w:val="left"/>
        <w:rPr>
          <w:rFonts w:ascii="Franklin Gothic Book" w:hAnsi="Franklin Gothic Book"/>
          <w:sz w:val="22"/>
        </w:rPr>
      </w:pPr>
      <w:r w:rsidRPr="78096582">
        <w:rPr>
          <w:rFonts w:ascii="Franklin Gothic Book" w:hAnsi="Franklin Gothic Book"/>
          <w:sz w:val="22"/>
        </w:rPr>
        <w:t>Centre for Molecular Oncology</w:t>
      </w:r>
    </w:p>
    <w:p w14:paraId="6011CBFA" w14:textId="4C8EED5B" w:rsidR="1ED3102B" w:rsidRDefault="1ED3102B" w:rsidP="78096582">
      <w:pPr>
        <w:numPr>
          <w:ilvl w:val="0"/>
          <w:numId w:val="44"/>
        </w:numPr>
        <w:tabs>
          <w:tab w:val="left" w:pos="3686"/>
        </w:tabs>
        <w:spacing w:line="256" w:lineRule="auto"/>
        <w:contextualSpacing/>
        <w:jc w:val="left"/>
        <w:rPr>
          <w:rFonts w:ascii="Franklin Gothic Book" w:hAnsi="Franklin Gothic Book"/>
          <w:sz w:val="22"/>
        </w:rPr>
      </w:pPr>
      <w:r w:rsidRPr="78096582">
        <w:rPr>
          <w:rFonts w:ascii="Franklin Gothic Book" w:hAnsi="Franklin Gothic Book"/>
          <w:sz w:val="22"/>
        </w:rPr>
        <w:t>Liver Foundation</w:t>
      </w:r>
    </w:p>
    <w:p w14:paraId="3544ECB1" w14:textId="0E948CFF" w:rsidR="00083B95" w:rsidRDefault="00C61C2F" w:rsidP="00AF02C3">
      <w:pPr>
        <w:numPr>
          <w:ilvl w:val="0"/>
          <w:numId w:val="44"/>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Pancare Foundation</w:t>
      </w:r>
    </w:p>
    <w:p w14:paraId="66CFCC5C" w14:textId="095BD59F" w:rsidR="00C61C2F" w:rsidRDefault="00C61C2F" w:rsidP="00AF02C3">
      <w:pPr>
        <w:numPr>
          <w:ilvl w:val="0"/>
          <w:numId w:val="44"/>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Rare Cancers Australia (RCA)</w:t>
      </w:r>
    </w:p>
    <w:p w14:paraId="6B2559CB" w14:textId="2B09FA8E" w:rsidR="0068405A" w:rsidRPr="00230A23" w:rsidRDefault="007F7204" w:rsidP="00230A23">
      <w:pPr>
        <w:numPr>
          <w:ilvl w:val="0"/>
          <w:numId w:val="44"/>
        </w:numPr>
        <w:tabs>
          <w:tab w:val="left" w:pos="3686"/>
        </w:tabs>
        <w:spacing w:after="240" w:line="257" w:lineRule="auto"/>
        <w:ind w:left="714" w:hanging="357"/>
        <w:jc w:val="left"/>
        <w:rPr>
          <w:rFonts w:ascii="Franklin Gothic Book" w:hAnsi="Franklin Gothic Book" w:cstheme="minorHAnsi"/>
          <w:sz w:val="22"/>
        </w:rPr>
      </w:pPr>
      <w:r>
        <w:rPr>
          <w:rFonts w:ascii="Franklin Gothic Book" w:hAnsi="Franklin Gothic Book" w:cstheme="minorHAnsi"/>
          <w:sz w:val="22"/>
        </w:rPr>
        <w:t>St Vincent’s Hospital Sydney</w:t>
      </w:r>
    </w:p>
    <w:p w14:paraId="03574B2C" w14:textId="00DEBEC8" w:rsidR="006A2810" w:rsidRDefault="12C8F107" w:rsidP="00230A23">
      <w:pPr>
        <w:spacing w:before="240" w:line="259" w:lineRule="auto"/>
        <w:jc w:val="left"/>
        <w:rPr>
          <w:rFonts w:ascii="Franklin Gothic Book" w:eastAsia="Calibri" w:hAnsi="Franklin Gothic Book" w:cs="Calibri"/>
          <w:b/>
          <w:bCs/>
          <w:szCs w:val="24"/>
        </w:rPr>
      </w:pPr>
      <w:r w:rsidRPr="26829970">
        <w:rPr>
          <w:rFonts w:ascii="Franklin Gothic Book" w:eastAsia="Calibri" w:hAnsi="Franklin Gothic Book" w:cs="Calibri"/>
          <w:b/>
          <w:bCs/>
          <w:szCs w:val="24"/>
        </w:rPr>
        <w:t xml:space="preserve">Level of support for public funding  </w:t>
      </w:r>
    </w:p>
    <w:p w14:paraId="0D407BB7" w14:textId="0F39120F" w:rsidR="006A2810" w:rsidRPr="00B37812" w:rsidRDefault="12C8F107" w:rsidP="26829970">
      <w:pPr>
        <w:spacing w:line="259" w:lineRule="auto"/>
        <w:jc w:val="left"/>
        <w:rPr>
          <w:rFonts w:ascii="Franklin Gothic Book" w:eastAsia="Calibri" w:hAnsi="Franklin Gothic Book" w:cs="Calibri"/>
          <w:b/>
          <w:sz w:val="22"/>
        </w:rPr>
      </w:pPr>
      <w:r w:rsidRPr="00B37812">
        <w:rPr>
          <w:rFonts w:ascii="Franklin Gothic Book" w:eastAsia="Calibri" w:hAnsi="Franklin Gothic Book" w:cs="Calibri"/>
          <w:sz w:val="22"/>
        </w:rPr>
        <w:t xml:space="preserve">Both individuals and all organisations expressed support at the public funding of tumour tissue testing for </w:t>
      </w:r>
      <w:r w:rsidRPr="00B37812">
        <w:rPr>
          <w:rFonts w:ascii="Franklin Gothic Book" w:eastAsia="Calibri" w:hAnsi="Franklin Gothic Book" w:cs="Calibri"/>
          <w:i/>
          <w:sz w:val="22"/>
        </w:rPr>
        <w:t>FGFR2</w:t>
      </w:r>
      <w:r w:rsidRPr="00B37812">
        <w:rPr>
          <w:rFonts w:ascii="Franklin Gothic Book" w:eastAsia="Calibri" w:hAnsi="Franklin Gothic Book" w:cs="Calibri"/>
          <w:sz w:val="22"/>
        </w:rPr>
        <w:t xml:space="preserve"> fusions/arrangements in people with cholangiocarcinoma (CCA).</w:t>
      </w:r>
      <w:r w:rsidRPr="00B37812">
        <w:rPr>
          <w:rFonts w:ascii="Franklin Gothic Book" w:eastAsia="Calibri" w:hAnsi="Franklin Gothic Book" w:cs="Calibri"/>
          <w:b/>
          <w:sz w:val="22"/>
        </w:rPr>
        <w:t xml:space="preserve"> </w:t>
      </w:r>
    </w:p>
    <w:p w14:paraId="0D623CE1" w14:textId="77777777" w:rsidR="00C61FDB" w:rsidRDefault="12C8F107" w:rsidP="00C61FDB">
      <w:pPr>
        <w:spacing w:line="259" w:lineRule="auto"/>
        <w:jc w:val="left"/>
        <w:rPr>
          <w:rFonts w:ascii="Franklin Gothic Book" w:eastAsia="Calibri" w:hAnsi="Franklin Gothic Book" w:cs="Calibri"/>
          <w:b/>
          <w:bCs/>
          <w:szCs w:val="24"/>
        </w:rPr>
      </w:pPr>
      <w:r w:rsidRPr="26829970">
        <w:rPr>
          <w:rFonts w:ascii="Franklin Gothic Book" w:eastAsia="Calibri" w:hAnsi="Franklin Gothic Book" w:cs="Calibri"/>
          <w:b/>
          <w:bCs/>
          <w:szCs w:val="24"/>
        </w:rPr>
        <w:t xml:space="preserve">Comments on PICO </w:t>
      </w:r>
    </w:p>
    <w:p w14:paraId="711F76D1" w14:textId="399946FA" w:rsidR="006A2810" w:rsidRDefault="12C8F107" w:rsidP="00B37812">
      <w:pPr>
        <w:spacing w:line="259" w:lineRule="auto"/>
        <w:jc w:val="left"/>
        <w:rPr>
          <w:rFonts w:ascii="Franklin Gothic Book" w:eastAsia="Calibri" w:hAnsi="Franklin Gothic Book" w:cs="Calibri"/>
          <w:b/>
          <w:bCs/>
          <w:szCs w:val="24"/>
        </w:rPr>
      </w:pPr>
      <w:r w:rsidRPr="00B37812">
        <w:rPr>
          <w:rFonts w:ascii="Franklin Gothic Book" w:eastAsia="Calibri" w:hAnsi="Franklin Gothic Book" w:cs="Calibri"/>
          <w:sz w:val="22"/>
        </w:rPr>
        <w:t xml:space="preserve">Input from a health professional respondent agreed with details outlined in the PICO, but suggested limitations with the proposed approach, noting that tissue-only-testing relies on patients having sufficient tissue to detect </w:t>
      </w:r>
      <w:r w:rsidRPr="00B37812">
        <w:rPr>
          <w:rFonts w:ascii="Franklin Gothic Book" w:eastAsia="Calibri" w:hAnsi="Franklin Gothic Book" w:cs="Calibri"/>
          <w:i/>
          <w:sz w:val="22"/>
        </w:rPr>
        <w:t xml:space="preserve">FGFR2 </w:t>
      </w:r>
      <w:r w:rsidRPr="00B37812">
        <w:rPr>
          <w:rFonts w:ascii="Franklin Gothic Book" w:eastAsia="Calibri" w:hAnsi="Franklin Gothic Book" w:cs="Calibri"/>
          <w:sz w:val="22"/>
        </w:rPr>
        <w:t>fusion/rearrangement, which is often not the case with individuals with this tumour-type.</w:t>
      </w:r>
      <w:r w:rsidR="4F9254A0" w:rsidRPr="32C61463">
        <w:rPr>
          <w:rFonts w:ascii="Franklin Gothic Book" w:eastAsia="Calibri" w:hAnsi="Franklin Gothic Book" w:cs="Calibri"/>
          <w:sz w:val="22"/>
        </w:rPr>
        <w:t xml:space="preserve"> </w:t>
      </w:r>
      <w:r w:rsidR="4F9254A0" w:rsidRPr="32C61463">
        <w:rPr>
          <w:rFonts w:ascii="Franklin Gothic Book" w:hAnsi="Franklin Gothic Book"/>
          <w:sz w:val="22"/>
        </w:rPr>
        <w:t>Liver Foundation agreed the population is appropriate, and the proposed approach</w:t>
      </w:r>
      <w:r w:rsidR="000E53EF">
        <w:rPr>
          <w:rFonts w:ascii="Franklin Gothic Book" w:hAnsi="Franklin Gothic Book"/>
          <w:sz w:val="22"/>
        </w:rPr>
        <w:t xml:space="preserve"> to the delivery of the service</w:t>
      </w:r>
      <w:r w:rsidR="4F9254A0" w:rsidRPr="32C61463">
        <w:rPr>
          <w:rFonts w:ascii="Franklin Gothic Book" w:hAnsi="Franklin Gothic Book"/>
          <w:sz w:val="22"/>
        </w:rPr>
        <w:t xml:space="preserve"> was practical and likely to be successfully achieved.</w:t>
      </w:r>
      <w:r w:rsidR="00C61FDB">
        <w:rPr>
          <w:rFonts w:ascii="Franklin Gothic Book" w:hAnsi="Franklin Gothic Book"/>
          <w:sz w:val="22"/>
        </w:rPr>
        <w:t xml:space="preserve"> </w:t>
      </w:r>
      <w:r w:rsidR="00C61FDB" w:rsidRPr="00C61FDB">
        <w:rPr>
          <w:rFonts w:ascii="Franklin Gothic Book" w:hAnsi="Franklin Gothic Book"/>
          <w:sz w:val="22"/>
        </w:rPr>
        <w:t xml:space="preserve">St Vincent’s Hospital Sydney noted the proposed eligibility criteria was </w:t>
      </w:r>
      <w:r w:rsidR="00C61FDB" w:rsidRPr="00C61FDB">
        <w:rPr>
          <w:rFonts w:ascii="Franklin Gothic Book" w:hAnsi="Franklin Gothic Book"/>
          <w:sz w:val="22"/>
        </w:rPr>
        <w:lastRenderedPageBreak/>
        <w:t xml:space="preserve">appropriate, and agreed with the proposed approach, comparator, and outcomes as set out in the PICO. </w:t>
      </w:r>
    </w:p>
    <w:p w14:paraId="430E9F65" w14:textId="53E9A367" w:rsidR="006A2810" w:rsidRDefault="12C8F107" w:rsidP="00B37812">
      <w:pPr>
        <w:spacing w:line="259" w:lineRule="auto"/>
        <w:jc w:val="left"/>
        <w:rPr>
          <w:rFonts w:ascii="Franklin Gothic Book" w:eastAsia="Calibri" w:hAnsi="Franklin Gothic Book" w:cs="Calibri"/>
          <w:b/>
          <w:bCs/>
          <w:szCs w:val="24"/>
        </w:rPr>
      </w:pPr>
      <w:r w:rsidRPr="26829970">
        <w:rPr>
          <w:rFonts w:ascii="Franklin Gothic Book" w:eastAsia="Calibri" w:hAnsi="Franklin Gothic Book" w:cs="Calibri"/>
          <w:b/>
          <w:bCs/>
          <w:szCs w:val="24"/>
        </w:rPr>
        <w:t>Perceived Advantages</w:t>
      </w:r>
    </w:p>
    <w:p w14:paraId="3C036064" w14:textId="4121A08D" w:rsidR="006A2810" w:rsidRDefault="12C8F107" w:rsidP="00B37812">
      <w:pPr>
        <w:spacing w:line="259" w:lineRule="auto"/>
        <w:jc w:val="left"/>
        <w:rPr>
          <w:rFonts w:ascii="Franklin Gothic Book" w:eastAsia="Calibri" w:hAnsi="Franklin Gothic Book" w:cs="Calibri"/>
          <w:b/>
          <w:bCs/>
          <w:szCs w:val="24"/>
        </w:rPr>
      </w:pPr>
      <w:r w:rsidRPr="00B37812">
        <w:rPr>
          <w:rFonts w:ascii="Franklin Gothic Book" w:eastAsia="Calibri" w:hAnsi="Franklin Gothic Book" w:cs="Calibri"/>
          <w:sz w:val="22"/>
        </w:rPr>
        <w:t xml:space="preserve">Input from both individuals </w:t>
      </w:r>
      <w:r w:rsidR="00AB4DAD">
        <w:rPr>
          <w:rFonts w:ascii="Franklin Gothic Book" w:eastAsia="Calibri" w:hAnsi="Franklin Gothic Book" w:cs="Calibri"/>
          <w:sz w:val="22"/>
        </w:rPr>
        <w:t xml:space="preserve">and organisations </w:t>
      </w:r>
      <w:r w:rsidRPr="00B37812">
        <w:rPr>
          <w:rFonts w:ascii="Franklin Gothic Book" w:eastAsia="Calibri" w:hAnsi="Franklin Gothic Book" w:cs="Calibri"/>
          <w:sz w:val="22"/>
        </w:rPr>
        <w:t xml:space="preserve">described the benefits of those with CCA undergoing </w:t>
      </w:r>
      <w:r w:rsidRPr="00B37812">
        <w:rPr>
          <w:rFonts w:ascii="Franklin Gothic Book" w:eastAsia="Calibri" w:hAnsi="Franklin Gothic Book" w:cs="Calibri"/>
          <w:i/>
          <w:sz w:val="22"/>
        </w:rPr>
        <w:t>FGFR2</w:t>
      </w:r>
      <w:r w:rsidRPr="00B37812">
        <w:rPr>
          <w:rFonts w:ascii="Franklin Gothic Book" w:eastAsia="Calibri" w:hAnsi="Franklin Gothic Book" w:cs="Calibri"/>
          <w:sz w:val="22"/>
        </w:rPr>
        <w:t>-targeted therapies, noting improvements in quality of life, decreased symptoms such as shortness of breath and coughing, and increased ability to exercise and travel.</w:t>
      </w:r>
    </w:p>
    <w:p w14:paraId="3DC40B8A" w14:textId="18C65FA0" w:rsidR="006A2810" w:rsidRDefault="12C8F107" w:rsidP="00B37812">
      <w:pPr>
        <w:spacing w:line="259" w:lineRule="auto"/>
        <w:jc w:val="left"/>
        <w:rPr>
          <w:rFonts w:ascii="Franklin Gothic Book" w:eastAsia="Calibri" w:hAnsi="Franklin Gothic Book" w:cs="Calibri"/>
          <w:b/>
          <w:bCs/>
          <w:szCs w:val="24"/>
        </w:rPr>
      </w:pPr>
      <w:r w:rsidRPr="26829970">
        <w:rPr>
          <w:rFonts w:ascii="Franklin Gothic Book" w:eastAsia="Calibri" w:hAnsi="Franklin Gothic Book" w:cs="Calibri"/>
          <w:b/>
          <w:bCs/>
          <w:szCs w:val="24"/>
        </w:rPr>
        <w:t xml:space="preserve">Perceived Disadvantages </w:t>
      </w:r>
    </w:p>
    <w:p w14:paraId="1B5CEA63" w14:textId="2B0420E3" w:rsidR="006A2810" w:rsidRDefault="12C8F107" w:rsidP="00B37812">
      <w:pPr>
        <w:spacing w:line="259" w:lineRule="auto"/>
        <w:jc w:val="left"/>
        <w:rPr>
          <w:rFonts w:ascii="Franklin Gothic Book" w:eastAsia="Calibri" w:hAnsi="Franklin Gothic Book" w:cs="Calibri"/>
          <w:b/>
          <w:bCs/>
          <w:szCs w:val="24"/>
        </w:rPr>
      </w:pPr>
      <w:r w:rsidRPr="00B37812">
        <w:rPr>
          <w:rFonts w:ascii="Franklin Gothic Book" w:eastAsia="Calibri" w:hAnsi="Franklin Gothic Book" w:cs="Calibri"/>
          <w:sz w:val="22"/>
        </w:rPr>
        <w:t xml:space="preserve">Input did not outline any disadvantages of </w:t>
      </w:r>
      <w:r w:rsidRPr="00B37812">
        <w:rPr>
          <w:rFonts w:ascii="Franklin Gothic Book" w:eastAsia="Calibri" w:hAnsi="Franklin Gothic Book" w:cs="Calibri"/>
          <w:i/>
          <w:sz w:val="22"/>
        </w:rPr>
        <w:t>FGFR2</w:t>
      </w:r>
      <w:r w:rsidRPr="00B37812">
        <w:rPr>
          <w:rFonts w:ascii="Franklin Gothic Book" w:eastAsia="Calibri" w:hAnsi="Franklin Gothic Book" w:cs="Calibri"/>
          <w:sz w:val="22"/>
        </w:rPr>
        <w:t>-targeted therapies for the treatment of CCA, with the health professional respondent noting the current prohibitive cost as being the only barrier to treatment.</w:t>
      </w:r>
    </w:p>
    <w:p w14:paraId="1A1D834D" w14:textId="7BB72FAC" w:rsidR="006A2810" w:rsidRDefault="12C8F107" w:rsidP="00B37812">
      <w:pPr>
        <w:spacing w:line="259" w:lineRule="auto"/>
        <w:jc w:val="left"/>
        <w:rPr>
          <w:rFonts w:ascii="Franklin Gothic Book" w:eastAsia="Calibri" w:hAnsi="Franklin Gothic Book" w:cs="Calibri"/>
          <w:b/>
          <w:bCs/>
          <w:szCs w:val="24"/>
        </w:rPr>
      </w:pPr>
      <w:r w:rsidRPr="26829970">
        <w:rPr>
          <w:rFonts w:ascii="Franklin Gothic Book" w:eastAsia="Calibri" w:hAnsi="Franklin Gothic Book" w:cs="Calibri"/>
          <w:b/>
          <w:bCs/>
          <w:szCs w:val="24"/>
        </w:rPr>
        <w:t xml:space="preserve">Support for Implementation /issues </w:t>
      </w:r>
    </w:p>
    <w:p w14:paraId="7D51C792" w14:textId="4300408A" w:rsidR="006A2810" w:rsidRPr="00B37812" w:rsidRDefault="12C8F107" w:rsidP="00B37812">
      <w:pPr>
        <w:spacing w:line="259" w:lineRule="auto"/>
        <w:jc w:val="left"/>
        <w:rPr>
          <w:rFonts w:ascii="Franklin Gothic Book" w:eastAsia="Calibri" w:hAnsi="Franklin Gothic Book" w:cs="Calibri"/>
          <w:sz w:val="22"/>
        </w:rPr>
      </w:pPr>
      <w:r w:rsidRPr="00B37812">
        <w:rPr>
          <w:rFonts w:ascii="Franklin Gothic Book" w:eastAsia="Calibri" w:hAnsi="Franklin Gothic Book" w:cs="Calibri"/>
          <w:sz w:val="22"/>
        </w:rPr>
        <w:t>The health professional respondent suggested a preference for integrated-panel testing next-generation sequencing (NGS) for the multiple genetic alterations in CCA, noting both the cumulative costs of targeting them sequentially, and the lack of availability of tissue often associated with this tumour-type. The health professional respondent also agreed with the proposed item descriptor(s) and implementation, but noted the need for upskilling of health professionals in interpreting molecular test results.</w:t>
      </w:r>
    </w:p>
    <w:p w14:paraId="32776AE6" w14:textId="6350FF0B" w:rsidR="005A2631" w:rsidRDefault="12C8F107">
      <w:pPr>
        <w:spacing w:line="259" w:lineRule="auto"/>
        <w:jc w:val="left"/>
        <w:rPr>
          <w:rFonts w:ascii="Franklin Gothic Book" w:eastAsia="Calibri" w:hAnsi="Franklin Gothic Book" w:cs="Calibri"/>
          <w:sz w:val="22"/>
        </w:rPr>
      </w:pPr>
      <w:r w:rsidRPr="00B37812">
        <w:rPr>
          <w:rFonts w:ascii="Franklin Gothic Book" w:eastAsia="Calibri" w:hAnsi="Franklin Gothic Book" w:cs="Calibri"/>
          <w:sz w:val="22"/>
        </w:rPr>
        <w:t>Moreover, the consumer respondent described the importance of additional support services for those with CCA, including nurse-coordination, occupational therapy, physiotherapy/ exercise physiology, social work, clinical psychology, dietician services, and palliative care.</w:t>
      </w:r>
    </w:p>
    <w:p w14:paraId="58C72171" w14:textId="6058E2E4" w:rsidR="006A2810" w:rsidRPr="00AF02C3" w:rsidRDefault="005A2631" w:rsidP="00AF02C3">
      <w:pPr>
        <w:spacing w:line="259" w:lineRule="auto"/>
        <w:jc w:val="left"/>
        <w:rPr>
          <w:rFonts w:ascii="Franklin Gothic Book" w:hAnsi="Franklin Gothic Book" w:cstheme="minorHAnsi"/>
          <w:sz w:val="22"/>
        </w:rPr>
      </w:pPr>
      <w:r w:rsidRPr="005A2631">
        <w:rPr>
          <w:rFonts w:ascii="Franklin Gothic Book" w:eastAsia="Calibri" w:hAnsi="Franklin Gothic Book" w:cs="Calibri"/>
          <w:sz w:val="22"/>
        </w:rPr>
        <w:t>Liver Foundation noted the expected effect of the proposed application would offer hope to patients and their families, with likely significant improved survival and quality of life.</w:t>
      </w:r>
      <w:r>
        <w:rPr>
          <w:rFonts w:ascii="Franklin Gothic Book" w:eastAsia="Calibri" w:hAnsi="Franklin Gothic Book" w:cs="Calibri"/>
          <w:b/>
          <w:bCs/>
          <w:sz w:val="22"/>
        </w:rPr>
        <w:t xml:space="preserve"> </w:t>
      </w:r>
      <w:r w:rsidRPr="005A2631">
        <w:rPr>
          <w:rFonts w:ascii="Franklin Gothic Book" w:eastAsia="Calibri" w:hAnsi="Franklin Gothic Book" w:cs="Calibri"/>
          <w:sz w:val="22"/>
        </w:rPr>
        <w:t>St Vincent’s Hospital Sydney expressed support at the proposed fee.</w:t>
      </w:r>
    </w:p>
    <w:p w14:paraId="503C4D57" w14:textId="4572446C" w:rsidR="00183A87" w:rsidRPr="00330942" w:rsidRDefault="00183A87"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330942">
        <w:rPr>
          <w:rFonts w:ascii="Franklin Gothic Medium" w:hAnsi="Franklin Gothic Medium"/>
          <w:b w:val="0"/>
          <w:i w:val="0"/>
          <w:snapToGrid/>
          <w:color w:val="000000" w:themeColor="text1"/>
          <w:sz w:val="32"/>
          <w:szCs w:val="26"/>
        </w:rPr>
        <w:t>Characteristics of the evidence base</w:t>
      </w:r>
      <w:bookmarkEnd w:id="20"/>
    </w:p>
    <w:p w14:paraId="3B13E4D8" w14:textId="79B95469" w:rsidR="009339B0" w:rsidRPr="00330942" w:rsidRDefault="009339B0" w:rsidP="00330942">
      <w:pPr>
        <w:pStyle w:val="MSACESParagraph"/>
        <w:rPr>
          <w:rFonts w:ascii="Franklin Gothic Book" w:hAnsi="Franklin Gothic Book"/>
          <w:sz w:val="22"/>
        </w:rPr>
      </w:pPr>
      <w:r w:rsidRPr="00330942">
        <w:rPr>
          <w:rFonts w:ascii="Franklin Gothic Book" w:hAnsi="Franklin Gothic Book"/>
          <w:sz w:val="22"/>
        </w:rPr>
        <w:t xml:space="preserve">The submission undertook a broad literature search to identify relevant studies for all steps in the linked evidence approach. </w:t>
      </w:r>
      <w:r w:rsidR="0070516B" w:rsidRPr="00330942">
        <w:rPr>
          <w:rFonts w:ascii="Franklin Gothic Book" w:hAnsi="Franklin Gothic Book"/>
          <w:sz w:val="22"/>
        </w:rPr>
        <w:t xml:space="preserve">The </w:t>
      </w:r>
      <w:r w:rsidR="00053087" w:rsidRPr="00330942">
        <w:rPr>
          <w:rFonts w:ascii="Franklin Gothic Book" w:hAnsi="Franklin Gothic Book"/>
          <w:sz w:val="22"/>
        </w:rPr>
        <w:t>commentary</w:t>
      </w:r>
      <w:r w:rsidR="0070516B" w:rsidRPr="00330942">
        <w:rPr>
          <w:rFonts w:ascii="Franklin Gothic Book" w:hAnsi="Franklin Gothic Book"/>
          <w:sz w:val="22"/>
        </w:rPr>
        <w:t xml:space="preserve"> considered</w:t>
      </w:r>
      <w:r w:rsidR="00132C37" w:rsidRPr="00330942">
        <w:rPr>
          <w:rFonts w:ascii="Franklin Gothic Book" w:hAnsi="Franklin Gothic Book"/>
          <w:sz w:val="22"/>
        </w:rPr>
        <w:t xml:space="preserve"> that n</w:t>
      </w:r>
      <w:r w:rsidRPr="00330942">
        <w:rPr>
          <w:rFonts w:ascii="Franklin Gothic Book" w:hAnsi="Franklin Gothic Book"/>
          <w:sz w:val="22"/>
        </w:rPr>
        <w:t>one of the included studies were in Australian populations which may affect their applicability, though many were from likely comparable health care systems such as the US and Europe and therefore may not present substantial applicability issues.</w:t>
      </w:r>
      <w:r w:rsidRPr="00330942">
        <w:rPr>
          <w:rFonts w:ascii="Franklin Gothic Book" w:hAnsi="Franklin Gothic Book"/>
          <w:i/>
          <w:iCs/>
          <w:sz w:val="22"/>
        </w:rPr>
        <w:t xml:space="preserve"> </w:t>
      </w:r>
    </w:p>
    <w:p w14:paraId="3CEDBDDE" w14:textId="5EDF73CC" w:rsidR="00F7501D" w:rsidRPr="00B27879" w:rsidRDefault="009D316D" w:rsidP="009D316D">
      <w:pPr>
        <w:pStyle w:val="Caption"/>
      </w:pPr>
      <w:r>
        <w:lastRenderedPageBreak/>
        <w:t xml:space="preserve">Table </w:t>
      </w:r>
      <w:r>
        <w:fldChar w:fldCharType="begin"/>
      </w:r>
      <w:r>
        <w:instrText>SEQ Table \* ARABIC</w:instrText>
      </w:r>
      <w:r>
        <w:fldChar w:fldCharType="separate"/>
      </w:r>
      <w:r w:rsidR="005B1C7E">
        <w:rPr>
          <w:noProof/>
        </w:rPr>
        <w:t>4</w:t>
      </w:r>
      <w:r>
        <w:fldChar w:fldCharType="end"/>
      </w:r>
      <w:r>
        <w:tab/>
      </w:r>
      <w:bookmarkStart w:id="21" w:name="_Hlk68276301"/>
      <w:r w:rsidR="00F7501D" w:rsidRPr="00B27879">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76"/>
        <w:gridCol w:w="2344"/>
        <w:gridCol w:w="1416"/>
        <w:gridCol w:w="1084"/>
      </w:tblGrid>
      <w:tr w:rsidR="007900E9" w:rsidRPr="00B27879" w14:paraId="51A0CA1E" w14:textId="77777777" w:rsidTr="2914E55D">
        <w:trPr>
          <w:trHeight w:val="340"/>
          <w:tblHeader/>
        </w:trPr>
        <w:tc>
          <w:tcPr>
            <w:tcW w:w="941" w:type="pct"/>
            <w:tcBorders>
              <w:top w:val="single" w:sz="4" w:space="0" w:color="auto"/>
              <w:left w:val="single" w:sz="4" w:space="0" w:color="auto"/>
              <w:bottom w:val="single" w:sz="4" w:space="0" w:color="auto"/>
              <w:right w:val="single" w:sz="4" w:space="0" w:color="auto"/>
            </w:tcBorders>
            <w:vAlign w:val="center"/>
          </w:tcPr>
          <w:p w14:paraId="0799C192" w14:textId="77777777" w:rsidR="00F7501D" w:rsidRPr="00B27879" w:rsidRDefault="00F7501D" w:rsidP="00FE3A7F">
            <w:pPr>
              <w:pStyle w:val="TableText"/>
              <w:keepNext/>
              <w:jc w:val="center"/>
              <w:rPr>
                <w:b/>
              </w:rPr>
            </w:pPr>
            <w:r w:rsidRPr="00B27879">
              <w:rPr>
                <w:b/>
              </w:rPr>
              <w:t>Criterion</w:t>
            </w:r>
          </w:p>
        </w:tc>
        <w:tc>
          <w:tcPr>
            <w:tcW w:w="1373" w:type="pct"/>
            <w:tcBorders>
              <w:top w:val="single" w:sz="4" w:space="0" w:color="auto"/>
              <w:left w:val="single" w:sz="4" w:space="0" w:color="auto"/>
              <w:bottom w:val="single" w:sz="4" w:space="0" w:color="auto"/>
              <w:right w:val="single" w:sz="4" w:space="0" w:color="auto"/>
            </w:tcBorders>
            <w:vAlign w:val="center"/>
            <w:hideMark/>
          </w:tcPr>
          <w:p w14:paraId="30A3C24D" w14:textId="77777777" w:rsidR="00F7501D" w:rsidRPr="00B27879" w:rsidRDefault="00F7501D" w:rsidP="00FE3A7F">
            <w:pPr>
              <w:pStyle w:val="TableText"/>
              <w:keepNext/>
              <w:jc w:val="center"/>
              <w:rPr>
                <w:b/>
              </w:rPr>
            </w:pPr>
            <w:r w:rsidRPr="00B27879">
              <w:rPr>
                <w:b/>
              </w:rPr>
              <w:t>Type of evidence supplied</w:t>
            </w:r>
          </w:p>
        </w:tc>
        <w:tc>
          <w:tcPr>
            <w:tcW w:w="1300" w:type="pct"/>
            <w:tcBorders>
              <w:top w:val="single" w:sz="4" w:space="0" w:color="auto"/>
              <w:left w:val="single" w:sz="4" w:space="0" w:color="auto"/>
              <w:bottom w:val="single" w:sz="4" w:space="0" w:color="auto"/>
              <w:right w:val="single" w:sz="4" w:space="0" w:color="auto"/>
            </w:tcBorders>
            <w:vAlign w:val="center"/>
            <w:hideMark/>
          </w:tcPr>
          <w:p w14:paraId="1561C9A9" w14:textId="77777777" w:rsidR="00F7501D" w:rsidRPr="00B27879" w:rsidRDefault="00F7501D" w:rsidP="00FE3A7F">
            <w:pPr>
              <w:pStyle w:val="TableText"/>
              <w:keepNext/>
              <w:jc w:val="center"/>
              <w:rPr>
                <w:b/>
              </w:rPr>
            </w:pPr>
            <w:r w:rsidRPr="00B27879">
              <w:rPr>
                <w:b/>
              </w:rPr>
              <w:t>Extent of evidence supplied</w:t>
            </w:r>
          </w:p>
        </w:tc>
        <w:tc>
          <w:tcPr>
            <w:tcW w:w="785" w:type="pct"/>
            <w:tcBorders>
              <w:top w:val="single" w:sz="4" w:space="0" w:color="auto"/>
              <w:left w:val="single" w:sz="4" w:space="0" w:color="auto"/>
              <w:bottom w:val="single" w:sz="4" w:space="0" w:color="auto"/>
              <w:right w:val="single" w:sz="4" w:space="0" w:color="auto"/>
            </w:tcBorders>
            <w:vAlign w:val="center"/>
            <w:hideMark/>
          </w:tcPr>
          <w:p w14:paraId="63820905" w14:textId="77777777" w:rsidR="00F7501D" w:rsidRPr="00B27879" w:rsidRDefault="00F7501D" w:rsidP="00FE3A7F">
            <w:pPr>
              <w:pStyle w:val="TableText"/>
              <w:keepNext/>
              <w:jc w:val="center"/>
              <w:rPr>
                <w:b/>
              </w:rPr>
            </w:pPr>
            <w:r w:rsidRPr="00B27879">
              <w:rPr>
                <w:b/>
              </w:rPr>
              <w:t>Overall risk of bias in evidence base</w:t>
            </w:r>
          </w:p>
        </w:tc>
        <w:tc>
          <w:tcPr>
            <w:tcW w:w="601" w:type="pct"/>
            <w:tcBorders>
              <w:top w:val="single" w:sz="4" w:space="0" w:color="auto"/>
              <w:left w:val="single" w:sz="4" w:space="0" w:color="auto"/>
              <w:bottom w:val="single" w:sz="4" w:space="0" w:color="auto"/>
              <w:right w:val="single" w:sz="4" w:space="0" w:color="auto"/>
            </w:tcBorders>
            <w:vAlign w:val="center"/>
          </w:tcPr>
          <w:p w14:paraId="0EA1009A" w14:textId="77777777" w:rsidR="00F7501D" w:rsidRPr="00B27879" w:rsidRDefault="00F7501D" w:rsidP="00FE3A7F">
            <w:pPr>
              <w:pStyle w:val="TableText"/>
              <w:keepNext/>
              <w:jc w:val="center"/>
              <w:rPr>
                <w:b/>
              </w:rPr>
            </w:pPr>
            <w:r w:rsidRPr="00B27879">
              <w:rPr>
                <w:b/>
              </w:rPr>
              <w:t>Used in modelled evaluation</w:t>
            </w:r>
          </w:p>
        </w:tc>
      </w:tr>
      <w:tr w:rsidR="007900E9" w:rsidRPr="00B27879" w14:paraId="40982739" w14:textId="77777777" w:rsidTr="2914E55D">
        <w:trPr>
          <w:trHeight w:val="340"/>
        </w:trPr>
        <w:tc>
          <w:tcPr>
            <w:tcW w:w="941" w:type="pct"/>
            <w:tcBorders>
              <w:top w:val="single" w:sz="4" w:space="0" w:color="auto"/>
              <w:left w:val="single" w:sz="4" w:space="0" w:color="auto"/>
              <w:bottom w:val="single" w:sz="4" w:space="0" w:color="auto"/>
              <w:right w:val="single" w:sz="4" w:space="0" w:color="auto"/>
            </w:tcBorders>
            <w:vAlign w:val="center"/>
            <w:hideMark/>
          </w:tcPr>
          <w:p w14:paraId="2076C741" w14:textId="77777777" w:rsidR="00F7501D" w:rsidRPr="00B27879" w:rsidRDefault="00F7501D" w:rsidP="00FE3A7F">
            <w:pPr>
              <w:pStyle w:val="TableText"/>
              <w:keepNext/>
            </w:pPr>
            <w:r w:rsidRPr="00B27879">
              <w:t>Accuracy and performance of the test (cross-sectional accuracy)</w:t>
            </w:r>
          </w:p>
        </w:tc>
        <w:tc>
          <w:tcPr>
            <w:tcW w:w="1373" w:type="pct"/>
            <w:tcBorders>
              <w:top w:val="single" w:sz="4" w:space="0" w:color="auto"/>
              <w:left w:val="single" w:sz="4" w:space="0" w:color="auto"/>
              <w:bottom w:val="single" w:sz="4" w:space="0" w:color="auto"/>
              <w:right w:val="single" w:sz="4" w:space="0" w:color="auto"/>
            </w:tcBorders>
            <w:vAlign w:val="center"/>
            <w:hideMark/>
          </w:tcPr>
          <w:p w14:paraId="07C6C0BD" w14:textId="77777777" w:rsidR="00F7501D" w:rsidRPr="00B27879" w:rsidRDefault="00F7501D" w:rsidP="00FE3A7F">
            <w:pPr>
              <w:pStyle w:val="TableText"/>
              <w:keepNext/>
            </w:pPr>
            <w:r w:rsidRPr="00B27879">
              <w:t>Concordance with clinical utility standard</w:t>
            </w:r>
          </w:p>
        </w:tc>
        <w:tc>
          <w:tcPr>
            <w:tcW w:w="1300" w:type="pct"/>
            <w:tcBorders>
              <w:top w:val="single" w:sz="4" w:space="0" w:color="auto"/>
              <w:left w:val="single" w:sz="4" w:space="0" w:color="auto"/>
              <w:bottom w:val="single" w:sz="4" w:space="0" w:color="auto"/>
              <w:right w:val="single" w:sz="4" w:space="0" w:color="auto"/>
            </w:tcBorders>
            <w:vAlign w:val="center"/>
            <w:hideMark/>
          </w:tcPr>
          <w:p w14:paraId="6EDCC802" w14:textId="77777777" w:rsidR="00F7501D" w:rsidRPr="00B27879" w:rsidRDefault="000927A0" w:rsidP="00FE3A7F">
            <w:pPr>
              <w:pStyle w:val="TableText"/>
              <w:keepNext/>
            </w:pPr>
            <w:sdt>
              <w:sdtPr>
                <w:id w:val="-32971140"/>
                <w14:checkbox>
                  <w14:checked w14:val="1"/>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k=3</w:t>
            </w:r>
            <w:r w:rsidR="00F7501D" w:rsidRPr="00B27879">
              <w:tab/>
              <w:t>n=368</w:t>
            </w:r>
          </w:p>
        </w:tc>
        <w:tc>
          <w:tcPr>
            <w:tcW w:w="785" w:type="pct"/>
            <w:tcBorders>
              <w:top w:val="single" w:sz="4" w:space="0" w:color="auto"/>
              <w:left w:val="single" w:sz="4" w:space="0" w:color="auto"/>
              <w:bottom w:val="single" w:sz="4" w:space="0" w:color="auto"/>
              <w:right w:val="single" w:sz="4" w:space="0" w:color="auto"/>
            </w:tcBorders>
            <w:vAlign w:val="center"/>
            <w:hideMark/>
          </w:tcPr>
          <w:p w14:paraId="26F1DB28" w14:textId="77777777" w:rsidR="00F7501D" w:rsidRPr="00B27879" w:rsidRDefault="00F7501D" w:rsidP="00FE3A7F">
            <w:pPr>
              <w:pStyle w:val="TableText"/>
              <w:keepNext/>
            </w:pPr>
            <w:r w:rsidRPr="00B27879">
              <w:t>Moderate - High</w:t>
            </w:r>
          </w:p>
        </w:tc>
        <w:tc>
          <w:tcPr>
            <w:tcW w:w="601" w:type="pct"/>
            <w:tcBorders>
              <w:top w:val="single" w:sz="4" w:space="0" w:color="auto"/>
              <w:left w:val="single" w:sz="4" w:space="0" w:color="auto"/>
              <w:bottom w:val="single" w:sz="4" w:space="0" w:color="auto"/>
              <w:right w:val="single" w:sz="4" w:space="0" w:color="auto"/>
            </w:tcBorders>
            <w:vAlign w:val="center"/>
          </w:tcPr>
          <w:p w14:paraId="27714CB3" w14:textId="77777777" w:rsidR="00F7501D" w:rsidRPr="00B27879" w:rsidRDefault="00F7501D" w:rsidP="00FE3A7F">
            <w:pPr>
              <w:pStyle w:val="TableText"/>
              <w:keepNext/>
            </w:pPr>
            <w:r w:rsidRPr="00B27879">
              <w:t>No</w:t>
            </w:r>
          </w:p>
        </w:tc>
      </w:tr>
      <w:tr w:rsidR="007900E9" w:rsidRPr="00B27879" w14:paraId="19D78094" w14:textId="77777777" w:rsidTr="2914E55D">
        <w:trPr>
          <w:trHeight w:val="340"/>
        </w:trPr>
        <w:tc>
          <w:tcPr>
            <w:tcW w:w="941" w:type="pct"/>
            <w:tcBorders>
              <w:top w:val="single" w:sz="4" w:space="0" w:color="auto"/>
              <w:left w:val="single" w:sz="4" w:space="0" w:color="auto"/>
              <w:bottom w:val="single" w:sz="4" w:space="0" w:color="auto"/>
              <w:right w:val="single" w:sz="4" w:space="0" w:color="auto"/>
            </w:tcBorders>
            <w:vAlign w:val="center"/>
            <w:hideMark/>
          </w:tcPr>
          <w:p w14:paraId="28259864" w14:textId="77777777" w:rsidR="00F7501D" w:rsidRPr="00B27879" w:rsidRDefault="00F7501D" w:rsidP="00FE3A7F">
            <w:pPr>
              <w:pStyle w:val="TableText"/>
              <w:keepNext/>
            </w:pPr>
            <w:r w:rsidRPr="00B27879">
              <w:t>Prognostic evidence (longitudinal accuracy)</w:t>
            </w:r>
          </w:p>
        </w:tc>
        <w:tc>
          <w:tcPr>
            <w:tcW w:w="1373" w:type="pct"/>
            <w:tcBorders>
              <w:top w:val="single" w:sz="4" w:space="0" w:color="auto"/>
              <w:left w:val="single" w:sz="4" w:space="0" w:color="auto"/>
              <w:bottom w:val="single" w:sz="4" w:space="0" w:color="auto"/>
              <w:right w:val="single" w:sz="4" w:space="0" w:color="auto"/>
            </w:tcBorders>
            <w:vAlign w:val="center"/>
            <w:hideMark/>
          </w:tcPr>
          <w:p w14:paraId="4553F045" w14:textId="77777777" w:rsidR="00F7501D" w:rsidRPr="00B27879" w:rsidRDefault="00F7501D" w:rsidP="00FE3A7F">
            <w:pPr>
              <w:pStyle w:val="TableText"/>
              <w:keepNext/>
            </w:pPr>
            <w:r w:rsidRPr="00B27879">
              <w:t xml:space="preserve">Meta-analysis of prognostic impact of </w:t>
            </w:r>
            <w:r w:rsidRPr="00B27879">
              <w:rPr>
                <w:i/>
                <w:iCs/>
              </w:rPr>
              <w:t>FGFR2</w:t>
            </w:r>
            <w:r w:rsidRPr="00B27879">
              <w:t xml:space="preserve"> alteration on overall or progression-free survival in patients with CCA </w:t>
            </w:r>
          </w:p>
        </w:tc>
        <w:tc>
          <w:tcPr>
            <w:tcW w:w="1300" w:type="pct"/>
            <w:tcBorders>
              <w:top w:val="single" w:sz="4" w:space="0" w:color="auto"/>
              <w:left w:val="single" w:sz="4" w:space="0" w:color="auto"/>
              <w:bottom w:val="single" w:sz="4" w:space="0" w:color="auto"/>
              <w:right w:val="single" w:sz="4" w:space="0" w:color="auto"/>
            </w:tcBorders>
            <w:vAlign w:val="center"/>
            <w:hideMark/>
          </w:tcPr>
          <w:p w14:paraId="40356CE5" w14:textId="77777777" w:rsidR="00F7501D" w:rsidRPr="00B27879" w:rsidRDefault="000927A0" w:rsidP="00FE3A7F">
            <w:pPr>
              <w:pStyle w:val="TableText"/>
              <w:keepNext/>
            </w:pPr>
            <w:sdt>
              <w:sdtPr>
                <w:id w:val="-1740398402"/>
                <w14:checkbox>
                  <w14:checked w14:val="1"/>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k=1</w:t>
            </w:r>
            <w:r w:rsidR="00F7501D" w:rsidRPr="00B27879">
              <w:rPr>
                <w:vertAlign w:val="superscript"/>
              </w:rPr>
              <w:t>b</w:t>
            </w:r>
            <w:r w:rsidR="00F7501D" w:rsidRPr="00B27879">
              <w:tab/>
              <w:t>n=1314</w:t>
            </w:r>
          </w:p>
        </w:tc>
        <w:tc>
          <w:tcPr>
            <w:tcW w:w="785" w:type="pct"/>
            <w:tcBorders>
              <w:top w:val="single" w:sz="4" w:space="0" w:color="auto"/>
              <w:left w:val="single" w:sz="4" w:space="0" w:color="auto"/>
              <w:bottom w:val="single" w:sz="4" w:space="0" w:color="auto"/>
              <w:right w:val="single" w:sz="4" w:space="0" w:color="auto"/>
            </w:tcBorders>
            <w:vAlign w:val="center"/>
            <w:hideMark/>
          </w:tcPr>
          <w:p w14:paraId="5C9F6142" w14:textId="77777777" w:rsidR="00F7501D" w:rsidRPr="00B27879" w:rsidRDefault="00F7501D" w:rsidP="00FE3A7F">
            <w:pPr>
              <w:pStyle w:val="TableText"/>
              <w:keepNext/>
            </w:pPr>
            <w:r w:rsidRPr="00B27879">
              <w:t>Moderate</w:t>
            </w:r>
          </w:p>
        </w:tc>
        <w:tc>
          <w:tcPr>
            <w:tcW w:w="601" w:type="pct"/>
            <w:tcBorders>
              <w:top w:val="single" w:sz="4" w:space="0" w:color="auto"/>
              <w:left w:val="single" w:sz="4" w:space="0" w:color="auto"/>
              <w:bottom w:val="single" w:sz="4" w:space="0" w:color="auto"/>
              <w:right w:val="single" w:sz="4" w:space="0" w:color="auto"/>
            </w:tcBorders>
            <w:vAlign w:val="center"/>
          </w:tcPr>
          <w:p w14:paraId="69631989" w14:textId="77777777" w:rsidR="00F7501D" w:rsidRPr="00B27879" w:rsidRDefault="00F7501D" w:rsidP="00FE3A7F">
            <w:pPr>
              <w:pStyle w:val="TableText"/>
              <w:keepNext/>
            </w:pPr>
            <w:r w:rsidRPr="00B27879">
              <w:t>No</w:t>
            </w:r>
          </w:p>
        </w:tc>
      </w:tr>
      <w:tr w:rsidR="007900E9" w:rsidRPr="00B27879" w14:paraId="23103206" w14:textId="77777777" w:rsidTr="2914E55D">
        <w:trPr>
          <w:trHeight w:val="340"/>
        </w:trPr>
        <w:tc>
          <w:tcPr>
            <w:tcW w:w="941" w:type="pct"/>
            <w:tcBorders>
              <w:top w:val="single" w:sz="4" w:space="0" w:color="auto"/>
              <w:left w:val="single" w:sz="4" w:space="0" w:color="auto"/>
              <w:bottom w:val="single" w:sz="4" w:space="0" w:color="auto"/>
              <w:right w:val="single" w:sz="4" w:space="0" w:color="auto"/>
            </w:tcBorders>
            <w:vAlign w:val="center"/>
            <w:hideMark/>
          </w:tcPr>
          <w:p w14:paraId="7B6C5F24" w14:textId="77777777" w:rsidR="00F7501D" w:rsidRPr="00B27879" w:rsidRDefault="00F7501D" w:rsidP="00FE3A7F">
            <w:pPr>
              <w:pStyle w:val="TableText"/>
              <w:keepNext/>
            </w:pPr>
            <w:r w:rsidRPr="00B27879">
              <w:t xml:space="preserve">Change in patient management </w:t>
            </w:r>
          </w:p>
        </w:tc>
        <w:tc>
          <w:tcPr>
            <w:tcW w:w="1373" w:type="pct"/>
            <w:tcBorders>
              <w:top w:val="single" w:sz="4" w:space="0" w:color="auto"/>
              <w:left w:val="single" w:sz="4" w:space="0" w:color="auto"/>
              <w:bottom w:val="single" w:sz="4" w:space="0" w:color="auto"/>
              <w:right w:val="single" w:sz="4" w:space="0" w:color="auto"/>
            </w:tcBorders>
            <w:vAlign w:val="center"/>
            <w:hideMark/>
          </w:tcPr>
          <w:p w14:paraId="078ADCD2" w14:textId="37B698BE" w:rsidR="00F7501D" w:rsidRPr="00B27879" w:rsidRDefault="00F7501D" w:rsidP="2914E55D">
            <w:pPr>
              <w:pStyle w:val="TableText"/>
              <w:keepNext/>
              <w:rPr>
                <w:vertAlign w:val="superscript"/>
              </w:rPr>
            </w:pPr>
            <w:r w:rsidRPr="2914E55D">
              <w:t xml:space="preserve">None </w:t>
            </w:r>
            <w:r w:rsidRPr="2914E55D">
              <w:rPr>
                <w:vertAlign w:val="superscript"/>
              </w:rPr>
              <w:t>c</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546179D" w14:textId="77777777" w:rsidR="00F7501D" w:rsidRPr="00B27879" w:rsidRDefault="000927A0" w:rsidP="00FE3A7F">
            <w:pPr>
              <w:pStyle w:val="TableText"/>
              <w:keepNext/>
            </w:pPr>
            <w:sdt>
              <w:sdtPr>
                <w:id w:val="-172109200"/>
                <w14:checkbox>
                  <w14:checked w14:val="0"/>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w:t>
            </w:r>
            <w:r w:rsidR="00F7501D" w:rsidRPr="00B27879">
              <w:tab/>
              <w:t>n=</w:t>
            </w:r>
          </w:p>
        </w:tc>
        <w:tc>
          <w:tcPr>
            <w:tcW w:w="785" w:type="pct"/>
            <w:tcBorders>
              <w:top w:val="single" w:sz="4" w:space="0" w:color="auto"/>
              <w:left w:val="single" w:sz="4" w:space="0" w:color="auto"/>
              <w:bottom w:val="single" w:sz="4" w:space="0" w:color="auto"/>
              <w:right w:val="single" w:sz="4" w:space="0" w:color="auto"/>
            </w:tcBorders>
            <w:vAlign w:val="center"/>
            <w:hideMark/>
          </w:tcPr>
          <w:p w14:paraId="1D04CC23" w14:textId="77777777" w:rsidR="00F7501D" w:rsidRPr="00B27879" w:rsidRDefault="00F7501D" w:rsidP="00FE3A7F">
            <w:pPr>
              <w:pStyle w:val="TableText"/>
              <w:keepNext/>
            </w:pPr>
            <w:r w:rsidRPr="00B27879">
              <w:t>-</w:t>
            </w:r>
          </w:p>
        </w:tc>
        <w:tc>
          <w:tcPr>
            <w:tcW w:w="601" w:type="pct"/>
            <w:tcBorders>
              <w:top w:val="single" w:sz="4" w:space="0" w:color="auto"/>
              <w:left w:val="single" w:sz="4" w:space="0" w:color="auto"/>
              <w:bottom w:val="single" w:sz="4" w:space="0" w:color="auto"/>
              <w:right w:val="single" w:sz="4" w:space="0" w:color="auto"/>
            </w:tcBorders>
            <w:vAlign w:val="center"/>
          </w:tcPr>
          <w:p w14:paraId="5C1815FB" w14:textId="77777777" w:rsidR="00F7501D" w:rsidRPr="00B27879" w:rsidRDefault="00F7501D" w:rsidP="00FE3A7F">
            <w:pPr>
              <w:pStyle w:val="TableText"/>
              <w:keepNext/>
            </w:pPr>
            <w:r w:rsidRPr="00B27879">
              <w:t>-</w:t>
            </w:r>
          </w:p>
        </w:tc>
      </w:tr>
      <w:tr w:rsidR="007900E9" w:rsidRPr="00B27879" w14:paraId="68EB6436" w14:textId="77777777" w:rsidTr="2914E55D">
        <w:trPr>
          <w:trHeight w:val="340"/>
        </w:trPr>
        <w:tc>
          <w:tcPr>
            <w:tcW w:w="941" w:type="pct"/>
            <w:tcBorders>
              <w:top w:val="single" w:sz="4" w:space="0" w:color="auto"/>
              <w:left w:val="single" w:sz="4" w:space="0" w:color="auto"/>
              <w:bottom w:val="single" w:sz="4" w:space="0" w:color="auto"/>
              <w:right w:val="single" w:sz="4" w:space="0" w:color="auto"/>
            </w:tcBorders>
            <w:vAlign w:val="center"/>
            <w:hideMark/>
          </w:tcPr>
          <w:p w14:paraId="3F5BE2FA" w14:textId="77777777" w:rsidR="00F7501D" w:rsidRPr="00B27879" w:rsidRDefault="00F7501D" w:rsidP="00FE3A7F">
            <w:pPr>
              <w:pStyle w:val="TableText"/>
              <w:keepNext/>
            </w:pPr>
            <w:r w:rsidRPr="00B27879">
              <w:t xml:space="preserve">Health outcomes (clinical utility) </w:t>
            </w:r>
          </w:p>
        </w:tc>
        <w:tc>
          <w:tcPr>
            <w:tcW w:w="1373" w:type="pct"/>
            <w:tcBorders>
              <w:top w:val="single" w:sz="4" w:space="0" w:color="auto"/>
              <w:left w:val="single" w:sz="4" w:space="0" w:color="auto"/>
              <w:bottom w:val="single" w:sz="4" w:space="0" w:color="auto"/>
              <w:right w:val="single" w:sz="4" w:space="0" w:color="auto"/>
            </w:tcBorders>
            <w:vAlign w:val="center"/>
          </w:tcPr>
          <w:p w14:paraId="431F5FA5" w14:textId="7CC57177" w:rsidR="00F7501D" w:rsidRPr="00B27879" w:rsidRDefault="00F7501D" w:rsidP="2914E55D">
            <w:pPr>
              <w:pStyle w:val="TableText"/>
              <w:keepNext/>
              <w:rPr>
                <w:vertAlign w:val="superscript"/>
              </w:rPr>
            </w:pPr>
            <w:r w:rsidRPr="2914E55D">
              <w:t xml:space="preserve">None </w:t>
            </w:r>
            <w:r w:rsidRPr="2914E55D">
              <w:rPr>
                <w:vertAlign w:val="superscript"/>
              </w:rPr>
              <w:t>d</w:t>
            </w:r>
          </w:p>
        </w:tc>
        <w:tc>
          <w:tcPr>
            <w:tcW w:w="1300" w:type="pct"/>
            <w:tcBorders>
              <w:top w:val="single" w:sz="4" w:space="0" w:color="auto"/>
              <w:left w:val="single" w:sz="4" w:space="0" w:color="auto"/>
              <w:bottom w:val="single" w:sz="4" w:space="0" w:color="auto"/>
              <w:right w:val="single" w:sz="4" w:space="0" w:color="auto"/>
            </w:tcBorders>
            <w:vAlign w:val="center"/>
          </w:tcPr>
          <w:p w14:paraId="49E642A3" w14:textId="7AC5C4C8" w:rsidR="00F7501D" w:rsidRPr="00B27879" w:rsidRDefault="000927A0" w:rsidP="00095B3C">
            <w:pPr>
              <w:pStyle w:val="TableText"/>
              <w:keepNext/>
            </w:pPr>
            <w:sdt>
              <w:sdtPr>
                <w:id w:val="2020653781"/>
                <w14:checkbox>
                  <w14:checked w14:val="0"/>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w:t>
            </w:r>
            <w:r w:rsidR="00F7501D" w:rsidRPr="00B27879">
              <w:tab/>
              <w:t>n=</w:t>
            </w:r>
          </w:p>
        </w:tc>
        <w:tc>
          <w:tcPr>
            <w:tcW w:w="785" w:type="pct"/>
            <w:tcBorders>
              <w:top w:val="single" w:sz="4" w:space="0" w:color="auto"/>
              <w:left w:val="single" w:sz="4" w:space="0" w:color="auto"/>
              <w:bottom w:val="single" w:sz="4" w:space="0" w:color="auto"/>
              <w:right w:val="single" w:sz="4" w:space="0" w:color="auto"/>
            </w:tcBorders>
            <w:vAlign w:val="center"/>
            <w:hideMark/>
          </w:tcPr>
          <w:p w14:paraId="21974B19" w14:textId="77777777" w:rsidR="00F7501D" w:rsidRPr="00B27879" w:rsidRDefault="00F7501D" w:rsidP="00FE3A7F">
            <w:pPr>
              <w:pStyle w:val="TableText"/>
              <w:keepNext/>
            </w:pPr>
            <w:r w:rsidRPr="00B27879">
              <w:t>-</w:t>
            </w:r>
          </w:p>
        </w:tc>
        <w:tc>
          <w:tcPr>
            <w:tcW w:w="601" w:type="pct"/>
            <w:tcBorders>
              <w:top w:val="single" w:sz="4" w:space="0" w:color="auto"/>
              <w:left w:val="single" w:sz="4" w:space="0" w:color="auto"/>
              <w:bottom w:val="single" w:sz="4" w:space="0" w:color="auto"/>
              <w:right w:val="single" w:sz="4" w:space="0" w:color="auto"/>
            </w:tcBorders>
            <w:vAlign w:val="center"/>
          </w:tcPr>
          <w:p w14:paraId="4428B66E" w14:textId="77777777" w:rsidR="00F7501D" w:rsidRPr="00B27879" w:rsidRDefault="00F7501D" w:rsidP="00FE3A7F">
            <w:pPr>
              <w:pStyle w:val="TableText"/>
              <w:keepNext/>
            </w:pPr>
            <w:r w:rsidRPr="00B27879">
              <w:t>-</w:t>
            </w:r>
          </w:p>
        </w:tc>
      </w:tr>
      <w:tr w:rsidR="007900E9" w:rsidRPr="00B27879" w14:paraId="5CC07037" w14:textId="77777777" w:rsidTr="2914E55D">
        <w:trPr>
          <w:trHeight w:val="340"/>
        </w:trPr>
        <w:tc>
          <w:tcPr>
            <w:tcW w:w="941" w:type="pct"/>
            <w:tcBorders>
              <w:top w:val="single" w:sz="4" w:space="0" w:color="auto"/>
              <w:left w:val="single" w:sz="4" w:space="0" w:color="auto"/>
              <w:bottom w:val="nil"/>
              <w:right w:val="single" w:sz="4" w:space="0" w:color="auto"/>
            </w:tcBorders>
            <w:vAlign w:val="center"/>
          </w:tcPr>
          <w:p w14:paraId="29706C0C" w14:textId="77777777" w:rsidR="00F7501D" w:rsidRPr="00B27879" w:rsidRDefault="00F7501D" w:rsidP="00FE3A7F">
            <w:pPr>
              <w:pStyle w:val="TableText"/>
              <w:keepNext/>
            </w:pPr>
            <w:r w:rsidRPr="00B27879">
              <w:t xml:space="preserve">Predictive effect (treatment effect variation) </w:t>
            </w:r>
          </w:p>
        </w:tc>
        <w:tc>
          <w:tcPr>
            <w:tcW w:w="1373" w:type="pct"/>
            <w:tcBorders>
              <w:top w:val="single" w:sz="4" w:space="0" w:color="auto"/>
              <w:left w:val="single" w:sz="4" w:space="0" w:color="auto"/>
              <w:bottom w:val="nil"/>
              <w:right w:val="single" w:sz="4" w:space="0" w:color="auto"/>
            </w:tcBorders>
            <w:vAlign w:val="center"/>
          </w:tcPr>
          <w:p w14:paraId="58EDC892" w14:textId="771A784D" w:rsidR="00F7501D" w:rsidRPr="00B27879" w:rsidRDefault="00F7501D" w:rsidP="00FE3A7F">
            <w:pPr>
              <w:pStyle w:val="TableText"/>
              <w:keepNext/>
            </w:pPr>
            <w:r w:rsidRPr="00B27879">
              <w:t xml:space="preserve">A retrospective analysis of patients from four US centres with </w:t>
            </w:r>
            <w:r w:rsidRPr="00792733">
              <w:rPr>
                <w:i/>
                <w:iCs/>
              </w:rPr>
              <w:t>FGFR</w:t>
            </w:r>
            <w:r w:rsidRPr="00B27879">
              <w:t xml:space="preserve"> alterations compared to those who do not</w:t>
            </w:r>
            <w:r w:rsidR="00C84C7B">
              <w:t xml:space="preserve"> have </w:t>
            </w:r>
            <w:r w:rsidR="00C84C7B" w:rsidRPr="00792733">
              <w:rPr>
                <w:i/>
                <w:iCs/>
              </w:rPr>
              <w:t>FGFR</w:t>
            </w:r>
            <w:r w:rsidR="00C84C7B">
              <w:t xml:space="preserve"> alterations</w:t>
            </w:r>
            <w:r w:rsidRPr="00B27879">
              <w:t xml:space="preserve"> (Jain 2018)</w:t>
            </w:r>
          </w:p>
        </w:tc>
        <w:tc>
          <w:tcPr>
            <w:tcW w:w="1300" w:type="pct"/>
            <w:tcBorders>
              <w:top w:val="single" w:sz="4" w:space="0" w:color="auto"/>
              <w:left w:val="single" w:sz="4" w:space="0" w:color="auto"/>
              <w:bottom w:val="nil"/>
              <w:right w:val="single" w:sz="4" w:space="0" w:color="auto"/>
            </w:tcBorders>
            <w:vAlign w:val="center"/>
          </w:tcPr>
          <w:p w14:paraId="35347C6E" w14:textId="77777777" w:rsidR="00F7501D" w:rsidRPr="00B27879" w:rsidRDefault="000927A0" w:rsidP="00FE3A7F">
            <w:pPr>
              <w:pStyle w:val="TableText"/>
            </w:pPr>
            <w:sdt>
              <w:sdtPr>
                <w:id w:val="-696083688"/>
                <w14:checkbox>
                  <w14:checked w14:val="1"/>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k=1</w:t>
            </w:r>
            <w:r w:rsidR="00F7501D" w:rsidRPr="00B27879">
              <w:tab/>
              <w:t>n=337</w:t>
            </w:r>
          </w:p>
          <w:p w14:paraId="39965750" w14:textId="77777777" w:rsidR="00F7501D" w:rsidRPr="00B27879" w:rsidRDefault="00F7501D" w:rsidP="00FE3A7F">
            <w:pPr>
              <w:pStyle w:val="TableText"/>
              <w:keepNext/>
            </w:pPr>
          </w:p>
        </w:tc>
        <w:tc>
          <w:tcPr>
            <w:tcW w:w="785" w:type="pct"/>
            <w:tcBorders>
              <w:top w:val="single" w:sz="4" w:space="0" w:color="auto"/>
              <w:left w:val="single" w:sz="4" w:space="0" w:color="auto"/>
              <w:bottom w:val="nil"/>
              <w:right w:val="single" w:sz="4" w:space="0" w:color="auto"/>
            </w:tcBorders>
            <w:vAlign w:val="center"/>
          </w:tcPr>
          <w:p w14:paraId="57A05940" w14:textId="53BDBCBF" w:rsidR="00F7501D" w:rsidRPr="00B27879" w:rsidRDefault="00662B50" w:rsidP="00FE3A7F">
            <w:pPr>
              <w:pStyle w:val="TableText"/>
              <w:keepNext/>
            </w:pPr>
            <w:r>
              <w:t>M</w:t>
            </w:r>
            <w:r w:rsidR="00F7501D" w:rsidRPr="00B27879">
              <w:t xml:space="preserve">oderate - </w:t>
            </w:r>
            <w:r>
              <w:t>H</w:t>
            </w:r>
            <w:r w:rsidR="00F7501D" w:rsidRPr="00B27879">
              <w:t>igh</w:t>
            </w:r>
          </w:p>
        </w:tc>
        <w:tc>
          <w:tcPr>
            <w:tcW w:w="601" w:type="pct"/>
            <w:tcBorders>
              <w:top w:val="single" w:sz="4" w:space="0" w:color="auto"/>
              <w:left w:val="single" w:sz="4" w:space="0" w:color="auto"/>
              <w:bottom w:val="nil"/>
              <w:right w:val="single" w:sz="4" w:space="0" w:color="auto"/>
            </w:tcBorders>
            <w:vAlign w:val="center"/>
          </w:tcPr>
          <w:p w14:paraId="3D8CC723" w14:textId="77777777" w:rsidR="00F7501D" w:rsidRPr="00B27879" w:rsidRDefault="00F7501D" w:rsidP="00FE3A7F">
            <w:pPr>
              <w:pStyle w:val="TableText"/>
              <w:keepNext/>
            </w:pPr>
            <w:r w:rsidRPr="00B27879">
              <w:t>No</w:t>
            </w:r>
          </w:p>
        </w:tc>
      </w:tr>
      <w:tr w:rsidR="007900E9" w:rsidRPr="00B27879" w14:paraId="66CA520F" w14:textId="77777777" w:rsidTr="2914E55D">
        <w:trPr>
          <w:trHeight w:val="340"/>
        </w:trPr>
        <w:tc>
          <w:tcPr>
            <w:tcW w:w="941" w:type="pct"/>
            <w:tcBorders>
              <w:top w:val="nil"/>
              <w:left w:val="single" w:sz="4" w:space="0" w:color="auto"/>
              <w:bottom w:val="single" w:sz="4" w:space="0" w:color="auto"/>
              <w:right w:val="single" w:sz="4" w:space="0" w:color="auto"/>
            </w:tcBorders>
            <w:vAlign w:val="center"/>
          </w:tcPr>
          <w:p w14:paraId="5D9DDA66" w14:textId="77777777" w:rsidR="00F7501D" w:rsidRPr="00B27879" w:rsidRDefault="00F7501D" w:rsidP="00FE3A7F">
            <w:pPr>
              <w:pStyle w:val="TableText"/>
              <w:keepNext/>
            </w:pPr>
            <w:r w:rsidRPr="00B27879">
              <w:t>Treatment effect (enriched)</w:t>
            </w:r>
          </w:p>
        </w:tc>
        <w:tc>
          <w:tcPr>
            <w:tcW w:w="1373" w:type="pct"/>
            <w:tcBorders>
              <w:top w:val="nil"/>
              <w:left w:val="single" w:sz="4" w:space="0" w:color="auto"/>
              <w:bottom w:val="single" w:sz="4" w:space="0" w:color="auto"/>
              <w:right w:val="single" w:sz="4" w:space="0" w:color="auto"/>
            </w:tcBorders>
            <w:vAlign w:val="center"/>
          </w:tcPr>
          <w:p w14:paraId="0BD074E4" w14:textId="0EF6362A" w:rsidR="00F7501D" w:rsidRPr="00B27879" w:rsidRDefault="00F7501D" w:rsidP="00FE3A7F">
            <w:pPr>
              <w:pStyle w:val="TableText"/>
              <w:keepNext/>
            </w:pPr>
            <w:r w:rsidRPr="2914E55D">
              <w:t xml:space="preserve">None </w:t>
            </w:r>
            <w:r w:rsidRPr="2914E55D">
              <w:rPr>
                <w:vertAlign w:val="superscript"/>
              </w:rPr>
              <w:t>a</w:t>
            </w:r>
          </w:p>
        </w:tc>
        <w:tc>
          <w:tcPr>
            <w:tcW w:w="1300" w:type="pct"/>
            <w:tcBorders>
              <w:top w:val="nil"/>
              <w:left w:val="single" w:sz="4" w:space="0" w:color="auto"/>
              <w:bottom w:val="single" w:sz="4" w:space="0" w:color="auto"/>
              <w:right w:val="single" w:sz="4" w:space="0" w:color="auto"/>
            </w:tcBorders>
            <w:vAlign w:val="center"/>
          </w:tcPr>
          <w:p w14:paraId="57210FA4" w14:textId="77777777" w:rsidR="00F7501D" w:rsidRPr="00B27879" w:rsidRDefault="000927A0" w:rsidP="00FE3A7F">
            <w:pPr>
              <w:pStyle w:val="TableText"/>
              <w:keepNext/>
            </w:pPr>
            <w:sdt>
              <w:sdtPr>
                <w:id w:val="987283018"/>
                <w14:checkbox>
                  <w14:checked w14:val="0"/>
                  <w14:checkedState w14:val="2612" w14:font="MS Gothic"/>
                  <w14:uncheckedState w14:val="2610" w14:font="MS Gothic"/>
                </w14:checkbox>
              </w:sdtPr>
              <w:sdtEndPr/>
              <w:sdtContent>
                <w:r w:rsidR="00F7501D" w:rsidRPr="00B27879">
                  <w:rPr>
                    <w:rFonts w:ascii="MS Gothic" w:eastAsia="MS Gothic" w:hAnsi="MS Gothic"/>
                  </w:rPr>
                  <w:t>☐</w:t>
                </w:r>
              </w:sdtContent>
            </w:sdt>
            <w:r w:rsidR="00F7501D" w:rsidRPr="00B27879">
              <w:tab/>
              <w:t>k=</w:t>
            </w:r>
            <w:r w:rsidR="00F7501D" w:rsidRPr="00B27879">
              <w:tab/>
              <w:t>n=</w:t>
            </w:r>
          </w:p>
          <w:p w14:paraId="2A61E4FD" w14:textId="77777777" w:rsidR="00F7501D" w:rsidRPr="00B27879" w:rsidRDefault="00F7501D" w:rsidP="00FE3A7F">
            <w:pPr>
              <w:pStyle w:val="TableText"/>
              <w:keepNext/>
            </w:pPr>
          </w:p>
        </w:tc>
        <w:tc>
          <w:tcPr>
            <w:tcW w:w="785" w:type="pct"/>
            <w:tcBorders>
              <w:top w:val="nil"/>
              <w:left w:val="single" w:sz="4" w:space="0" w:color="auto"/>
              <w:bottom w:val="single" w:sz="4" w:space="0" w:color="auto"/>
              <w:right w:val="single" w:sz="4" w:space="0" w:color="auto"/>
            </w:tcBorders>
            <w:vAlign w:val="center"/>
          </w:tcPr>
          <w:p w14:paraId="089A92A8" w14:textId="77777777" w:rsidR="00F7501D" w:rsidRPr="00B27879" w:rsidRDefault="00F7501D" w:rsidP="00FE3A7F">
            <w:pPr>
              <w:pStyle w:val="TableText"/>
              <w:keepNext/>
            </w:pPr>
          </w:p>
        </w:tc>
        <w:tc>
          <w:tcPr>
            <w:tcW w:w="601" w:type="pct"/>
            <w:tcBorders>
              <w:top w:val="nil"/>
              <w:left w:val="single" w:sz="4" w:space="0" w:color="auto"/>
              <w:bottom w:val="single" w:sz="4" w:space="0" w:color="auto"/>
              <w:right w:val="single" w:sz="4" w:space="0" w:color="auto"/>
            </w:tcBorders>
            <w:vAlign w:val="center"/>
          </w:tcPr>
          <w:p w14:paraId="2CF8FB38" w14:textId="77777777" w:rsidR="00F7501D" w:rsidRPr="00B27879" w:rsidRDefault="00F7501D" w:rsidP="00FE3A7F">
            <w:pPr>
              <w:pStyle w:val="TableText"/>
              <w:keepNext/>
            </w:pPr>
            <w:r w:rsidRPr="00B27879">
              <w:t>-</w:t>
            </w:r>
          </w:p>
        </w:tc>
      </w:tr>
    </w:tbl>
    <w:p w14:paraId="7ABAE48F" w14:textId="77777777" w:rsidR="00F7501D" w:rsidRPr="00B27879" w:rsidRDefault="00F7501D" w:rsidP="00F7501D">
      <w:pPr>
        <w:pStyle w:val="TableFooter"/>
      </w:pPr>
      <w:r w:rsidRPr="00B27879">
        <w:t xml:space="preserve">Source: pp57-91 of the submission. </w:t>
      </w:r>
    </w:p>
    <w:p w14:paraId="6EDF3D5B" w14:textId="53EBF605" w:rsidR="00F7501D" w:rsidRPr="00B27879" w:rsidRDefault="00F7501D" w:rsidP="00F7501D">
      <w:pPr>
        <w:pStyle w:val="TableFooter"/>
      </w:pPr>
      <w:r w:rsidRPr="00B27879">
        <w:t xml:space="preserve">CCA = cholangiocarcinoma; FGFR = Fibroblast growth factor </w:t>
      </w:r>
      <w:r w:rsidR="00FA3ED5" w:rsidRPr="00B27879">
        <w:t>receptor;</w:t>
      </w:r>
      <w:r w:rsidRPr="00B27879">
        <w:t xml:space="preserve"> k=number of studies, n=number of patients; SoC = standard of Care</w:t>
      </w:r>
    </w:p>
    <w:p w14:paraId="0541AC32" w14:textId="25C2C62D" w:rsidR="00F7501D" w:rsidRPr="00B27879" w:rsidRDefault="00F7501D" w:rsidP="00F7501D">
      <w:pPr>
        <w:pStyle w:val="TableFooter"/>
      </w:pPr>
      <w:r w:rsidRPr="2914E55D">
        <w:rPr>
          <w:vertAlign w:val="superscript"/>
        </w:rPr>
        <w:t>a</w:t>
      </w:r>
      <w:r w:rsidRPr="2914E55D">
        <w:t xml:space="preserve"> clinical evidence based on biomarker selected patients treated with futibatinib compared to </w:t>
      </w:r>
      <w:r w:rsidR="00FA3ED5" w:rsidRPr="2914E55D">
        <w:t>non-biomarker</w:t>
      </w:r>
      <w:r w:rsidRPr="2914E55D">
        <w:t xml:space="preserve"> selected patients treated with SoC only. </w:t>
      </w:r>
    </w:p>
    <w:p w14:paraId="4377AF70" w14:textId="77777777" w:rsidR="00F7501D" w:rsidRPr="00B27879" w:rsidRDefault="00F7501D" w:rsidP="00F7501D">
      <w:pPr>
        <w:pStyle w:val="TableFooter"/>
      </w:pPr>
      <w:r w:rsidRPr="00B27879">
        <w:rPr>
          <w:vertAlign w:val="superscript"/>
        </w:rPr>
        <w:t xml:space="preserve">b </w:t>
      </w:r>
      <w:r w:rsidRPr="00B27879">
        <w:t xml:space="preserve">One meta-analysis based on 6 studies. </w:t>
      </w:r>
    </w:p>
    <w:p w14:paraId="61923B25" w14:textId="79DB651C" w:rsidR="00F7501D" w:rsidRPr="00B27879" w:rsidRDefault="00F7501D" w:rsidP="00F7501D">
      <w:pPr>
        <w:pStyle w:val="TableFooter"/>
      </w:pPr>
      <w:r w:rsidRPr="2914E55D">
        <w:rPr>
          <w:vertAlign w:val="superscript"/>
        </w:rPr>
        <w:t xml:space="preserve">c </w:t>
      </w:r>
      <w:r w:rsidRPr="2914E55D">
        <w:t>The submission presented calculations in the financial estimates to estimate impact on use.</w:t>
      </w:r>
    </w:p>
    <w:p w14:paraId="7C1AAE4B" w14:textId="377F47B3" w:rsidR="00F7501D" w:rsidRPr="00B27879" w:rsidRDefault="00F7501D" w:rsidP="001F5EE5">
      <w:pPr>
        <w:pStyle w:val="TableFooter"/>
      </w:pPr>
      <w:r w:rsidRPr="2914E55D">
        <w:rPr>
          <w:vertAlign w:val="superscript"/>
        </w:rPr>
        <w:t xml:space="preserve">d </w:t>
      </w:r>
      <w:r w:rsidRPr="2914E55D">
        <w:t xml:space="preserve">The economic model did not account for changes in patient management, as the model only followed positive FGFR2 patients, with an adjustment for costs of all tested patients. </w:t>
      </w:r>
    </w:p>
    <w:p w14:paraId="41ADE7AE" w14:textId="440EAFFD" w:rsidR="00EA0FA5" w:rsidRPr="00330942" w:rsidRDefault="00EE5014"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22" w:name="_Toc93044767"/>
      <w:bookmarkStart w:id="23" w:name="_Toc93322901"/>
      <w:bookmarkStart w:id="24" w:name="_Toc93044770"/>
      <w:bookmarkStart w:id="25" w:name="_Toc93322904"/>
      <w:bookmarkStart w:id="26" w:name="_Toc93044771"/>
      <w:bookmarkStart w:id="27" w:name="_Toc93322905"/>
      <w:bookmarkStart w:id="28" w:name="_Toc93044772"/>
      <w:bookmarkStart w:id="29" w:name="_Toc93322906"/>
      <w:bookmarkStart w:id="30" w:name="_Toc93044775"/>
      <w:bookmarkStart w:id="31" w:name="_Toc93322909"/>
      <w:bookmarkStart w:id="32" w:name="_Toc187865647"/>
      <w:bookmarkEnd w:id="21"/>
      <w:bookmarkEnd w:id="22"/>
      <w:bookmarkEnd w:id="23"/>
      <w:bookmarkEnd w:id="24"/>
      <w:bookmarkEnd w:id="25"/>
      <w:bookmarkEnd w:id="26"/>
      <w:bookmarkEnd w:id="27"/>
      <w:bookmarkEnd w:id="28"/>
      <w:bookmarkEnd w:id="29"/>
      <w:bookmarkEnd w:id="30"/>
      <w:bookmarkEnd w:id="31"/>
      <w:r w:rsidRPr="00330942">
        <w:rPr>
          <w:rFonts w:ascii="Franklin Gothic Medium" w:hAnsi="Franklin Gothic Medium"/>
          <w:b w:val="0"/>
          <w:i w:val="0"/>
          <w:snapToGrid/>
          <w:color w:val="000000" w:themeColor="text1"/>
          <w:sz w:val="32"/>
          <w:szCs w:val="26"/>
        </w:rPr>
        <w:t>Comparative safety</w:t>
      </w:r>
      <w:bookmarkEnd w:id="32"/>
    </w:p>
    <w:p w14:paraId="45E86F55" w14:textId="77777777" w:rsidR="0062726F" w:rsidRPr="00330942" w:rsidRDefault="0062726F" w:rsidP="00565A06">
      <w:pPr>
        <w:pStyle w:val="Heading4"/>
        <w:rPr>
          <w:rFonts w:ascii="Franklin Gothic Book" w:hAnsi="Franklin Gothic Book"/>
          <w:color w:val="auto"/>
        </w:rPr>
      </w:pPr>
      <w:r w:rsidRPr="00330942">
        <w:rPr>
          <w:rFonts w:ascii="Franklin Gothic Book" w:hAnsi="Franklin Gothic Book"/>
          <w:color w:val="auto"/>
        </w:rPr>
        <w:t>Adverse events from testing</w:t>
      </w:r>
    </w:p>
    <w:p w14:paraId="0103F350" w14:textId="5CBB64A7" w:rsidR="0062726F" w:rsidRPr="00330942" w:rsidRDefault="000C0D30" w:rsidP="00330942">
      <w:pPr>
        <w:pStyle w:val="MSACESParagraph"/>
        <w:rPr>
          <w:rFonts w:ascii="Franklin Gothic Book" w:hAnsi="Franklin Gothic Book"/>
          <w:sz w:val="22"/>
        </w:rPr>
      </w:pPr>
      <w:r w:rsidRPr="00330942">
        <w:rPr>
          <w:rFonts w:ascii="Franklin Gothic Book" w:hAnsi="Franklin Gothic Book"/>
          <w:sz w:val="22"/>
        </w:rPr>
        <w:t>N</w:t>
      </w:r>
      <w:r w:rsidR="00EA0FA5" w:rsidRPr="00330942">
        <w:rPr>
          <w:rFonts w:ascii="Franklin Gothic Book" w:hAnsi="Franklin Gothic Book"/>
          <w:sz w:val="22"/>
        </w:rPr>
        <w:t xml:space="preserve">o information on test safety </w:t>
      </w:r>
      <w:r w:rsidR="009941A9" w:rsidRPr="00330942">
        <w:rPr>
          <w:rFonts w:ascii="Franklin Gothic Book" w:hAnsi="Franklin Gothic Book"/>
          <w:sz w:val="22"/>
        </w:rPr>
        <w:t>w</w:t>
      </w:r>
      <w:r w:rsidR="00EA0FA5" w:rsidRPr="00330942">
        <w:rPr>
          <w:rFonts w:ascii="Franklin Gothic Book" w:hAnsi="Franklin Gothic Book"/>
          <w:sz w:val="22"/>
        </w:rPr>
        <w:t>as presented in the submission.</w:t>
      </w:r>
      <w:r w:rsidR="00A73F8C" w:rsidRPr="00330942">
        <w:rPr>
          <w:rFonts w:ascii="Franklin Gothic Book" w:hAnsi="Franklin Gothic Book"/>
          <w:sz w:val="22"/>
        </w:rPr>
        <w:t xml:space="preserve"> The 1779 Ratified PICO included </w:t>
      </w:r>
      <w:r w:rsidR="000A5BFD" w:rsidRPr="00330942">
        <w:rPr>
          <w:rFonts w:ascii="Franklin Gothic Book" w:hAnsi="Franklin Gothic Book"/>
          <w:sz w:val="22"/>
        </w:rPr>
        <w:t>s</w:t>
      </w:r>
      <w:r w:rsidR="00A73F8C" w:rsidRPr="00330942">
        <w:rPr>
          <w:rFonts w:ascii="Franklin Gothic Book" w:hAnsi="Franklin Gothic Book"/>
          <w:sz w:val="22"/>
        </w:rPr>
        <w:t>afety of re-biopsy as another test related consideration but inappropriately this was not discussed in the submission.</w:t>
      </w:r>
      <w:r w:rsidR="00EA0FA5" w:rsidRPr="00330942">
        <w:rPr>
          <w:rFonts w:ascii="Franklin Gothic Book" w:hAnsi="Franklin Gothic Book"/>
          <w:sz w:val="22"/>
        </w:rPr>
        <w:t xml:space="preserve"> </w:t>
      </w:r>
      <w:r w:rsidR="007627AA" w:rsidRPr="00330942">
        <w:rPr>
          <w:rFonts w:ascii="Franklin Gothic Book" w:hAnsi="Franklin Gothic Book"/>
          <w:sz w:val="22"/>
        </w:rPr>
        <w:t xml:space="preserve">The </w:t>
      </w:r>
      <w:r w:rsidR="00053087" w:rsidRPr="00330942">
        <w:rPr>
          <w:rFonts w:ascii="Franklin Gothic Book" w:hAnsi="Franklin Gothic Book"/>
          <w:sz w:val="22"/>
        </w:rPr>
        <w:t>commentary</w:t>
      </w:r>
      <w:r w:rsidR="007627AA" w:rsidRPr="00330942">
        <w:rPr>
          <w:rFonts w:ascii="Franklin Gothic Book" w:hAnsi="Franklin Gothic Book"/>
          <w:sz w:val="22"/>
        </w:rPr>
        <w:t xml:space="preserve"> considered that t</w:t>
      </w:r>
      <w:r w:rsidR="00EA0FA5" w:rsidRPr="00330942">
        <w:rPr>
          <w:rFonts w:ascii="Franklin Gothic Book" w:hAnsi="Franklin Gothic Book"/>
          <w:sz w:val="22"/>
        </w:rPr>
        <w:t>he safety of the test, especially relating to re</w:t>
      </w:r>
      <w:r w:rsidR="005740A1" w:rsidRPr="00330942">
        <w:rPr>
          <w:rFonts w:ascii="Franklin Gothic Book" w:hAnsi="Franklin Gothic Book" w:cstheme="minorHAnsi"/>
          <w:sz w:val="22"/>
        </w:rPr>
        <w:noBreakHyphen/>
      </w:r>
      <w:r w:rsidR="00EA0FA5" w:rsidRPr="00330942">
        <w:rPr>
          <w:rFonts w:ascii="Franklin Gothic Book" w:hAnsi="Franklin Gothic Book"/>
          <w:sz w:val="22"/>
        </w:rPr>
        <w:t>biopsy, should be considered unknown. Given the proposed MBS item descriptor restricts benefit to once per lifetime, re-biopsies may be rare. However, the diagnostic yield of FGFR2 fusion/rearrangement may vary depending on the stage of disease</w:t>
      </w:r>
      <w:r w:rsidR="0049194C" w:rsidRPr="00330942">
        <w:rPr>
          <w:rFonts w:ascii="Franklin Gothic Book" w:hAnsi="Franklin Gothic Book"/>
          <w:sz w:val="22"/>
        </w:rPr>
        <w:t xml:space="preserve"> (see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_Ref198447157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6</w:t>
      </w:r>
      <w:r w:rsidR="001F5863" w:rsidRPr="001F5863">
        <w:rPr>
          <w:rFonts w:ascii="Franklin Gothic Book" w:hAnsi="Franklin Gothic Book"/>
          <w:sz w:val="22"/>
        </w:rPr>
        <w:fldChar w:fldCharType="end"/>
      </w:r>
      <w:r w:rsidR="001F5863">
        <w:rPr>
          <w:rFonts w:ascii="Franklin Gothic Book" w:hAnsi="Franklin Gothic Book"/>
          <w:sz w:val="22"/>
        </w:rPr>
        <w:t xml:space="preserve"> </w:t>
      </w:r>
      <w:r w:rsidR="003145A2" w:rsidRPr="00330942">
        <w:rPr>
          <w:rFonts w:ascii="Franklin Gothic Book" w:hAnsi="Franklin Gothic Book"/>
          <w:sz w:val="22"/>
        </w:rPr>
        <w:t>and discussion below)</w:t>
      </w:r>
      <w:r w:rsidR="00EA0FA5" w:rsidRPr="00330942">
        <w:rPr>
          <w:rFonts w:ascii="Franklin Gothic Book" w:hAnsi="Franklin Gothic Book"/>
          <w:sz w:val="22"/>
        </w:rPr>
        <w:t>, and given the discrepancy between the timing of testing suggested by the PASC (at diagnosis of CCA) and by the submission (only for locally advanced or metastatic), there may be clinical reasons for re</w:t>
      </w:r>
      <w:r w:rsidR="00293818" w:rsidRPr="00330942">
        <w:rPr>
          <w:rFonts w:ascii="Franklin Gothic Book" w:hAnsi="Franklin Gothic Book" w:cstheme="minorHAnsi"/>
          <w:sz w:val="22"/>
        </w:rPr>
        <w:noBreakHyphen/>
      </w:r>
      <w:r w:rsidR="00EA0FA5" w:rsidRPr="00330942">
        <w:rPr>
          <w:rFonts w:ascii="Franklin Gothic Book" w:hAnsi="Franklin Gothic Book"/>
          <w:sz w:val="22"/>
        </w:rPr>
        <w:t>biopsy in some patients despite the once per lifetime restriction</w:t>
      </w:r>
      <w:r w:rsidR="00E25FA8" w:rsidRPr="00330942">
        <w:rPr>
          <w:rFonts w:ascii="Franklin Gothic Book" w:hAnsi="Franklin Gothic Book"/>
          <w:sz w:val="22"/>
        </w:rPr>
        <w:t>.</w:t>
      </w:r>
    </w:p>
    <w:p w14:paraId="0F99F8F7" w14:textId="77777777" w:rsidR="0062726F" w:rsidRPr="00330942" w:rsidRDefault="0062726F" w:rsidP="00565A06">
      <w:pPr>
        <w:pStyle w:val="Heading4"/>
        <w:rPr>
          <w:rFonts w:ascii="Franklin Gothic Book" w:hAnsi="Franklin Gothic Book"/>
          <w:color w:val="auto"/>
        </w:rPr>
      </w:pPr>
      <w:r w:rsidRPr="00330942">
        <w:rPr>
          <w:rFonts w:ascii="Franklin Gothic Book" w:hAnsi="Franklin Gothic Book"/>
          <w:color w:val="auto"/>
        </w:rPr>
        <w:t>Adverse events from changes in management</w:t>
      </w:r>
    </w:p>
    <w:p w14:paraId="297034F9" w14:textId="15FDF6FD" w:rsidR="00EA0FA5" w:rsidRPr="00330942" w:rsidRDefault="00EA0FA5" w:rsidP="00330942">
      <w:pPr>
        <w:jc w:val="left"/>
        <w:rPr>
          <w:rFonts w:ascii="Franklin Gothic Book" w:hAnsi="Franklin Gothic Book"/>
          <w:sz w:val="22"/>
        </w:rPr>
      </w:pPr>
      <w:r w:rsidRPr="00330942">
        <w:rPr>
          <w:rFonts w:ascii="Franklin Gothic Book" w:hAnsi="Franklin Gothic Book"/>
          <w:sz w:val="22"/>
        </w:rPr>
        <w:t xml:space="preserve">The submission did not present the consequences of false positives (resulting in patients without FGFR2 alterations receiving futibatinib), or false negatives (resulting in patients with FGFR2 alterations not receiving futibatinib). Although it would be expected that false negatives would result in patient management and outcomes consistent with current care, with potentially foregone benefit, </w:t>
      </w:r>
      <w:r w:rsidR="00053087" w:rsidRPr="00330942">
        <w:rPr>
          <w:rFonts w:ascii="Franklin Gothic Book" w:hAnsi="Franklin Gothic Book"/>
          <w:sz w:val="22"/>
        </w:rPr>
        <w:t xml:space="preserve">the commentary noted that </w:t>
      </w:r>
      <w:r w:rsidRPr="00330942">
        <w:rPr>
          <w:rFonts w:ascii="Franklin Gothic Book" w:hAnsi="Franklin Gothic Book"/>
          <w:sz w:val="22"/>
        </w:rPr>
        <w:t xml:space="preserve">no data has been presented to estimate the impact of patients </w:t>
      </w:r>
      <w:r w:rsidR="00CA6ACA" w:rsidRPr="00330942">
        <w:rPr>
          <w:rFonts w:ascii="Franklin Gothic Book" w:hAnsi="Franklin Gothic Book"/>
          <w:sz w:val="22"/>
        </w:rPr>
        <w:t xml:space="preserve">with </w:t>
      </w:r>
      <w:r w:rsidR="00FB6724" w:rsidRPr="00330942">
        <w:rPr>
          <w:rFonts w:ascii="Franklin Gothic Book" w:hAnsi="Franklin Gothic Book"/>
          <w:sz w:val="22"/>
        </w:rPr>
        <w:t>Wild Type</w:t>
      </w:r>
      <w:r w:rsidR="00CA6ACA" w:rsidRPr="00330942">
        <w:rPr>
          <w:rFonts w:ascii="Franklin Gothic Book" w:hAnsi="Franklin Gothic Book"/>
          <w:sz w:val="22"/>
        </w:rPr>
        <w:t xml:space="preserve"> FGFR2 </w:t>
      </w:r>
      <w:r w:rsidRPr="00330942">
        <w:rPr>
          <w:rFonts w:ascii="Franklin Gothic Book" w:hAnsi="Franklin Gothic Book"/>
          <w:sz w:val="22"/>
        </w:rPr>
        <w:t>receiving futibatinib.</w:t>
      </w:r>
    </w:p>
    <w:p w14:paraId="154ADD3A" w14:textId="39906C82" w:rsidR="00601106" w:rsidRPr="00330942" w:rsidRDefault="00522D72" w:rsidP="00330942">
      <w:pPr>
        <w:jc w:val="left"/>
        <w:rPr>
          <w:rFonts w:ascii="Franklin Gothic Book" w:hAnsi="Franklin Gothic Book"/>
          <w:sz w:val="22"/>
        </w:rPr>
      </w:pPr>
      <w:r w:rsidRPr="00330942">
        <w:rPr>
          <w:rFonts w:ascii="Franklin Gothic Book" w:hAnsi="Franklin Gothic Book"/>
          <w:sz w:val="22"/>
        </w:rPr>
        <w:t xml:space="preserve">The </w:t>
      </w:r>
      <w:r w:rsidR="00053087" w:rsidRPr="00330942">
        <w:rPr>
          <w:rFonts w:ascii="Franklin Gothic Book" w:hAnsi="Franklin Gothic Book"/>
          <w:sz w:val="22"/>
        </w:rPr>
        <w:t>commentary noted that</w:t>
      </w:r>
      <w:r w:rsidRPr="00330942">
        <w:rPr>
          <w:rFonts w:ascii="Franklin Gothic Book" w:hAnsi="Franklin Gothic Book"/>
          <w:sz w:val="22"/>
        </w:rPr>
        <w:t xml:space="preserve"> </w:t>
      </w:r>
      <w:r w:rsidR="007A00CB" w:rsidRPr="00330942">
        <w:rPr>
          <w:rFonts w:ascii="Franklin Gothic Book" w:hAnsi="Franklin Gothic Book"/>
          <w:sz w:val="22"/>
        </w:rPr>
        <w:t>n</w:t>
      </w:r>
      <w:r w:rsidR="00973307" w:rsidRPr="00330942">
        <w:rPr>
          <w:rFonts w:ascii="Franklin Gothic Book" w:hAnsi="Franklin Gothic Book"/>
          <w:sz w:val="22"/>
        </w:rPr>
        <w:t xml:space="preserve">o comparative safety evidence between futibatinib and FOLFOX was presented in the submission. </w:t>
      </w:r>
    </w:p>
    <w:p w14:paraId="4455F60B" w14:textId="3C83BE21" w:rsidR="00EE5014" w:rsidRPr="00330942" w:rsidRDefault="00EE5014" w:rsidP="00330942">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33" w:name="_Ref496866969"/>
      <w:bookmarkStart w:id="34" w:name="_Ref496866994"/>
      <w:bookmarkStart w:id="35" w:name="_Toc187865648"/>
      <w:r w:rsidRPr="00330942">
        <w:rPr>
          <w:rFonts w:ascii="Franklin Gothic Medium" w:hAnsi="Franklin Gothic Medium"/>
          <w:b w:val="0"/>
          <w:i w:val="0"/>
          <w:snapToGrid/>
          <w:color w:val="000000" w:themeColor="text1"/>
          <w:sz w:val="32"/>
          <w:szCs w:val="26"/>
        </w:rPr>
        <w:lastRenderedPageBreak/>
        <w:t>Comparative effectiveness</w:t>
      </w:r>
      <w:bookmarkEnd w:id="33"/>
      <w:bookmarkEnd w:id="34"/>
      <w:bookmarkEnd w:id="35"/>
    </w:p>
    <w:p w14:paraId="18E03DAF" w14:textId="768203A2" w:rsidR="00EA0FA5" w:rsidRPr="00353AB8" w:rsidRDefault="001F5863" w:rsidP="00353AB8">
      <w:pPr>
        <w:pStyle w:val="MSACESParagraph"/>
        <w:rPr>
          <w:rFonts w:ascii="Franklin Gothic Book" w:hAnsi="Franklin Gothic Book"/>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_Ref198447239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5</w:t>
      </w:r>
      <w:r w:rsidRPr="001F5863">
        <w:rPr>
          <w:rFonts w:ascii="Franklin Gothic Book" w:hAnsi="Franklin Gothic Book"/>
          <w:sz w:val="22"/>
        </w:rPr>
        <w:fldChar w:fldCharType="end"/>
      </w:r>
      <w:r w:rsidR="00EA0FA5" w:rsidRPr="00353AB8">
        <w:rPr>
          <w:rFonts w:ascii="Franklin Gothic Book" w:hAnsi="Franklin Gothic Book"/>
          <w:sz w:val="22"/>
        </w:rPr>
        <w:t xml:space="preserve"> presents the available data to inform the testing comparison. The </w:t>
      </w:r>
      <w:r w:rsidR="00053087" w:rsidRPr="00353AB8">
        <w:rPr>
          <w:rFonts w:ascii="Franklin Gothic Book" w:hAnsi="Franklin Gothic Book"/>
          <w:sz w:val="22"/>
        </w:rPr>
        <w:t>commentary noted</w:t>
      </w:r>
      <w:r w:rsidR="00CE24F4" w:rsidRPr="00353AB8">
        <w:rPr>
          <w:rFonts w:ascii="Franklin Gothic Book" w:hAnsi="Franklin Gothic Book"/>
          <w:sz w:val="22"/>
        </w:rPr>
        <w:t xml:space="preserve"> that</w:t>
      </w:r>
      <w:r w:rsidR="0036022E" w:rsidRPr="00353AB8">
        <w:rPr>
          <w:rFonts w:ascii="Franklin Gothic Book" w:hAnsi="Franklin Gothic Book"/>
          <w:sz w:val="22"/>
        </w:rPr>
        <w:t xml:space="preserve"> the </w:t>
      </w:r>
      <w:r w:rsidR="00EA0FA5" w:rsidRPr="00353AB8">
        <w:rPr>
          <w:rFonts w:ascii="Franklin Gothic Book" w:hAnsi="Franklin Gothic Book"/>
          <w:sz w:val="22"/>
        </w:rPr>
        <w:t xml:space="preserve">evidence was presented to estimate the impact of testing versus no testing, but no evidence was presented to estimate the impact of futibatinib treatment in biomarker negative patients. Additionally, no clinical data was presented for change of management. </w:t>
      </w:r>
    </w:p>
    <w:p w14:paraId="6794BCEF" w14:textId="763DB7F5" w:rsidR="00EA0FA5" w:rsidRPr="00353AB8" w:rsidRDefault="00EA0FA5" w:rsidP="00353AB8">
      <w:pPr>
        <w:pStyle w:val="MSACESParagraph"/>
        <w:rPr>
          <w:rFonts w:ascii="Franklin Gothic Book" w:hAnsi="Franklin Gothic Book"/>
          <w:sz w:val="22"/>
        </w:rPr>
      </w:pPr>
      <w:r w:rsidRPr="00353AB8">
        <w:rPr>
          <w:rFonts w:ascii="Franklin Gothic Book" w:hAnsi="Franklin Gothic Book"/>
          <w:sz w:val="22"/>
        </w:rPr>
        <w:t xml:space="preserve">Moreover, most of the included evidence reflected a test population of advanced or metastatic CCA. This is inconsistent with the PASC </w:t>
      </w:r>
      <w:r w:rsidR="003C5CBE" w:rsidRPr="00353AB8">
        <w:rPr>
          <w:rFonts w:ascii="Franklin Gothic Book" w:hAnsi="Franklin Gothic Book"/>
          <w:sz w:val="22"/>
        </w:rPr>
        <w:t xml:space="preserve">advice </w:t>
      </w:r>
      <w:r w:rsidRPr="00353AB8">
        <w:rPr>
          <w:rFonts w:ascii="Franklin Gothic Book" w:hAnsi="Franklin Gothic Book"/>
          <w:sz w:val="22"/>
        </w:rPr>
        <w:t xml:space="preserve">that testing occur </w:t>
      </w:r>
      <w:r w:rsidR="003C5CBE" w:rsidRPr="00353AB8">
        <w:rPr>
          <w:rFonts w:ascii="Franklin Gothic Book" w:hAnsi="Franklin Gothic Book"/>
          <w:sz w:val="22"/>
        </w:rPr>
        <w:t xml:space="preserve">in patients with CCA </w:t>
      </w:r>
      <w:r w:rsidRPr="00353AB8">
        <w:rPr>
          <w:rFonts w:ascii="Franklin Gothic Book" w:hAnsi="Franklin Gothic Book"/>
          <w:sz w:val="22"/>
        </w:rPr>
        <w:t>at</w:t>
      </w:r>
      <w:r w:rsidR="003C5CBE" w:rsidRPr="00353AB8">
        <w:rPr>
          <w:rFonts w:ascii="Franklin Gothic Book" w:hAnsi="Franklin Gothic Book"/>
          <w:sz w:val="22"/>
        </w:rPr>
        <w:t xml:space="preserve"> time of</w:t>
      </w:r>
      <w:r w:rsidRPr="00353AB8">
        <w:rPr>
          <w:rFonts w:ascii="Franklin Gothic Book" w:hAnsi="Franklin Gothic Book"/>
          <w:sz w:val="22"/>
        </w:rPr>
        <w:t xml:space="preserve"> diagnosis. </w:t>
      </w:r>
      <w:r w:rsidR="00053087" w:rsidRPr="00353AB8">
        <w:rPr>
          <w:rFonts w:ascii="Franklin Gothic Book" w:hAnsi="Franklin Gothic Book"/>
          <w:sz w:val="22"/>
        </w:rPr>
        <w:t>The commentary considered that t</w:t>
      </w:r>
      <w:r w:rsidRPr="00353AB8">
        <w:rPr>
          <w:rFonts w:ascii="Franklin Gothic Book" w:hAnsi="Franklin Gothic Book"/>
          <w:sz w:val="22"/>
        </w:rPr>
        <w:t xml:space="preserve">his difference could </w:t>
      </w:r>
      <w:r w:rsidR="003344AE" w:rsidRPr="00353AB8">
        <w:rPr>
          <w:rFonts w:ascii="Franklin Gothic Book" w:hAnsi="Franklin Gothic Book"/>
          <w:sz w:val="22"/>
        </w:rPr>
        <w:t xml:space="preserve">impact </w:t>
      </w:r>
      <w:r w:rsidR="007275AA" w:rsidRPr="00353AB8">
        <w:rPr>
          <w:rFonts w:ascii="Franklin Gothic Book" w:hAnsi="Franklin Gothic Book"/>
          <w:sz w:val="22"/>
        </w:rPr>
        <w:t>the</w:t>
      </w:r>
      <w:r w:rsidRPr="00353AB8">
        <w:rPr>
          <w:rFonts w:ascii="Franklin Gothic Book" w:hAnsi="Franklin Gothic Book"/>
          <w:sz w:val="22"/>
        </w:rPr>
        <w:t xml:space="preserve"> </w:t>
      </w:r>
      <w:r w:rsidR="00D85191" w:rsidRPr="00353AB8">
        <w:rPr>
          <w:rFonts w:ascii="Franklin Gothic Book" w:hAnsi="Franklin Gothic Book"/>
          <w:sz w:val="22"/>
        </w:rPr>
        <w:t>diagnostic yield of testing</w:t>
      </w:r>
      <w:r w:rsidR="003344AE" w:rsidRPr="00353AB8">
        <w:rPr>
          <w:rFonts w:ascii="Franklin Gothic Book" w:hAnsi="Franklin Gothic Book"/>
          <w:sz w:val="22"/>
        </w:rPr>
        <w:t>.</w:t>
      </w:r>
    </w:p>
    <w:p w14:paraId="0043C9B7" w14:textId="446C1A99" w:rsidR="00EA0FA5" w:rsidRPr="00B27879" w:rsidRDefault="009D316D" w:rsidP="009D316D">
      <w:pPr>
        <w:pStyle w:val="Caption"/>
      </w:pPr>
      <w:bookmarkStart w:id="36" w:name="_Ref198447239"/>
      <w:bookmarkStart w:id="37" w:name="_Ref496876353"/>
      <w:r>
        <w:t xml:space="preserve">Table </w:t>
      </w:r>
      <w:r>
        <w:fldChar w:fldCharType="begin"/>
      </w:r>
      <w:r>
        <w:instrText>SEQ Table \* ARABIC</w:instrText>
      </w:r>
      <w:r>
        <w:fldChar w:fldCharType="separate"/>
      </w:r>
      <w:r w:rsidR="005B1C7E">
        <w:rPr>
          <w:noProof/>
        </w:rPr>
        <w:t>5</w:t>
      </w:r>
      <w:r>
        <w:fldChar w:fldCharType="end"/>
      </w:r>
      <w:bookmarkEnd w:id="36"/>
      <w:r>
        <w:tab/>
      </w:r>
      <w:bookmarkEnd w:id="37"/>
      <w:r w:rsidR="00EA0FA5" w:rsidRPr="00B27879">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3260"/>
        <w:gridCol w:w="2927"/>
      </w:tblGrid>
      <w:tr w:rsidR="007900E9" w:rsidRPr="00B27879" w14:paraId="6EF6934D"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E12AC" w14:textId="77777777" w:rsidR="00EA0FA5" w:rsidRPr="00B27879" w:rsidRDefault="00EA0FA5" w:rsidP="001B14D8">
            <w:pPr>
              <w:pStyle w:val="TableText"/>
            </w:pPr>
            <w:r w:rsidRPr="00B27879">
              <w:t>Proposed test vs no test</w:t>
            </w:r>
          </w:p>
        </w:tc>
        <w:tc>
          <w:tcPr>
            <w:tcW w:w="3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F3C3C" w14:textId="77777777" w:rsidR="00EA0FA5" w:rsidRPr="00B27879" w:rsidRDefault="00EA0FA5" w:rsidP="001B14D8">
            <w:pPr>
              <w:pStyle w:val="TableText"/>
              <w:jc w:val="center"/>
              <w:rPr>
                <w:b/>
              </w:rPr>
            </w:pPr>
            <w:r w:rsidRPr="00B27879">
              <w:t>No study</w:t>
            </w:r>
          </w:p>
        </w:tc>
      </w:tr>
      <w:tr w:rsidR="007900E9" w:rsidRPr="00B27879" w14:paraId="65327994"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DD215" w14:textId="41910E18" w:rsidR="00EA0FA5" w:rsidRPr="006C1532" w:rsidRDefault="00EA0FA5" w:rsidP="001B14D8">
            <w:pPr>
              <w:pStyle w:val="TableText"/>
              <w:rPr>
                <w:vertAlign w:val="superscript"/>
              </w:rPr>
            </w:pPr>
            <w:r w:rsidRPr="00B27879">
              <w:t>Proposed test vs alternative test</w:t>
            </w:r>
            <w:r w:rsidR="006C1532">
              <w:t xml:space="preserve"> </w:t>
            </w:r>
            <w:r w:rsidR="006C1532">
              <w:rPr>
                <w:vertAlign w:val="superscript"/>
              </w:rPr>
              <w:t>a</w:t>
            </w:r>
          </w:p>
        </w:tc>
        <w:tc>
          <w:tcPr>
            <w:tcW w:w="3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132B0" w14:textId="77777777" w:rsidR="00EA0FA5" w:rsidRPr="00B27879" w:rsidRDefault="00EA0FA5" w:rsidP="001B14D8">
            <w:pPr>
              <w:pStyle w:val="TableText"/>
              <w:jc w:val="center"/>
              <w:rPr>
                <w:b/>
              </w:rPr>
            </w:pPr>
            <w:r w:rsidRPr="00B27879">
              <w:rPr>
                <w:lang w:bidi="en-US"/>
              </w:rPr>
              <w:t>Silverman 2022 and F1CDx Technical Information, Zou 2023</w:t>
            </w:r>
          </w:p>
        </w:tc>
      </w:tr>
      <w:tr w:rsidR="007900E9" w:rsidRPr="00B27879" w14:paraId="11D1A58B"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F1554" w14:textId="77777777" w:rsidR="00EA0FA5" w:rsidRPr="00B27879" w:rsidRDefault="00EA0FA5" w:rsidP="001B14D8">
            <w:pPr>
              <w:pStyle w:val="TableText"/>
            </w:pP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22D4E" w14:textId="4C2E423D" w:rsidR="00EA0FA5" w:rsidRPr="00B27879" w:rsidRDefault="00EA0FA5" w:rsidP="001B14D8">
            <w:pPr>
              <w:pStyle w:val="TableText"/>
              <w:jc w:val="center"/>
              <w:rPr>
                <w:b/>
                <w:bCs/>
              </w:rPr>
            </w:pPr>
            <w:r w:rsidRPr="2914E55D">
              <w:rPr>
                <w:b/>
                <w:bCs/>
              </w:rPr>
              <w:t>Futibatinib</w:t>
            </w:r>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0D17D" w14:textId="77777777" w:rsidR="00EA0FA5" w:rsidRPr="00B27879" w:rsidRDefault="00EA0FA5" w:rsidP="001B14D8">
            <w:pPr>
              <w:pStyle w:val="TableText"/>
              <w:jc w:val="center"/>
              <w:rPr>
                <w:b/>
              </w:rPr>
            </w:pPr>
            <w:r w:rsidRPr="00B27879">
              <w:rPr>
                <w:b/>
              </w:rPr>
              <w:t>SoC</w:t>
            </w:r>
          </w:p>
        </w:tc>
      </w:tr>
      <w:tr w:rsidR="007900E9" w:rsidRPr="00B27879" w14:paraId="11B3A3BF"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88603" w14:textId="738D01D6" w:rsidR="00EA0FA5" w:rsidRPr="00B27879" w:rsidRDefault="00EA0FA5" w:rsidP="001B14D8">
            <w:pPr>
              <w:pStyle w:val="TableText"/>
            </w:pPr>
            <w:r w:rsidRPr="2914E55D">
              <w:t>Biomarker test positive</w:t>
            </w: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9E3A0" w14:textId="77777777" w:rsidR="00EA0FA5" w:rsidRPr="00B27879" w:rsidRDefault="00EA0FA5" w:rsidP="001B14D8">
            <w:pPr>
              <w:pStyle w:val="TableText"/>
              <w:jc w:val="center"/>
            </w:pPr>
            <w:r w:rsidRPr="00B27879">
              <w:t>FOENIX-CCA2</w:t>
            </w:r>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E565A" w14:textId="77777777" w:rsidR="00EA0FA5" w:rsidRPr="00B27879" w:rsidRDefault="00EA0FA5" w:rsidP="001B14D8">
            <w:pPr>
              <w:pStyle w:val="TableText"/>
              <w:jc w:val="center"/>
            </w:pPr>
            <w:r w:rsidRPr="00B27879">
              <w:t>Jain 2018</w:t>
            </w:r>
          </w:p>
        </w:tc>
      </w:tr>
      <w:tr w:rsidR="007900E9" w:rsidRPr="00B27879" w14:paraId="43DE7974"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DA330" w14:textId="3D739D8E" w:rsidR="00EA0FA5" w:rsidRPr="00B27879" w:rsidRDefault="00EA0FA5" w:rsidP="001B14D8">
            <w:pPr>
              <w:pStyle w:val="TableText"/>
            </w:pPr>
            <w:r w:rsidRPr="2914E55D">
              <w:t>Biomarker test negative</w:t>
            </w:r>
            <w:r w:rsidRPr="2914E55D">
              <w:rPr>
                <w:b/>
                <w:bCs/>
              </w:rPr>
              <w:t xml:space="preserve"> </w:t>
            </w: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8A493F" w14:textId="77777777" w:rsidR="00EA0FA5" w:rsidRPr="00B27879" w:rsidRDefault="00EA0FA5" w:rsidP="001B14D8">
            <w:pPr>
              <w:pStyle w:val="TableText"/>
              <w:jc w:val="center"/>
            </w:pPr>
            <w:r w:rsidRPr="00B27879">
              <w:t>No evidence presented</w:t>
            </w:r>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8C36F" w14:textId="77777777" w:rsidR="00EA0FA5" w:rsidRPr="00B27879" w:rsidRDefault="00EA0FA5" w:rsidP="001B14D8">
            <w:pPr>
              <w:pStyle w:val="TableText"/>
              <w:jc w:val="center"/>
            </w:pPr>
            <w:r w:rsidRPr="00B27879">
              <w:t>Jain 2018; Niu 2024</w:t>
            </w:r>
          </w:p>
        </w:tc>
      </w:tr>
    </w:tbl>
    <w:p w14:paraId="48E621D8" w14:textId="77777777" w:rsidR="00EA0FA5" w:rsidRDefault="00EA0FA5" w:rsidP="001B14D8">
      <w:pPr>
        <w:pStyle w:val="TableFooter"/>
      </w:pPr>
      <w:r w:rsidRPr="00B27879">
        <w:t>Source: pp57-91 of the submission.</w:t>
      </w:r>
    </w:p>
    <w:p w14:paraId="3FC29959" w14:textId="1DED0631" w:rsidR="006C1532" w:rsidRPr="006C1532" w:rsidRDefault="006C1532" w:rsidP="001B14D8">
      <w:pPr>
        <w:pStyle w:val="TableFooter"/>
      </w:pPr>
      <w:r w:rsidRPr="2914E55D">
        <w:rPr>
          <w:vertAlign w:val="superscript"/>
        </w:rPr>
        <w:t>a</w:t>
      </w:r>
      <w:r w:rsidRPr="2914E55D">
        <w:t xml:space="preserve"> Alternative test is next generation sequencing on DNA. </w:t>
      </w:r>
    </w:p>
    <w:p w14:paraId="3FAD38FB" w14:textId="3CBC3888" w:rsidR="00EA0FA5" w:rsidRPr="00B27879" w:rsidRDefault="00EA0FA5" w:rsidP="001B14D8">
      <w:pPr>
        <w:pStyle w:val="TableFooter"/>
      </w:pPr>
      <w:r w:rsidRPr="2914E55D">
        <w:t>F1CDx = Foundation One CDx assay; SoC = standard of care</w:t>
      </w:r>
    </w:p>
    <w:p w14:paraId="18D51F81" w14:textId="77777777" w:rsidR="00D44F9D" w:rsidRPr="00353AB8" w:rsidRDefault="00D44F9D" w:rsidP="00565A06">
      <w:pPr>
        <w:pStyle w:val="Heading4"/>
        <w:rPr>
          <w:rFonts w:ascii="Franklin Gothic Book" w:hAnsi="Franklin Gothic Book"/>
          <w:color w:val="auto"/>
        </w:rPr>
      </w:pPr>
      <w:r w:rsidRPr="00353AB8">
        <w:rPr>
          <w:rFonts w:ascii="Franklin Gothic Book" w:hAnsi="Franklin Gothic Book"/>
          <w:color w:val="auto"/>
        </w:rPr>
        <w:t xml:space="preserve">Comparative accuracy/test performance </w:t>
      </w:r>
    </w:p>
    <w:p w14:paraId="786AD827" w14:textId="715A71EF" w:rsidR="00454B6C" w:rsidRPr="00353AB8" w:rsidRDefault="00454B6C" w:rsidP="00353AB8">
      <w:pPr>
        <w:keepNext/>
        <w:keepLines/>
        <w:jc w:val="left"/>
        <w:rPr>
          <w:rFonts w:ascii="Franklin Gothic Book" w:hAnsi="Franklin Gothic Book"/>
          <w:sz w:val="22"/>
          <w:u w:val="single"/>
        </w:rPr>
      </w:pPr>
      <w:r w:rsidRPr="00353AB8">
        <w:rPr>
          <w:rFonts w:ascii="Franklin Gothic Book" w:hAnsi="Franklin Gothic Book"/>
          <w:sz w:val="22"/>
          <w:u w:val="single"/>
        </w:rPr>
        <w:t>Diagnostic yield</w:t>
      </w:r>
    </w:p>
    <w:p w14:paraId="649B57CC" w14:textId="4CE32DEB" w:rsidR="00454B6C" w:rsidRPr="00353AB8" w:rsidRDefault="00454B6C" w:rsidP="00353AB8">
      <w:pPr>
        <w:keepNext/>
        <w:keepLines/>
        <w:jc w:val="left"/>
        <w:rPr>
          <w:rFonts w:ascii="Franklin Gothic Book" w:hAnsi="Franklin Gothic Book"/>
          <w:sz w:val="22"/>
        </w:rPr>
      </w:pPr>
      <w:r w:rsidRPr="00353AB8">
        <w:rPr>
          <w:rFonts w:ascii="Franklin Gothic Book" w:hAnsi="Franklin Gothic Book"/>
          <w:sz w:val="22"/>
        </w:rPr>
        <w:t xml:space="preserve">The submission defined diagnostic yield as the inverse of the “number of patients with advanced CCA who need to be tested using RNA NGS to identify one patient with an </w:t>
      </w:r>
      <w:r w:rsidRPr="00353AB8">
        <w:rPr>
          <w:rFonts w:ascii="Franklin Gothic Book" w:hAnsi="Franklin Gothic Book"/>
          <w:i/>
          <w:iCs/>
          <w:sz w:val="22"/>
        </w:rPr>
        <w:t>FGFR2</w:t>
      </w:r>
      <w:r w:rsidRPr="00353AB8">
        <w:rPr>
          <w:rFonts w:ascii="Franklin Gothic Book" w:hAnsi="Franklin Gothic Book"/>
          <w:sz w:val="22"/>
        </w:rPr>
        <w:t xml:space="preserve"> alteration” (p57 of the submission). </w:t>
      </w:r>
      <w:r w:rsidR="009E4CD6" w:rsidRPr="00353AB8">
        <w:rPr>
          <w:rFonts w:ascii="Franklin Gothic Book" w:hAnsi="Franklin Gothic Book"/>
          <w:sz w:val="22"/>
        </w:rPr>
        <w:t xml:space="preserve">Given there </w:t>
      </w:r>
      <w:r w:rsidR="00E4030D" w:rsidRPr="00353AB8">
        <w:rPr>
          <w:rFonts w:ascii="Franklin Gothic Book" w:hAnsi="Franklin Gothic Book"/>
          <w:sz w:val="22"/>
        </w:rPr>
        <w:t xml:space="preserve">may be some patients who are not tested, </w:t>
      </w:r>
      <w:r w:rsidR="005349AA" w:rsidRPr="00353AB8">
        <w:rPr>
          <w:rFonts w:ascii="Franklin Gothic Book" w:hAnsi="Franklin Gothic Book"/>
          <w:sz w:val="22"/>
        </w:rPr>
        <w:t xml:space="preserve">or in whom treatment may be futile, the biomarker prevalence among those tested is likely less than the biomarker prevalence among all cases. </w:t>
      </w:r>
      <w:r w:rsidR="00B60048" w:rsidRPr="00353AB8">
        <w:rPr>
          <w:rFonts w:ascii="Franklin Gothic Book" w:hAnsi="Franklin Gothic Book"/>
          <w:sz w:val="22"/>
        </w:rPr>
        <w:t>Nonetheless, for the purpose of the commentary</w:t>
      </w:r>
      <w:r w:rsidR="003E555A" w:rsidRPr="00353AB8">
        <w:rPr>
          <w:rFonts w:ascii="Franklin Gothic Book" w:hAnsi="Franklin Gothic Book"/>
          <w:sz w:val="22"/>
        </w:rPr>
        <w:t>,</w:t>
      </w:r>
      <w:r w:rsidR="00B60048" w:rsidRPr="00353AB8">
        <w:rPr>
          <w:rFonts w:ascii="Franklin Gothic Book" w:hAnsi="Franklin Gothic Book"/>
          <w:sz w:val="22"/>
        </w:rPr>
        <w:t xml:space="preserve"> diagnostic yield and prevalence are used interchangeably to be consistent with the submission. </w:t>
      </w:r>
    </w:p>
    <w:p w14:paraId="3F3F5F3F" w14:textId="4DB76A9A" w:rsidR="00454B6C" w:rsidRPr="00353AB8" w:rsidRDefault="00454B6C" w:rsidP="00353AB8">
      <w:pPr>
        <w:jc w:val="left"/>
        <w:rPr>
          <w:rFonts w:ascii="Franklin Gothic Book" w:hAnsi="Franklin Gothic Book"/>
          <w:sz w:val="22"/>
        </w:rPr>
      </w:pPr>
      <w:r w:rsidRPr="00353AB8">
        <w:rPr>
          <w:rFonts w:ascii="Franklin Gothic Book" w:hAnsi="Franklin Gothic Book"/>
          <w:sz w:val="22"/>
        </w:rPr>
        <w:t xml:space="preserve">The submission (p65) claimed that the literature search described above identified five citations providing data from five studies on the diagnostic yield of </w:t>
      </w:r>
      <w:r w:rsidRPr="00353AB8">
        <w:rPr>
          <w:rFonts w:ascii="Franklin Gothic Book" w:hAnsi="Franklin Gothic Book"/>
          <w:i/>
          <w:iCs/>
          <w:sz w:val="22"/>
        </w:rPr>
        <w:t>FGFR2</w:t>
      </w:r>
      <w:r w:rsidRPr="00353AB8">
        <w:rPr>
          <w:rFonts w:ascii="Franklin Gothic Book" w:hAnsi="Franklin Gothic Book"/>
          <w:sz w:val="22"/>
        </w:rPr>
        <w:t xml:space="preserve"> fusions or rearrangements (alterations) testing in patients with locally advanced or metastatic CCA. </w:t>
      </w:r>
      <w:r w:rsidR="00FA3ED5" w:rsidRPr="00353AB8">
        <w:rPr>
          <w:rFonts w:ascii="Franklin Gothic Book" w:hAnsi="Franklin Gothic Book"/>
          <w:sz w:val="22"/>
        </w:rPr>
        <w:t>However,</w:t>
      </w:r>
      <w:r w:rsidRPr="00353AB8">
        <w:rPr>
          <w:rFonts w:ascii="Franklin Gothic Book" w:hAnsi="Franklin Gothic Book"/>
          <w:sz w:val="22"/>
        </w:rPr>
        <w:t xml:space="preserve"> </w:t>
      </w:r>
      <w:r w:rsidR="00053087" w:rsidRPr="00353AB8">
        <w:rPr>
          <w:rFonts w:ascii="Franklin Gothic Book" w:hAnsi="Franklin Gothic Book"/>
          <w:sz w:val="22"/>
        </w:rPr>
        <w:t xml:space="preserve">the commentary noted that </w:t>
      </w:r>
      <w:r w:rsidR="00DF7D73" w:rsidRPr="00353AB8">
        <w:rPr>
          <w:rFonts w:ascii="Franklin Gothic Book" w:hAnsi="Franklin Gothic Book"/>
          <w:sz w:val="22"/>
        </w:rPr>
        <w:t xml:space="preserve">a total of </w:t>
      </w:r>
      <w:r w:rsidRPr="00353AB8">
        <w:rPr>
          <w:rFonts w:ascii="Franklin Gothic Book" w:hAnsi="Franklin Gothic Book"/>
          <w:sz w:val="22"/>
        </w:rPr>
        <w:t xml:space="preserve">six studies were used to inform diagnostic yield as presented below. Studies were eligible for inclusion for this </w:t>
      </w:r>
      <w:r w:rsidR="00E573D2" w:rsidRPr="00353AB8">
        <w:rPr>
          <w:rFonts w:ascii="Franklin Gothic Book" w:hAnsi="Franklin Gothic Book"/>
          <w:sz w:val="22"/>
        </w:rPr>
        <w:t xml:space="preserve">specific </w:t>
      </w:r>
      <w:r w:rsidRPr="00353AB8">
        <w:rPr>
          <w:rFonts w:ascii="Franklin Gothic Book" w:hAnsi="Franklin Gothic Book"/>
          <w:sz w:val="22"/>
        </w:rPr>
        <w:t>outcome</w:t>
      </w:r>
      <w:r w:rsidR="00E573D2" w:rsidRPr="00353AB8">
        <w:rPr>
          <w:rFonts w:ascii="Franklin Gothic Book" w:hAnsi="Franklin Gothic Book"/>
          <w:sz w:val="22"/>
        </w:rPr>
        <w:t xml:space="preserve"> (i.e. diagnostic yield)</w:t>
      </w:r>
      <w:r w:rsidRPr="00353AB8">
        <w:rPr>
          <w:rFonts w:ascii="Franklin Gothic Book" w:hAnsi="Franklin Gothic Book"/>
          <w:sz w:val="22"/>
        </w:rPr>
        <w:t xml:space="preserve"> if</w:t>
      </w:r>
      <w:r w:rsidR="00706A6F" w:rsidRPr="00353AB8">
        <w:rPr>
          <w:rFonts w:ascii="Franklin Gothic Book" w:hAnsi="Franklin Gothic Book"/>
          <w:sz w:val="22"/>
        </w:rPr>
        <w:t xml:space="preserve"> </w:t>
      </w:r>
      <w:r w:rsidRPr="00353AB8">
        <w:rPr>
          <w:rFonts w:ascii="Franklin Gothic Book" w:hAnsi="Franklin Gothic Book"/>
          <w:sz w:val="22"/>
        </w:rPr>
        <w:t xml:space="preserve">at least 75% of the population had advanced </w:t>
      </w:r>
      <w:r w:rsidR="00F07E63" w:rsidRPr="00353AB8">
        <w:rPr>
          <w:rFonts w:ascii="Franklin Gothic Book" w:hAnsi="Franklin Gothic Book"/>
          <w:sz w:val="22"/>
        </w:rPr>
        <w:t xml:space="preserve">(stage III/IV) </w:t>
      </w:r>
      <w:r w:rsidRPr="00353AB8">
        <w:rPr>
          <w:rFonts w:ascii="Franklin Gothic Book" w:hAnsi="Franklin Gothic Book"/>
          <w:sz w:val="22"/>
        </w:rPr>
        <w:t xml:space="preserve">CCA and </w:t>
      </w:r>
      <w:r w:rsidR="00706A6F" w:rsidRPr="00353AB8">
        <w:rPr>
          <w:rFonts w:ascii="Franklin Gothic Book" w:hAnsi="Franklin Gothic Book"/>
          <w:sz w:val="22"/>
        </w:rPr>
        <w:t>te</w:t>
      </w:r>
      <w:r w:rsidRPr="00353AB8">
        <w:rPr>
          <w:rFonts w:ascii="Franklin Gothic Book" w:hAnsi="Franklin Gothic Book"/>
          <w:sz w:val="22"/>
        </w:rPr>
        <w:t xml:space="preserve">sting was predominantly carried out using NGS. </w:t>
      </w:r>
      <w:r w:rsidR="00FA3ED5" w:rsidRPr="00353AB8">
        <w:rPr>
          <w:rFonts w:ascii="Franklin Gothic Book" w:hAnsi="Franklin Gothic Book"/>
          <w:sz w:val="22"/>
        </w:rPr>
        <w:t>However,</w:t>
      </w:r>
      <w:r w:rsidRPr="00353AB8">
        <w:rPr>
          <w:rFonts w:ascii="Franklin Gothic Book" w:hAnsi="Franklin Gothic Book"/>
          <w:sz w:val="22"/>
        </w:rPr>
        <w:t xml:space="preserve"> FISH was nominated as an alternative test</w:t>
      </w:r>
      <w:r w:rsidR="00BE4EA5" w:rsidRPr="00353AB8">
        <w:rPr>
          <w:rFonts w:ascii="Franklin Gothic Book" w:hAnsi="Franklin Gothic Book"/>
          <w:sz w:val="22"/>
        </w:rPr>
        <w:t xml:space="preserve"> in the submission</w:t>
      </w:r>
      <w:r w:rsidRPr="00353AB8">
        <w:rPr>
          <w:rFonts w:ascii="Franklin Gothic Book" w:hAnsi="Franklin Gothic Book"/>
          <w:sz w:val="22"/>
        </w:rPr>
        <w:t xml:space="preserve"> and was included as part of the research questions mapped to the assessment framework in the 1779 Ratified PICO therefore</w:t>
      </w:r>
      <w:r w:rsidR="005F683F" w:rsidRPr="00353AB8">
        <w:rPr>
          <w:rFonts w:ascii="Franklin Gothic Book" w:hAnsi="Franklin Gothic Book"/>
          <w:sz w:val="22"/>
        </w:rPr>
        <w:t xml:space="preserve"> the </w:t>
      </w:r>
      <w:r w:rsidR="00053087" w:rsidRPr="00353AB8">
        <w:rPr>
          <w:rFonts w:ascii="Franklin Gothic Book" w:hAnsi="Franklin Gothic Book"/>
          <w:sz w:val="22"/>
        </w:rPr>
        <w:t>commentary</w:t>
      </w:r>
      <w:r w:rsidR="005F683F" w:rsidRPr="00353AB8">
        <w:rPr>
          <w:rFonts w:ascii="Franklin Gothic Book" w:hAnsi="Franklin Gothic Book"/>
          <w:sz w:val="22"/>
        </w:rPr>
        <w:t xml:space="preserve"> considered</w:t>
      </w:r>
      <w:r w:rsidRPr="00353AB8">
        <w:rPr>
          <w:rFonts w:ascii="Franklin Gothic Book" w:hAnsi="Franklin Gothic Book"/>
          <w:sz w:val="22"/>
        </w:rPr>
        <w:t xml:space="preserve"> its exclusion may not be appropriate. </w:t>
      </w:r>
    </w:p>
    <w:p w14:paraId="7D35D1FE" w14:textId="77777777" w:rsidR="00454B6C" w:rsidRPr="00353AB8" w:rsidRDefault="00454B6C"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 xml:space="preserve">The following studies were included to inform diagnostic yield: </w:t>
      </w:r>
    </w:p>
    <w:p w14:paraId="14C602E0" w14:textId="336BAE04" w:rsidR="00454B6C" w:rsidRPr="00353AB8" w:rsidRDefault="00454B6C" w:rsidP="00353AB8">
      <w:pPr>
        <w:pStyle w:val="InstructionalText"/>
        <w:numPr>
          <w:ilvl w:val="0"/>
          <w:numId w:val="18"/>
        </w:numPr>
        <w:spacing w:after="120"/>
        <w:ind w:left="709" w:hanging="352"/>
        <w:jc w:val="left"/>
        <w:rPr>
          <w:rFonts w:ascii="Franklin Gothic Book" w:hAnsi="Franklin Gothic Book"/>
          <w:i/>
          <w:iCs/>
          <w:color w:val="auto"/>
          <w:sz w:val="22"/>
        </w:rPr>
      </w:pPr>
      <w:r w:rsidRPr="00353AB8">
        <w:rPr>
          <w:rFonts w:ascii="Franklin Gothic Book" w:hAnsi="Franklin Gothic Book"/>
          <w:color w:val="auto"/>
          <w:sz w:val="22"/>
        </w:rPr>
        <w:t>Jain 2018</w:t>
      </w:r>
      <w:r w:rsidR="00FE29C1" w:rsidRPr="00353AB8">
        <w:rPr>
          <w:rStyle w:val="FootnoteReference"/>
          <w:rFonts w:ascii="Franklin Gothic Book" w:hAnsi="Franklin Gothic Book"/>
          <w:color w:val="auto"/>
          <w:sz w:val="22"/>
        </w:rPr>
        <w:footnoteReference w:id="7"/>
      </w:r>
      <w:r w:rsidRPr="00353AB8">
        <w:rPr>
          <w:rFonts w:ascii="Franklin Gothic Book" w:hAnsi="Franklin Gothic Book"/>
          <w:color w:val="auto"/>
          <w:sz w:val="22"/>
        </w:rPr>
        <w:t>: a multicentre, retrospective analysis of 95 patients who had pathologically confirmed biliary cancer between January 2000 and December 2015. Patients had at least 3 months of follow up, and had FGFR alterations (</w:t>
      </w:r>
      <w:r w:rsidRPr="00353AB8">
        <w:rPr>
          <w:rFonts w:ascii="Franklin Gothic Book" w:hAnsi="Franklin Gothic Book"/>
          <w:i/>
          <w:iCs/>
          <w:color w:val="auto"/>
          <w:sz w:val="22"/>
        </w:rPr>
        <w:t>FGF19, FGFR1, FGFR2, FGFR3 or FGFR4</w:t>
      </w:r>
      <w:r w:rsidRPr="00353AB8">
        <w:rPr>
          <w:rFonts w:ascii="Franklin Gothic Book" w:hAnsi="Franklin Gothic Book"/>
          <w:color w:val="auto"/>
          <w:sz w:val="22"/>
        </w:rPr>
        <w:t xml:space="preserve">) on molecular testing. The comparison group included 282 patients with the same cancers from the same institutions without any known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genetic alterations on molecular profiling with NGS using a common platform (Foundation-One); </w:t>
      </w:r>
    </w:p>
    <w:p w14:paraId="0B68F9C2" w14:textId="1E68CB0D" w:rsidR="00454B6C" w:rsidRPr="00353AB8" w:rsidRDefault="00454B6C" w:rsidP="00353AB8">
      <w:pPr>
        <w:pStyle w:val="InstructionalText"/>
        <w:numPr>
          <w:ilvl w:val="0"/>
          <w:numId w:val="18"/>
        </w:numPr>
        <w:spacing w:after="120"/>
        <w:ind w:left="709" w:hanging="352"/>
        <w:jc w:val="left"/>
        <w:rPr>
          <w:rFonts w:ascii="Franklin Gothic Book" w:hAnsi="Franklin Gothic Book"/>
          <w:color w:val="auto"/>
          <w:sz w:val="22"/>
        </w:rPr>
      </w:pPr>
      <w:r w:rsidRPr="00353AB8">
        <w:rPr>
          <w:rFonts w:ascii="Franklin Gothic Book" w:hAnsi="Franklin Gothic Book"/>
          <w:color w:val="auto"/>
          <w:sz w:val="22"/>
        </w:rPr>
        <w:lastRenderedPageBreak/>
        <w:t>Lamarca 2020</w:t>
      </w:r>
      <w:r w:rsidR="00FE29C1" w:rsidRPr="00353AB8">
        <w:rPr>
          <w:rStyle w:val="FootnoteReference"/>
          <w:rFonts w:ascii="Franklin Gothic Book" w:hAnsi="Franklin Gothic Book"/>
          <w:color w:val="auto"/>
          <w:sz w:val="22"/>
        </w:rPr>
        <w:footnoteReference w:id="8"/>
      </w:r>
      <w:r w:rsidRPr="00353AB8">
        <w:rPr>
          <w:rFonts w:ascii="Franklin Gothic Book" w:hAnsi="Franklin Gothic Book"/>
          <w:color w:val="auto"/>
          <w:sz w:val="22"/>
        </w:rPr>
        <w:t xml:space="preserve"> was a consecutive, retrospective single centre analys</w:t>
      </w:r>
      <w:r w:rsidR="003E555A" w:rsidRPr="00353AB8">
        <w:rPr>
          <w:rFonts w:ascii="Franklin Gothic Book" w:hAnsi="Franklin Gothic Book"/>
          <w:color w:val="auto"/>
          <w:sz w:val="22"/>
        </w:rPr>
        <w:t>i</w:t>
      </w:r>
      <w:r w:rsidRPr="00353AB8">
        <w:rPr>
          <w:rFonts w:ascii="Franklin Gothic Book" w:hAnsi="Franklin Gothic Book"/>
          <w:color w:val="auto"/>
          <w:sz w:val="22"/>
        </w:rPr>
        <w:t xml:space="preserve">s that included patients diagnosed with advanced biliary tract cancer including iCCA, eCCA, gallbladder cancer, and ampullary carcinoma who underwent molecular profiling between April 2017 and June 2020 based on analysis of either tumour samples (F1CDx/Oncomine® platforms) or </w:t>
      </w:r>
      <w:r w:rsidR="00893808" w:rsidRPr="00353AB8">
        <w:rPr>
          <w:rFonts w:ascii="Franklin Gothic Book" w:hAnsi="Franklin Gothic Book"/>
          <w:color w:val="auto"/>
          <w:sz w:val="22"/>
        </w:rPr>
        <w:t>circulating tumour DNA (</w:t>
      </w:r>
      <w:r w:rsidRPr="00353AB8">
        <w:rPr>
          <w:rFonts w:ascii="Franklin Gothic Book" w:hAnsi="Franklin Gothic Book"/>
          <w:color w:val="auto"/>
          <w:sz w:val="22"/>
        </w:rPr>
        <w:t>ctDNA</w:t>
      </w:r>
      <w:r w:rsidR="00893808" w:rsidRPr="00353AB8">
        <w:rPr>
          <w:rFonts w:ascii="Franklin Gothic Book" w:hAnsi="Franklin Gothic Book"/>
          <w:color w:val="auto"/>
          <w:sz w:val="22"/>
        </w:rPr>
        <w:t>)</w:t>
      </w:r>
      <w:r w:rsidRPr="00353AB8">
        <w:rPr>
          <w:rFonts w:ascii="Franklin Gothic Book" w:hAnsi="Franklin Gothic Book"/>
          <w:color w:val="auto"/>
          <w:sz w:val="22"/>
        </w:rPr>
        <w:t xml:space="preserve"> (FoundationOne Liquid® platform;</w:t>
      </w:r>
    </w:p>
    <w:p w14:paraId="55424BA9" w14:textId="572A9EF6" w:rsidR="00454B6C" w:rsidRPr="00353AB8" w:rsidRDefault="00454B6C" w:rsidP="00353AB8">
      <w:pPr>
        <w:pStyle w:val="InstructionalText"/>
        <w:numPr>
          <w:ilvl w:val="0"/>
          <w:numId w:val="18"/>
        </w:numPr>
        <w:spacing w:after="120"/>
        <w:ind w:left="709" w:hanging="352"/>
        <w:jc w:val="left"/>
        <w:rPr>
          <w:rFonts w:ascii="Franklin Gothic Book" w:hAnsi="Franklin Gothic Book"/>
          <w:i/>
          <w:iCs/>
          <w:color w:val="auto"/>
          <w:sz w:val="22"/>
        </w:rPr>
      </w:pPr>
      <w:r w:rsidRPr="00353AB8">
        <w:rPr>
          <w:rFonts w:ascii="Franklin Gothic Book" w:hAnsi="Franklin Gothic Book"/>
          <w:color w:val="auto"/>
          <w:sz w:val="22"/>
        </w:rPr>
        <w:t>Rimini 2022</w:t>
      </w:r>
      <w:r w:rsidR="005427F0" w:rsidRPr="00353AB8">
        <w:rPr>
          <w:rStyle w:val="FootnoteReference"/>
          <w:rFonts w:ascii="Franklin Gothic Book" w:hAnsi="Franklin Gothic Book"/>
          <w:color w:val="auto"/>
          <w:sz w:val="22"/>
        </w:rPr>
        <w:footnoteReference w:id="9"/>
      </w:r>
      <w:r w:rsidRPr="00353AB8">
        <w:rPr>
          <w:rFonts w:ascii="Franklin Gothic Book" w:hAnsi="Franklin Gothic Book"/>
          <w:color w:val="auto"/>
          <w:sz w:val="22"/>
        </w:rPr>
        <w:t xml:space="preserve"> included 284 patients with iCCA treated for resectable, locally advanced or metastatic disease tested with F1CDx, and included details on prevalence of </w:t>
      </w:r>
      <w:r w:rsidRPr="00353AB8">
        <w:rPr>
          <w:rFonts w:ascii="Franklin Gothic Book" w:hAnsi="Franklin Gothic Book"/>
          <w:i/>
          <w:iCs/>
          <w:color w:val="auto"/>
          <w:sz w:val="22"/>
        </w:rPr>
        <w:t xml:space="preserve">FGFR </w:t>
      </w:r>
      <w:r w:rsidRPr="00353AB8">
        <w:rPr>
          <w:rFonts w:ascii="Franklin Gothic Book" w:hAnsi="Franklin Gothic Book"/>
          <w:color w:val="auto"/>
          <w:sz w:val="22"/>
        </w:rPr>
        <w:t xml:space="preserve">alterations; </w:t>
      </w:r>
    </w:p>
    <w:p w14:paraId="7BBD3811" w14:textId="3506DC00" w:rsidR="00454B6C" w:rsidRPr="00353AB8" w:rsidRDefault="00454B6C" w:rsidP="00353AB8">
      <w:pPr>
        <w:pStyle w:val="InstructionalText"/>
        <w:numPr>
          <w:ilvl w:val="0"/>
          <w:numId w:val="18"/>
        </w:numPr>
        <w:spacing w:after="120"/>
        <w:ind w:left="709" w:hanging="352"/>
        <w:jc w:val="left"/>
        <w:rPr>
          <w:rFonts w:ascii="Franklin Gothic Book" w:hAnsi="Franklin Gothic Book"/>
          <w:color w:val="auto"/>
          <w:sz w:val="22"/>
        </w:rPr>
      </w:pPr>
      <w:r w:rsidRPr="00353AB8">
        <w:rPr>
          <w:rFonts w:ascii="Franklin Gothic Book" w:hAnsi="Franklin Gothic Book"/>
          <w:color w:val="auto"/>
          <w:sz w:val="22"/>
        </w:rPr>
        <w:t>Tomczak 2022</w:t>
      </w:r>
      <w:r w:rsidR="005427F0" w:rsidRPr="00353AB8">
        <w:rPr>
          <w:rStyle w:val="FootnoteReference"/>
          <w:rFonts w:ascii="Franklin Gothic Book" w:hAnsi="Franklin Gothic Book"/>
          <w:color w:val="auto"/>
          <w:sz w:val="22"/>
        </w:rPr>
        <w:footnoteReference w:id="10"/>
      </w:r>
      <w:r w:rsidRPr="00353AB8">
        <w:rPr>
          <w:rFonts w:ascii="Franklin Gothic Book" w:hAnsi="Franklin Gothic Book"/>
          <w:color w:val="auto"/>
          <w:sz w:val="22"/>
        </w:rPr>
        <w:t xml:space="preserve"> conducted molecular profiling and matched treatment on 101 patients with primary liver cancer referred to their centre using both NGS on DNA and NGS on RNA on the same samples; and</w:t>
      </w:r>
    </w:p>
    <w:p w14:paraId="251CDF96" w14:textId="0C7E4156" w:rsidR="00454B6C" w:rsidRPr="00353AB8" w:rsidRDefault="00454B6C" w:rsidP="00353AB8">
      <w:pPr>
        <w:pStyle w:val="InstructionalText"/>
        <w:numPr>
          <w:ilvl w:val="0"/>
          <w:numId w:val="18"/>
        </w:numPr>
        <w:spacing w:after="120"/>
        <w:ind w:left="709" w:hanging="352"/>
        <w:jc w:val="left"/>
        <w:rPr>
          <w:rFonts w:ascii="Franklin Gothic Book" w:hAnsi="Franklin Gothic Book"/>
          <w:color w:val="auto"/>
          <w:sz w:val="22"/>
        </w:rPr>
      </w:pPr>
      <w:r w:rsidRPr="00353AB8">
        <w:rPr>
          <w:rFonts w:ascii="Franklin Gothic Book" w:hAnsi="Franklin Gothic Book"/>
          <w:color w:val="auto"/>
          <w:sz w:val="22"/>
        </w:rPr>
        <w:t>Vancanneyt 2023</w:t>
      </w:r>
      <w:r w:rsidR="00DE299C" w:rsidRPr="00353AB8">
        <w:rPr>
          <w:rStyle w:val="FootnoteReference"/>
          <w:rFonts w:ascii="Franklin Gothic Book" w:hAnsi="Franklin Gothic Book"/>
          <w:color w:val="auto"/>
          <w:sz w:val="22"/>
        </w:rPr>
        <w:footnoteReference w:id="11"/>
      </w:r>
      <w:r w:rsidRPr="00353AB8">
        <w:rPr>
          <w:rFonts w:ascii="Franklin Gothic Book" w:hAnsi="Franklin Gothic Book"/>
          <w:color w:val="auto"/>
          <w:sz w:val="22"/>
        </w:rPr>
        <w:t xml:space="preserve"> reported results of molecular testing by either F1CDx or Foundation 1 Liquid NGS or an in-house developed 96 cancer gene panel were retrospectively collected from patients with locally advanced or metastatic CCA diagnosed between 01/12/2018 and 01/08/2021 in a single centre. </w:t>
      </w:r>
    </w:p>
    <w:p w14:paraId="5FBA3743" w14:textId="74F53218" w:rsidR="00454B6C" w:rsidRPr="00353AB8" w:rsidRDefault="00454B6C" w:rsidP="00353AB8">
      <w:pPr>
        <w:jc w:val="left"/>
        <w:rPr>
          <w:rFonts w:ascii="Franklin Gothic Book" w:hAnsi="Franklin Gothic Book"/>
          <w:sz w:val="22"/>
        </w:rPr>
      </w:pPr>
      <w:r w:rsidRPr="00353AB8">
        <w:rPr>
          <w:rFonts w:ascii="Franklin Gothic Book" w:hAnsi="Franklin Gothic Book"/>
          <w:sz w:val="22"/>
        </w:rPr>
        <w:t xml:space="preserve">The submission noted that determination of the diagnostic yield of NGS on RNA for identification for </w:t>
      </w:r>
      <w:r w:rsidRPr="00353AB8">
        <w:rPr>
          <w:rFonts w:ascii="Franklin Gothic Book" w:hAnsi="Franklin Gothic Book"/>
          <w:i/>
          <w:iCs/>
          <w:sz w:val="22"/>
        </w:rPr>
        <w:t>FGFR2</w:t>
      </w:r>
      <w:r w:rsidRPr="00353AB8">
        <w:rPr>
          <w:rFonts w:ascii="Franklin Gothic Book" w:hAnsi="Franklin Gothic Book"/>
          <w:sz w:val="22"/>
        </w:rPr>
        <w:t xml:space="preserve"> fusions and rearrangements requires identifying the proportion of samples that initially fail testing and identifying the prevalence of </w:t>
      </w:r>
      <w:r w:rsidRPr="00353AB8">
        <w:rPr>
          <w:rFonts w:ascii="Franklin Gothic Book" w:hAnsi="Franklin Gothic Book"/>
          <w:i/>
          <w:iCs/>
          <w:sz w:val="22"/>
        </w:rPr>
        <w:t>FGFR2</w:t>
      </w:r>
      <w:r w:rsidRPr="00353AB8">
        <w:rPr>
          <w:rFonts w:ascii="Franklin Gothic Book" w:hAnsi="Franklin Gothic Book"/>
          <w:sz w:val="22"/>
        </w:rPr>
        <w:t xml:space="preserve"> alteration in samples that are successfully tested.</w:t>
      </w:r>
      <w:r w:rsidR="0068196B" w:rsidRPr="00353AB8">
        <w:rPr>
          <w:rFonts w:ascii="Franklin Gothic Book" w:hAnsi="Franklin Gothic Book"/>
          <w:sz w:val="22"/>
        </w:rPr>
        <w:t xml:space="preserve"> </w:t>
      </w:r>
    </w:p>
    <w:p w14:paraId="00C1CE4F" w14:textId="67D0D286" w:rsidR="009B41F4" w:rsidRPr="00353AB8" w:rsidRDefault="0068196B" w:rsidP="00353AB8">
      <w:pPr>
        <w:jc w:val="left"/>
        <w:rPr>
          <w:rFonts w:ascii="Franklin Gothic Book" w:hAnsi="Franklin Gothic Book"/>
          <w:sz w:val="22"/>
        </w:rPr>
      </w:pPr>
      <w:r w:rsidRPr="00353AB8">
        <w:rPr>
          <w:rFonts w:ascii="Franklin Gothic Book" w:hAnsi="Franklin Gothic Book"/>
          <w:sz w:val="22"/>
        </w:rPr>
        <w:t>Additionally, Rizzato 2022</w:t>
      </w:r>
      <w:r w:rsidRPr="00353AB8">
        <w:rPr>
          <w:rStyle w:val="FootnoteReference"/>
          <w:rFonts w:ascii="Franklin Gothic Book" w:hAnsi="Franklin Gothic Book"/>
          <w:sz w:val="22"/>
        </w:rPr>
        <w:footnoteReference w:id="12"/>
      </w:r>
      <w:r w:rsidRPr="00353AB8">
        <w:rPr>
          <w:rFonts w:ascii="Franklin Gothic Book" w:hAnsi="Franklin Gothic Book"/>
          <w:sz w:val="22"/>
        </w:rPr>
        <w:t xml:space="preserve"> was identified by the submission as reporting prevalence of CCA patients with </w:t>
      </w:r>
      <w:r w:rsidRPr="00353AB8">
        <w:rPr>
          <w:rFonts w:ascii="Franklin Gothic Book" w:hAnsi="Franklin Gothic Book"/>
          <w:i/>
          <w:iCs/>
          <w:sz w:val="22"/>
        </w:rPr>
        <w:t>FGFR2</w:t>
      </w:r>
      <w:r w:rsidRPr="00353AB8">
        <w:rPr>
          <w:rFonts w:ascii="Franklin Gothic Book" w:hAnsi="Franklin Gothic Book"/>
          <w:sz w:val="22"/>
        </w:rPr>
        <w:t xml:space="preserve"> variants but not specifically advanced CCA </w:t>
      </w:r>
      <w:r w:rsidR="005A777A" w:rsidRPr="00353AB8">
        <w:rPr>
          <w:rFonts w:ascii="Franklin Gothic Book" w:hAnsi="Franklin Gothic Book"/>
          <w:sz w:val="22"/>
        </w:rPr>
        <w:t xml:space="preserve">and </w:t>
      </w:r>
      <w:r w:rsidRPr="00353AB8">
        <w:rPr>
          <w:rFonts w:ascii="Franklin Gothic Book" w:hAnsi="Franklin Gothic Book"/>
          <w:sz w:val="22"/>
        </w:rPr>
        <w:t>so was excluded by the submission. However</w:t>
      </w:r>
      <w:r w:rsidR="00104A99" w:rsidRPr="00353AB8">
        <w:rPr>
          <w:rFonts w:ascii="Franklin Gothic Book" w:hAnsi="Franklin Gothic Book"/>
          <w:sz w:val="22"/>
        </w:rPr>
        <w:t xml:space="preserve">, the </w:t>
      </w:r>
      <w:r w:rsidR="00FC4E8D" w:rsidRPr="00353AB8">
        <w:rPr>
          <w:rFonts w:ascii="Franklin Gothic Book" w:hAnsi="Franklin Gothic Book"/>
          <w:sz w:val="22"/>
        </w:rPr>
        <w:t>commentary</w:t>
      </w:r>
      <w:r w:rsidR="00104A99" w:rsidRPr="00353AB8">
        <w:rPr>
          <w:rFonts w:ascii="Franklin Gothic Book" w:hAnsi="Franklin Gothic Book"/>
          <w:sz w:val="22"/>
        </w:rPr>
        <w:t xml:space="preserve"> considered that</w:t>
      </w:r>
      <w:r w:rsidRPr="00353AB8">
        <w:rPr>
          <w:rFonts w:ascii="Franklin Gothic Book" w:hAnsi="Franklin Gothic Book"/>
          <w:sz w:val="22"/>
        </w:rPr>
        <w:t xml:space="preserve"> this was inaccurate as Rizato 2022 was a retrospective single centre study of 286 patients affected by locally advanced or metastatic biliary tract cancer (183 </w:t>
      </w:r>
      <w:r w:rsidR="00E573D2" w:rsidRPr="00353AB8">
        <w:rPr>
          <w:rFonts w:ascii="Franklin Gothic Book" w:hAnsi="Franklin Gothic Book"/>
          <w:sz w:val="22"/>
        </w:rPr>
        <w:t>i</w:t>
      </w:r>
      <w:r w:rsidRPr="00353AB8">
        <w:rPr>
          <w:rFonts w:ascii="Franklin Gothic Book" w:hAnsi="Franklin Gothic Book"/>
          <w:sz w:val="22"/>
        </w:rPr>
        <w:t>CC</w:t>
      </w:r>
      <w:r w:rsidR="00E573D2" w:rsidRPr="00353AB8">
        <w:rPr>
          <w:rFonts w:ascii="Franklin Gothic Book" w:hAnsi="Franklin Gothic Book"/>
          <w:sz w:val="22"/>
        </w:rPr>
        <w:t>A</w:t>
      </w:r>
      <w:r w:rsidRPr="00353AB8">
        <w:rPr>
          <w:rFonts w:ascii="Franklin Gothic Book" w:hAnsi="Franklin Gothic Book"/>
          <w:sz w:val="22"/>
        </w:rPr>
        <w:t>s, 67 eCC</w:t>
      </w:r>
      <w:r w:rsidR="00E573D2" w:rsidRPr="00353AB8">
        <w:rPr>
          <w:rFonts w:ascii="Franklin Gothic Book" w:hAnsi="Franklin Gothic Book"/>
          <w:sz w:val="22"/>
        </w:rPr>
        <w:t>A</w:t>
      </w:r>
      <w:r w:rsidRPr="00353AB8">
        <w:rPr>
          <w:rFonts w:ascii="Franklin Gothic Book" w:hAnsi="Franklin Gothic Book"/>
          <w:sz w:val="22"/>
        </w:rPr>
        <w:t xml:space="preserve">s, 36 gallbladder carcinomas) who were profiled by means of targeted DNA/RNA NGS, immunohistochemistry and FISH for </w:t>
      </w:r>
      <w:r w:rsidRPr="00353AB8">
        <w:rPr>
          <w:rFonts w:ascii="Franklin Gothic Book" w:hAnsi="Franklin Gothic Book"/>
          <w:i/>
          <w:iCs/>
          <w:sz w:val="22"/>
        </w:rPr>
        <w:t>FGFR2/3</w:t>
      </w:r>
      <w:r w:rsidRPr="00353AB8">
        <w:rPr>
          <w:rFonts w:ascii="Franklin Gothic Book" w:hAnsi="Franklin Gothic Book"/>
          <w:sz w:val="22"/>
        </w:rPr>
        <w:t xml:space="preserve">, </w:t>
      </w:r>
      <w:r w:rsidRPr="00353AB8">
        <w:rPr>
          <w:rFonts w:ascii="Franklin Gothic Book" w:hAnsi="Franklin Gothic Book"/>
          <w:i/>
          <w:iCs/>
          <w:sz w:val="22"/>
        </w:rPr>
        <w:t>ERBB2</w:t>
      </w:r>
      <w:r w:rsidRPr="00353AB8">
        <w:rPr>
          <w:rFonts w:ascii="Franklin Gothic Book" w:hAnsi="Franklin Gothic Book"/>
          <w:sz w:val="22"/>
        </w:rPr>
        <w:t xml:space="preserve">, </w:t>
      </w:r>
      <w:r w:rsidRPr="00353AB8">
        <w:rPr>
          <w:rFonts w:ascii="Franklin Gothic Book" w:hAnsi="Franklin Gothic Book"/>
          <w:i/>
          <w:iCs/>
          <w:sz w:val="22"/>
        </w:rPr>
        <w:t>NTRK</w:t>
      </w:r>
      <w:r w:rsidRPr="00353AB8">
        <w:rPr>
          <w:rFonts w:ascii="Franklin Gothic Book" w:hAnsi="Franklin Gothic Book"/>
          <w:sz w:val="22"/>
        </w:rPr>
        <w:t xml:space="preserve"> alterations, </w:t>
      </w:r>
      <w:r w:rsidRPr="00353AB8">
        <w:rPr>
          <w:rFonts w:ascii="Franklin Gothic Book" w:hAnsi="Franklin Gothic Book"/>
          <w:i/>
          <w:iCs/>
          <w:sz w:val="22"/>
        </w:rPr>
        <w:t>IDH1/2</w:t>
      </w:r>
      <w:r w:rsidRPr="00353AB8">
        <w:rPr>
          <w:rFonts w:ascii="Franklin Gothic Book" w:hAnsi="Franklin Gothic Book"/>
          <w:sz w:val="22"/>
        </w:rPr>
        <w:t xml:space="preserve"> and </w:t>
      </w:r>
      <w:r w:rsidRPr="00353AB8">
        <w:rPr>
          <w:rFonts w:ascii="Franklin Gothic Book" w:hAnsi="Franklin Gothic Book"/>
          <w:i/>
          <w:iCs/>
          <w:sz w:val="22"/>
        </w:rPr>
        <w:t>BRAF</w:t>
      </w:r>
      <w:r w:rsidRPr="00353AB8">
        <w:rPr>
          <w:rFonts w:ascii="Franklin Gothic Book" w:hAnsi="Franklin Gothic Book"/>
          <w:sz w:val="22"/>
        </w:rPr>
        <w:t xml:space="preserve"> variants and DNA mismatch repair complex proteins alterations/microsatellite instability. </w:t>
      </w:r>
      <w:r w:rsidR="005A777A" w:rsidRPr="00353AB8">
        <w:rPr>
          <w:rFonts w:ascii="Franklin Gothic Book" w:hAnsi="Franklin Gothic Book"/>
          <w:sz w:val="22"/>
        </w:rPr>
        <w:t xml:space="preserve">The prevalence results </w:t>
      </w:r>
      <w:r w:rsidR="008E5592" w:rsidRPr="00353AB8">
        <w:rPr>
          <w:rFonts w:ascii="Franklin Gothic Book" w:hAnsi="Franklin Gothic Book"/>
          <w:sz w:val="22"/>
        </w:rPr>
        <w:t xml:space="preserve">in CCA patients (excluding the 36 gallbladder carcinomas) </w:t>
      </w:r>
      <w:r w:rsidR="005A777A" w:rsidRPr="00353AB8">
        <w:rPr>
          <w:rFonts w:ascii="Franklin Gothic Book" w:hAnsi="Franklin Gothic Book"/>
          <w:sz w:val="22"/>
        </w:rPr>
        <w:t>from Rizzato 2022 was added to the advanced CCA patients below.</w:t>
      </w:r>
    </w:p>
    <w:p w14:paraId="6F47C8F6" w14:textId="3B8C5B17" w:rsidR="00454B6C" w:rsidRPr="00353AB8" w:rsidRDefault="001F5863" w:rsidP="00353AB8">
      <w:pPr>
        <w:jc w:val="left"/>
        <w:rPr>
          <w:rFonts w:ascii="Franklin Gothic Book" w:hAnsi="Franklin Gothic Book"/>
          <w:i/>
          <w:iCs/>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_Ref198447157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6</w:t>
      </w:r>
      <w:r w:rsidRPr="001F5863">
        <w:rPr>
          <w:rFonts w:ascii="Franklin Gothic Book" w:hAnsi="Franklin Gothic Book"/>
          <w:sz w:val="22"/>
        </w:rPr>
        <w:fldChar w:fldCharType="end"/>
      </w:r>
      <w:r>
        <w:rPr>
          <w:rFonts w:ascii="Franklin Gothic Book" w:hAnsi="Franklin Gothic Book"/>
          <w:sz w:val="22"/>
        </w:rPr>
        <w:t xml:space="preserve"> </w:t>
      </w:r>
      <w:r w:rsidR="00454B6C" w:rsidRPr="00353AB8">
        <w:rPr>
          <w:rFonts w:ascii="Franklin Gothic Book" w:hAnsi="Franklin Gothic Book"/>
          <w:sz w:val="22"/>
        </w:rPr>
        <w:t xml:space="preserve">presents the estimated prevalence of </w:t>
      </w:r>
      <w:r w:rsidR="00454B6C" w:rsidRPr="00353AB8">
        <w:rPr>
          <w:rFonts w:ascii="Franklin Gothic Book" w:hAnsi="Franklin Gothic Book"/>
          <w:i/>
          <w:iCs/>
          <w:sz w:val="22"/>
        </w:rPr>
        <w:t>FGFR2</w:t>
      </w:r>
      <w:r w:rsidR="00454B6C" w:rsidRPr="00353AB8">
        <w:rPr>
          <w:rFonts w:ascii="Franklin Gothic Book" w:hAnsi="Franklin Gothic Book"/>
          <w:sz w:val="22"/>
        </w:rPr>
        <w:t xml:space="preserve"> alterations in advanced CCA using NGS testing (on DNA or RNA) or FISH (in Jain 2018) identified by the submission. </w:t>
      </w:r>
    </w:p>
    <w:p w14:paraId="2FF573BD" w14:textId="10A2883A" w:rsidR="00454B6C" w:rsidRPr="00B27879" w:rsidRDefault="009D316D" w:rsidP="009D316D">
      <w:pPr>
        <w:pStyle w:val="Caption"/>
      </w:pPr>
      <w:bookmarkStart w:id="38" w:name="_Ref198447157"/>
      <w:bookmarkStart w:id="39" w:name="_Ref184756330"/>
      <w:bookmarkStart w:id="40" w:name="Table_MSAC_5"/>
      <w:r>
        <w:lastRenderedPageBreak/>
        <w:t xml:space="preserve">Table </w:t>
      </w:r>
      <w:r>
        <w:fldChar w:fldCharType="begin"/>
      </w:r>
      <w:r>
        <w:instrText>SEQ Table \* ARABIC</w:instrText>
      </w:r>
      <w:r>
        <w:fldChar w:fldCharType="separate"/>
      </w:r>
      <w:r w:rsidR="005B1C7E">
        <w:rPr>
          <w:noProof/>
        </w:rPr>
        <w:t>6</w:t>
      </w:r>
      <w:r>
        <w:fldChar w:fldCharType="end"/>
      </w:r>
      <w:bookmarkEnd w:id="38"/>
      <w:r>
        <w:tab/>
      </w:r>
      <w:bookmarkEnd w:id="39"/>
      <w:bookmarkEnd w:id="40"/>
      <w:r w:rsidR="00454B6C" w:rsidRPr="00B27879">
        <w:rPr>
          <w:i/>
        </w:rPr>
        <w:t>FGFR2</w:t>
      </w:r>
      <w:r w:rsidR="00454B6C" w:rsidRPr="00B27879">
        <w:t xml:space="preserve"> alterations in advanced CCA – summary of the prevalence </w:t>
      </w:r>
    </w:p>
    <w:tbl>
      <w:tblPr>
        <w:tblStyle w:val="PBACTableStyle"/>
        <w:tblW w:w="4950" w:type="pct"/>
        <w:tblLayout w:type="fixed"/>
        <w:tblLook w:val="04A0" w:firstRow="1" w:lastRow="0" w:firstColumn="1" w:lastColumn="0" w:noHBand="0" w:noVBand="1"/>
      </w:tblPr>
      <w:tblGrid>
        <w:gridCol w:w="1271"/>
        <w:gridCol w:w="1134"/>
        <w:gridCol w:w="2552"/>
        <w:gridCol w:w="1559"/>
        <w:gridCol w:w="992"/>
        <w:gridCol w:w="1418"/>
      </w:tblGrid>
      <w:tr w:rsidR="007900E9" w:rsidRPr="00B27879" w14:paraId="029AFE5D" w14:textId="77777777" w:rsidTr="00505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665E290" w14:textId="77777777" w:rsidR="00454B6C" w:rsidRPr="00B27879" w:rsidRDefault="00454B6C" w:rsidP="00FE3A7F">
            <w:pPr>
              <w:pStyle w:val="TableText"/>
              <w:keepNext/>
              <w:keepLines/>
              <w:rPr>
                <w:color w:val="auto"/>
                <w:lang w:val="en-AU" w:bidi="en-US"/>
              </w:rPr>
            </w:pPr>
            <w:r w:rsidRPr="00B27879">
              <w:rPr>
                <w:color w:val="auto"/>
                <w:lang w:val="en-AU" w:bidi="en-US"/>
              </w:rPr>
              <w:t>Citation</w:t>
            </w:r>
          </w:p>
        </w:tc>
        <w:tc>
          <w:tcPr>
            <w:tcW w:w="1134" w:type="dxa"/>
          </w:tcPr>
          <w:p w14:paraId="3DB1A466"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Region/ Country</w:t>
            </w:r>
          </w:p>
        </w:tc>
        <w:tc>
          <w:tcPr>
            <w:tcW w:w="2552" w:type="dxa"/>
          </w:tcPr>
          <w:p w14:paraId="62FCC115"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Study type</w:t>
            </w:r>
          </w:p>
        </w:tc>
        <w:tc>
          <w:tcPr>
            <w:tcW w:w="1559" w:type="dxa"/>
          </w:tcPr>
          <w:p w14:paraId="15882F47"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Testing population</w:t>
            </w:r>
          </w:p>
        </w:tc>
        <w:tc>
          <w:tcPr>
            <w:tcW w:w="992" w:type="dxa"/>
          </w:tcPr>
          <w:p w14:paraId="248A78CF"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Testing method</w:t>
            </w:r>
          </w:p>
        </w:tc>
        <w:tc>
          <w:tcPr>
            <w:tcW w:w="1418" w:type="dxa"/>
          </w:tcPr>
          <w:p w14:paraId="6F4951A5"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Prevalence</w:t>
            </w:r>
          </w:p>
          <w:p w14:paraId="6ACE2CD6" w14:textId="77777777" w:rsidR="00454B6C" w:rsidRPr="00B27879" w:rsidRDefault="00454B6C"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n/N (%)</w:t>
            </w:r>
          </w:p>
        </w:tc>
      </w:tr>
      <w:tr w:rsidR="007900E9" w:rsidRPr="00B27879" w14:paraId="6339007F" w14:textId="77777777" w:rsidTr="00FE3A7F">
        <w:tc>
          <w:tcPr>
            <w:cnfStyle w:val="001000000000" w:firstRow="0" w:lastRow="0" w:firstColumn="1" w:lastColumn="0" w:oddVBand="0" w:evenVBand="0" w:oddHBand="0" w:evenHBand="0" w:firstRowFirstColumn="0" w:firstRowLastColumn="0" w:lastRowFirstColumn="0" w:lastRowLastColumn="0"/>
            <w:tcW w:w="8926" w:type="dxa"/>
            <w:gridSpan w:val="6"/>
          </w:tcPr>
          <w:p w14:paraId="0F1CE990" w14:textId="5E376911" w:rsidR="00454B6C" w:rsidRPr="00B27879" w:rsidRDefault="00AF4451" w:rsidP="00FE3A7F">
            <w:pPr>
              <w:pStyle w:val="TableText"/>
              <w:keepNext/>
              <w:keepLines/>
              <w:rPr>
                <w:color w:val="auto"/>
                <w:lang w:val="en-AU" w:bidi="en-US"/>
              </w:rPr>
            </w:pPr>
            <w:r w:rsidRPr="00B27879">
              <w:rPr>
                <w:color w:val="auto"/>
                <w:lang w:val="en-AU" w:bidi="en-US"/>
              </w:rPr>
              <w:t xml:space="preserve">Advanced </w:t>
            </w:r>
            <w:r w:rsidR="00454B6C" w:rsidRPr="00B27879">
              <w:rPr>
                <w:color w:val="auto"/>
                <w:lang w:val="en-AU" w:bidi="en-US"/>
              </w:rPr>
              <w:t>CCA</w:t>
            </w:r>
          </w:p>
        </w:tc>
      </w:tr>
      <w:tr w:rsidR="007900E9" w:rsidRPr="00B27879" w14:paraId="39E68847"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1CD4E80C" w14:textId="77777777" w:rsidR="00454B6C" w:rsidRPr="00B27879" w:rsidRDefault="00454B6C" w:rsidP="00FE3A7F">
            <w:pPr>
              <w:pStyle w:val="TableText"/>
              <w:keepNext/>
              <w:keepLines/>
              <w:rPr>
                <w:color w:val="auto"/>
                <w:lang w:val="en-AU" w:bidi="en-US"/>
              </w:rPr>
            </w:pPr>
            <w:r w:rsidRPr="00B27879">
              <w:rPr>
                <w:color w:val="auto"/>
                <w:lang w:val="en-AU" w:bidi="en-US"/>
              </w:rPr>
              <w:t>Jain 2018</w:t>
            </w:r>
          </w:p>
        </w:tc>
        <w:tc>
          <w:tcPr>
            <w:tcW w:w="1134" w:type="dxa"/>
          </w:tcPr>
          <w:p w14:paraId="2ED6DB05"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2552" w:type="dxa"/>
          </w:tcPr>
          <w:p w14:paraId="039D0D50"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Multicentre</w:t>
            </w:r>
          </w:p>
          <w:p w14:paraId="3B1455E8"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2000-2015</w:t>
            </w:r>
          </w:p>
        </w:tc>
        <w:tc>
          <w:tcPr>
            <w:tcW w:w="1559" w:type="dxa"/>
          </w:tcPr>
          <w:p w14:paraId="163086B1"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CCA</w:t>
            </w:r>
          </w:p>
          <w:p w14:paraId="5EABECDF"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77%)</w:t>
            </w:r>
          </w:p>
        </w:tc>
        <w:tc>
          <w:tcPr>
            <w:tcW w:w="992" w:type="dxa"/>
          </w:tcPr>
          <w:p w14:paraId="04AB062D"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DNA NGS or FISH</w:t>
            </w:r>
          </w:p>
        </w:tc>
        <w:tc>
          <w:tcPr>
            <w:tcW w:w="1418" w:type="dxa"/>
          </w:tcPr>
          <w:p w14:paraId="301893B0" w14:textId="77777777" w:rsidR="00454B6C" w:rsidRPr="00B27879" w:rsidRDefault="00454B6C"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74/317 (23.3)</w:t>
            </w:r>
          </w:p>
        </w:tc>
      </w:tr>
      <w:tr w:rsidR="007900E9" w:rsidRPr="00B27879" w14:paraId="4F4341B0"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5C06CE41" w14:textId="77777777" w:rsidR="00454B6C" w:rsidRPr="00B27879" w:rsidRDefault="00454B6C" w:rsidP="00FE3A7F">
            <w:pPr>
              <w:pStyle w:val="TableText"/>
              <w:keepNext/>
              <w:keepLines/>
              <w:rPr>
                <w:color w:val="auto"/>
                <w:lang w:val="en-AU" w:bidi="en-US"/>
              </w:rPr>
            </w:pPr>
            <w:r w:rsidRPr="00B27879">
              <w:rPr>
                <w:color w:val="auto"/>
                <w:lang w:val="en-AU" w:bidi="en-US"/>
              </w:rPr>
              <w:t>Tomczak 2022</w:t>
            </w:r>
          </w:p>
        </w:tc>
        <w:tc>
          <w:tcPr>
            <w:tcW w:w="1134" w:type="dxa"/>
          </w:tcPr>
          <w:p w14:paraId="0C2371E0"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Germany</w:t>
            </w:r>
          </w:p>
        </w:tc>
        <w:tc>
          <w:tcPr>
            <w:tcW w:w="2552" w:type="dxa"/>
          </w:tcPr>
          <w:p w14:paraId="46D4652F"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Single-centre (Heidelberg)</w:t>
            </w:r>
          </w:p>
          <w:p w14:paraId="5D3A8880"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2018-2021</w:t>
            </w:r>
          </w:p>
        </w:tc>
        <w:tc>
          <w:tcPr>
            <w:tcW w:w="1559" w:type="dxa"/>
          </w:tcPr>
          <w:p w14:paraId="29937AD5"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CCA</w:t>
            </w:r>
          </w:p>
        </w:tc>
        <w:tc>
          <w:tcPr>
            <w:tcW w:w="992" w:type="dxa"/>
          </w:tcPr>
          <w:p w14:paraId="19DBF92D"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DNA/RNA NGS</w:t>
            </w:r>
          </w:p>
        </w:tc>
        <w:tc>
          <w:tcPr>
            <w:tcW w:w="1418" w:type="dxa"/>
          </w:tcPr>
          <w:p w14:paraId="26F2E4E1" w14:textId="77777777" w:rsidR="00454B6C" w:rsidRPr="00B27879" w:rsidRDefault="00454B6C"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22/101 (22)</w:t>
            </w:r>
          </w:p>
        </w:tc>
      </w:tr>
      <w:tr w:rsidR="007900E9" w:rsidRPr="00B27879" w14:paraId="4BC48D58"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623BCE62" w14:textId="77777777" w:rsidR="00454B6C" w:rsidRPr="00B27879" w:rsidRDefault="00454B6C" w:rsidP="00FE3A7F">
            <w:pPr>
              <w:pStyle w:val="TableText"/>
              <w:keepNext/>
              <w:keepLines/>
              <w:rPr>
                <w:color w:val="auto"/>
                <w:lang w:val="en-AU" w:bidi="en-US"/>
              </w:rPr>
            </w:pPr>
            <w:r w:rsidRPr="00B27879">
              <w:rPr>
                <w:color w:val="auto"/>
                <w:lang w:val="en-AU" w:bidi="en-US"/>
              </w:rPr>
              <w:t>Lamarca 2020</w:t>
            </w:r>
          </w:p>
        </w:tc>
        <w:tc>
          <w:tcPr>
            <w:tcW w:w="1134" w:type="dxa"/>
          </w:tcPr>
          <w:p w14:paraId="2B697073"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UK</w:t>
            </w:r>
          </w:p>
        </w:tc>
        <w:tc>
          <w:tcPr>
            <w:tcW w:w="2552" w:type="dxa"/>
          </w:tcPr>
          <w:p w14:paraId="070BC65F"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Single-centre (Manchester)</w:t>
            </w:r>
          </w:p>
          <w:p w14:paraId="69C5CEC6"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2017-2020</w:t>
            </w:r>
          </w:p>
        </w:tc>
        <w:tc>
          <w:tcPr>
            <w:tcW w:w="1559" w:type="dxa"/>
          </w:tcPr>
          <w:p w14:paraId="649A7ED5"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CCA</w:t>
            </w:r>
          </w:p>
        </w:tc>
        <w:tc>
          <w:tcPr>
            <w:tcW w:w="992" w:type="dxa"/>
          </w:tcPr>
          <w:p w14:paraId="1600A9B7"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DNA NGS</w:t>
            </w:r>
          </w:p>
        </w:tc>
        <w:tc>
          <w:tcPr>
            <w:tcW w:w="1418" w:type="dxa"/>
          </w:tcPr>
          <w:p w14:paraId="327BA062" w14:textId="77777777" w:rsidR="00454B6C" w:rsidRPr="00B27879" w:rsidRDefault="00454B6C"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14/82 (17.1)</w:t>
            </w:r>
          </w:p>
        </w:tc>
      </w:tr>
      <w:tr w:rsidR="007900E9" w:rsidRPr="00B27879" w14:paraId="7062A292"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4E6F3638" w14:textId="77777777" w:rsidR="00454B6C" w:rsidRPr="00B27879" w:rsidRDefault="00454B6C" w:rsidP="00FE3A7F">
            <w:pPr>
              <w:pStyle w:val="TableText"/>
              <w:keepNext/>
              <w:keepLines/>
              <w:rPr>
                <w:color w:val="auto"/>
                <w:lang w:val="en-AU" w:bidi="en-US"/>
              </w:rPr>
            </w:pPr>
            <w:r w:rsidRPr="00B27879">
              <w:rPr>
                <w:color w:val="auto"/>
                <w:lang w:val="en-AU" w:bidi="en-US"/>
              </w:rPr>
              <w:t>Vancanneyt 2023</w:t>
            </w:r>
          </w:p>
        </w:tc>
        <w:tc>
          <w:tcPr>
            <w:tcW w:w="1134" w:type="dxa"/>
          </w:tcPr>
          <w:p w14:paraId="1B7FE69A"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Belgium</w:t>
            </w:r>
          </w:p>
        </w:tc>
        <w:tc>
          <w:tcPr>
            <w:tcW w:w="2552" w:type="dxa"/>
          </w:tcPr>
          <w:p w14:paraId="14BE56C6"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Single centre</w:t>
            </w:r>
          </w:p>
          <w:p w14:paraId="65139F94"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(University Hospitals Leuven)</w:t>
            </w:r>
          </w:p>
          <w:p w14:paraId="3CDDCCB4"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2018-2021</w:t>
            </w:r>
          </w:p>
        </w:tc>
        <w:tc>
          <w:tcPr>
            <w:tcW w:w="1559" w:type="dxa"/>
          </w:tcPr>
          <w:p w14:paraId="2402EA5D"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CCA</w:t>
            </w:r>
          </w:p>
        </w:tc>
        <w:tc>
          <w:tcPr>
            <w:tcW w:w="992" w:type="dxa"/>
          </w:tcPr>
          <w:p w14:paraId="1EE5A484" w14:textId="77777777" w:rsidR="00454B6C" w:rsidRPr="00B27879" w:rsidRDefault="00454B6C"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Mostly DNA NGS</w:t>
            </w:r>
          </w:p>
        </w:tc>
        <w:tc>
          <w:tcPr>
            <w:tcW w:w="1418" w:type="dxa"/>
          </w:tcPr>
          <w:p w14:paraId="6AE50E4D" w14:textId="77777777" w:rsidR="00454B6C" w:rsidRPr="00B27879" w:rsidRDefault="00454B6C"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9/116 (7.8)</w:t>
            </w:r>
          </w:p>
        </w:tc>
      </w:tr>
      <w:tr w:rsidR="00531D6C" w:rsidRPr="00B27879" w14:paraId="4A3EC90C"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378CEDCD" w14:textId="149DE59A" w:rsidR="00531D6C" w:rsidRPr="00765EC0" w:rsidRDefault="00531D6C" w:rsidP="00531D6C">
            <w:pPr>
              <w:pStyle w:val="TableText"/>
              <w:keepNext/>
              <w:keepLines/>
              <w:rPr>
                <w:i/>
                <w:iCs/>
                <w:lang w:bidi="en-US"/>
              </w:rPr>
            </w:pPr>
            <w:r w:rsidRPr="00765EC0">
              <w:rPr>
                <w:i/>
                <w:iCs/>
                <w:color w:val="auto"/>
                <w:lang w:val="en-AU" w:bidi="en-US"/>
              </w:rPr>
              <w:t>Rizzato 2022</w:t>
            </w:r>
          </w:p>
        </w:tc>
        <w:tc>
          <w:tcPr>
            <w:tcW w:w="1134" w:type="dxa"/>
          </w:tcPr>
          <w:p w14:paraId="348BB5A7" w14:textId="087E12F3" w:rsidR="00531D6C" w:rsidRPr="00765EC0" w:rsidRDefault="00531D6C" w:rsidP="00531D6C">
            <w:pPr>
              <w:pStyle w:val="TableText"/>
              <w:keepNext/>
              <w:keepLines/>
              <w:cnfStyle w:val="000000000000" w:firstRow="0" w:lastRow="0" w:firstColumn="0" w:lastColumn="0" w:oddVBand="0" w:evenVBand="0" w:oddHBand="0" w:evenHBand="0" w:firstRowFirstColumn="0" w:firstRowLastColumn="0" w:lastRowFirstColumn="0" w:lastRowLastColumn="0"/>
              <w:rPr>
                <w:i/>
                <w:iCs/>
                <w:lang w:bidi="en-US"/>
              </w:rPr>
            </w:pPr>
            <w:r w:rsidRPr="00765EC0">
              <w:rPr>
                <w:i/>
                <w:iCs/>
                <w:color w:val="auto"/>
                <w:lang w:val="en-AU" w:bidi="en-US"/>
              </w:rPr>
              <w:t>Italy</w:t>
            </w:r>
          </w:p>
        </w:tc>
        <w:tc>
          <w:tcPr>
            <w:tcW w:w="2552" w:type="dxa"/>
          </w:tcPr>
          <w:p w14:paraId="67A9AB1F" w14:textId="77777777" w:rsidR="00531D6C" w:rsidRPr="00765EC0" w:rsidRDefault="00531D6C" w:rsidP="00531D6C">
            <w:pPr>
              <w:pStyle w:val="TableText"/>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765EC0">
              <w:rPr>
                <w:i/>
                <w:iCs/>
                <w:color w:val="auto"/>
                <w:lang w:val="en-AU" w:bidi="en-US"/>
              </w:rPr>
              <w:t>Single centre (Istituto Oncologico Veneto of Padua)</w:t>
            </w:r>
          </w:p>
          <w:p w14:paraId="6EC49BE3" w14:textId="7316C2F6" w:rsidR="00531D6C" w:rsidRPr="00765EC0" w:rsidRDefault="00531D6C" w:rsidP="00531D6C">
            <w:pPr>
              <w:pStyle w:val="TableText"/>
              <w:keepNext/>
              <w:keepLines/>
              <w:cnfStyle w:val="000000000000" w:firstRow="0" w:lastRow="0" w:firstColumn="0" w:lastColumn="0" w:oddVBand="0" w:evenVBand="0" w:oddHBand="0" w:evenHBand="0" w:firstRowFirstColumn="0" w:firstRowLastColumn="0" w:lastRowFirstColumn="0" w:lastRowLastColumn="0"/>
              <w:rPr>
                <w:i/>
                <w:iCs/>
                <w:lang w:bidi="en-US"/>
              </w:rPr>
            </w:pPr>
            <w:r w:rsidRPr="00765EC0">
              <w:rPr>
                <w:i/>
                <w:iCs/>
                <w:color w:val="auto"/>
                <w:lang w:val="en-AU" w:bidi="en-US"/>
              </w:rPr>
              <w:t>2008-2019</w:t>
            </w:r>
          </w:p>
        </w:tc>
        <w:tc>
          <w:tcPr>
            <w:tcW w:w="1559" w:type="dxa"/>
          </w:tcPr>
          <w:p w14:paraId="079D339A" w14:textId="3A46829E" w:rsidR="00531D6C" w:rsidRPr="00765EC0" w:rsidRDefault="00531D6C" w:rsidP="00531D6C">
            <w:pPr>
              <w:pStyle w:val="TableText"/>
              <w:keepNext/>
              <w:keepLines/>
              <w:cnfStyle w:val="000000000000" w:firstRow="0" w:lastRow="0" w:firstColumn="0" w:lastColumn="0" w:oddVBand="0" w:evenVBand="0" w:oddHBand="0" w:evenHBand="0" w:firstRowFirstColumn="0" w:firstRowLastColumn="0" w:lastRowFirstColumn="0" w:lastRowLastColumn="0"/>
              <w:rPr>
                <w:i/>
                <w:iCs/>
                <w:vertAlign w:val="superscript"/>
                <w:lang w:bidi="en-US"/>
              </w:rPr>
            </w:pPr>
            <w:r w:rsidRPr="00765EC0">
              <w:rPr>
                <w:i/>
                <w:iCs/>
                <w:color w:val="auto"/>
                <w:lang w:val="en-AU" w:bidi="en-US"/>
              </w:rPr>
              <w:t>Advanced CCA</w:t>
            </w:r>
            <w:r w:rsidR="004B7488" w:rsidRPr="00765EC0">
              <w:rPr>
                <w:i/>
                <w:iCs/>
                <w:color w:val="auto"/>
                <w:lang w:val="en-AU" w:bidi="en-US"/>
              </w:rPr>
              <w:t xml:space="preserve"> </w:t>
            </w:r>
            <w:r w:rsidR="004B7488" w:rsidRPr="00765EC0">
              <w:rPr>
                <w:i/>
                <w:iCs/>
                <w:color w:val="auto"/>
                <w:vertAlign w:val="superscript"/>
                <w:lang w:val="en-AU" w:bidi="en-US"/>
              </w:rPr>
              <w:t>a</w:t>
            </w:r>
          </w:p>
        </w:tc>
        <w:tc>
          <w:tcPr>
            <w:tcW w:w="992" w:type="dxa"/>
          </w:tcPr>
          <w:p w14:paraId="34D15038" w14:textId="4C0963A5" w:rsidR="00531D6C" w:rsidRPr="00765EC0" w:rsidRDefault="00531D6C" w:rsidP="00531D6C">
            <w:pPr>
              <w:pStyle w:val="TableText"/>
              <w:keepNext/>
              <w:keepLines/>
              <w:cnfStyle w:val="000000000000" w:firstRow="0" w:lastRow="0" w:firstColumn="0" w:lastColumn="0" w:oddVBand="0" w:evenVBand="0" w:oddHBand="0" w:evenHBand="0" w:firstRowFirstColumn="0" w:firstRowLastColumn="0" w:lastRowFirstColumn="0" w:lastRowLastColumn="0"/>
              <w:rPr>
                <w:i/>
                <w:iCs/>
                <w:lang w:bidi="en-US"/>
              </w:rPr>
            </w:pPr>
            <w:r w:rsidRPr="00765EC0">
              <w:rPr>
                <w:i/>
                <w:iCs/>
                <w:color w:val="auto"/>
                <w:lang w:val="en-AU" w:bidi="en-US"/>
              </w:rPr>
              <w:t>DNA/RNA NGS and FISH</w:t>
            </w:r>
          </w:p>
        </w:tc>
        <w:tc>
          <w:tcPr>
            <w:tcW w:w="1418" w:type="dxa"/>
          </w:tcPr>
          <w:p w14:paraId="5CFF53CD" w14:textId="1F40859D" w:rsidR="00531D6C" w:rsidRPr="00765EC0" w:rsidRDefault="00531D6C" w:rsidP="00531D6C">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lang w:bidi="en-US"/>
              </w:rPr>
            </w:pPr>
            <w:r w:rsidRPr="00765EC0">
              <w:rPr>
                <w:i/>
                <w:iCs/>
                <w:color w:val="auto"/>
                <w:lang w:val="en-AU" w:bidi="en-US"/>
              </w:rPr>
              <w:t>14/250 (5.6)</w:t>
            </w:r>
          </w:p>
        </w:tc>
      </w:tr>
      <w:tr w:rsidR="00324931" w:rsidRPr="00B27879" w14:paraId="17C95707" w14:textId="77777777" w:rsidTr="00FE3A7F">
        <w:tc>
          <w:tcPr>
            <w:cnfStyle w:val="001000000000" w:firstRow="0" w:lastRow="0" w:firstColumn="1" w:lastColumn="0" w:oddVBand="0" w:evenVBand="0" w:oddHBand="0" w:evenHBand="0" w:firstRowFirstColumn="0" w:firstRowLastColumn="0" w:lastRowFirstColumn="0" w:lastRowLastColumn="0"/>
            <w:tcW w:w="7508" w:type="dxa"/>
            <w:gridSpan w:val="5"/>
          </w:tcPr>
          <w:p w14:paraId="64B0FCF5" w14:textId="1B8D7834" w:rsidR="00324931" w:rsidRPr="00B27879" w:rsidRDefault="00324931" w:rsidP="00324931">
            <w:pPr>
              <w:pStyle w:val="TableText"/>
              <w:keepNext/>
              <w:keepLines/>
              <w:jc w:val="right"/>
              <w:rPr>
                <w:i/>
                <w:iCs/>
                <w:lang w:bidi="en-US"/>
              </w:rPr>
            </w:pPr>
            <w:r w:rsidRPr="00B27879">
              <w:rPr>
                <w:i/>
                <w:iCs/>
                <w:color w:val="auto"/>
                <w:lang w:val="en-AU" w:bidi="en-US"/>
              </w:rPr>
              <w:t>Advanced CCA weighted average prevalence</w:t>
            </w:r>
            <w:r>
              <w:rPr>
                <w:i/>
                <w:iCs/>
                <w:color w:val="auto"/>
                <w:lang w:val="en-AU" w:bidi="en-US"/>
              </w:rPr>
              <w:t xml:space="preserve"> (excluding Rizzato 2022)</w:t>
            </w:r>
          </w:p>
        </w:tc>
        <w:tc>
          <w:tcPr>
            <w:tcW w:w="1418" w:type="dxa"/>
          </w:tcPr>
          <w:p w14:paraId="74E53258" w14:textId="4BD36A5F"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rPr>
            </w:pPr>
            <w:r w:rsidRPr="00B27879">
              <w:rPr>
                <w:i/>
                <w:iCs/>
                <w:color w:val="auto"/>
                <w:lang w:val="en-AU"/>
              </w:rPr>
              <w:t>119/616 (19.3)</w:t>
            </w:r>
          </w:p>
        </w:tc>
      </w:tr>
      <w:tr w:rsidR="00324931" w:rsidRPr="00B27879" w14:paraId="0E27D4BB" w14:textId="77777777" w:rsidTr="00FE3A7F">
        <w:tc>
          <w:tcPr>
            <w:cnfStyle w:val="001000000000" w:firstRow="0" w:lastRow="0" w:firstColumn="1" w:lastColumn="0" w:oddVBand="0" w:evenVBand="0" w:oddHBand="0" w:evenHBand="0" w:firstRowFirstColumn="0" w:firstRowLastColumn="0" w:lastRowFirstColumn="0" w:lastRowLastColumn="0"/>
            <w:tcW w:w="7508" w:type="dxa"/>
            <w:gridSpan w:val="5"/>
          </w:tcPr>
          <w:p w14:paraId="1303ABF6" w14:textId="52966F1B" w:rsidR="00324931" w:rsidRPr="00B27879" w:rsidRDefault="00324931" w:rsidP="00324931">
            <w:pPr>
              <w:pStyle w:val="TableText"/>
              <w:keepNext/>
              <w:keepLines/>
              <w:jc w:val="right"/>
              <w:rPr>
                <w:i/>
                <w:iCs/>
                <w:color w:val="auto"/>
                <w:lang w:val="en-AU" w:bidi="en-US"/>
              </w:rPr>
            </w:pPr>
            <w:r w:rsidRPr="00B27879">
              <w:rPr>
                <w:i/>
                <w:iCs/>
                <w:color w:val="auto"/>
                <w:lang w:val="en-AU" w:bidi="en-US"/>
              </w:rPr>
              <w:t>Advanced CCA weighted average prevalence</w:t>
            </w:r>
            <w:r>
              <w:rPr>
                <w:i/>
                <w:iCs/>
                <w:color w:val="auto"/>
                <w:lang w:val="en-AU" w:bidi="en-US"/>
              </w:rPr>
              <w:t xml:space="preserve"> (including Rizzato 2022)</w:t>
            </w:r>
          </w:p>
        </w:tc>
        <w:tc>
          <w:tcPr>
            <w:tcW w:w="1418" w:type="dxa"/>
          </w:tcPr>
          <w:p w14:paraId="0EE8A5A8" w14:textId="6BDD5CAF"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B27879">
              <w:rPr>
                <w:i/>
                <w:iCs/>
                <w:color w:val="auto"/>
                <w:lang w:val="en-AU"/>
              </w:rPr>
              <w:t>1</w:t>
            </w:r>
            <w:r>
              <w:rPr>
                <w:i/>
                <w:iCs/>
                <w:color w:val="auto"/>
                <w:lang w:val="en-AU"/>
              </w:rPr>
              <w:t>33</w:t>
            </w:r>
            <w:r w:rsidRPr="00B27879">
              <w:rPr>
                <w:i/>
                <w:iCs/>
                <w:color w:val="auto"/>
                <w:lang w:val="en-AU"/>
              </w:rPr>
              <w:t>/</w:t>
            </w:r>
            <w:r>
              <w:rPr>
                <w:i/>
                <w:iCs/>
                <w:color w:val="auto"/>
                <w:lang w:val="en-AU"/>
              </w:rPr>
              <w:t>866</w:t>
            </w:r>
            <w:r w:rsidRPr="00B27879">
              <w:rPr>
                <w:i/>
                <w:iCs/>
                <w:color w:val="auto"/>
                <w:lang w:val="en-AU"/>
              </w:rPr>
              <w:t xml:space="preserve"> (1</w:t>
            </w:r>
            <w:r>
              <w:rPr>
                <w:i/>
                <w:iCs/>
                <w:color w:val="auto"/>
                <w:lang w:val="en-AU"/>
              </w:rPr>
              <w:t>5.3</w:t>
            </w:r>
            <w:r w:rsidRPr="00B27879">
              <w:rPr>
                <w:i/>
                <w:iCs/>
                <w:color w:val="auto"/>
                <w:lang w:val="en-AU"/>
              </w:rPr>
              <w:t>)</w:t>
            </w:r>
          </w:p>
        </w:tc>
      </w:tr>
      <w:tr w:rsidR="00324931" w:rsidRPr="00B27879" w14:paraId="3896CF3E" w14:textId="77777777" w:rsidTr="00FE3A7F">
        <w:tc>
          <w:tcPr>
            <w:cnfStyle w:val="001000000000" w:firstRow="0" w:lastRow="0" w:firstColumn="1" w:lastColumn="0" w:oddVBand="0" w:evenVBand="0" w:oddHBand="0" w:evenHBand="0" w:firstRowFirstColumn="0" w:firstRowLastColumn="0" w:lastRowFirstColumn="0" w:lastRowLastColumn="0"/>
            <w:tcW w:w="8926" w:type="dxa"/>
            <w:gridSpan w:val="6"/>
          </w:tcPr>
          <w:p w14:paraId="2918D457" w14:textId="3B2468E8" w:rsidR="00324931" w:rsidRPr="00B27879" w:rsidRDefault="00324931" w:rsidP="00324931">
            <w:pPr>
              <w:pStyle w:val="TableText"/>
              <w:keepNext/>
              <w:keepLines/>
              <w:rPr>
                <w:color w:val="auto"/>
                <w:lang w:val="en-AU" w:bidi="en-US"/>
              </w:rPr>
            </w:pPr>
            <w:r w:rsidRPr="00B27879">
              <w:rPr>
                <w:color w:val="auto"/>
                <w:lang w:val="en-AU" w:bidi="en-US"/>
              </w:rPr>
              <w:t>Advanced iCCA</w:t>
            </w:r>
          </w:p>
        </w:tc>
      </w:tr>
      <w:tr w:rsidR="00324931" w:rsidRPr="00B27879" w14:paraId="4AF8B694"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0C995BDD" w14:textId="77777777" w:rsidR="00324931" w:rsidRPr="00B27879" w:rsidRDefault="00324931" w:rsidP="00324931">
            <w:pPr>
              <w:pStyle w:val="TableText"/>
              <w:keepNext/>
              <w:keepLines/>
              <w:rPr>
                <w:color w:val="auto"/>
                <w:lang w:val="en-AU" w:bidi="en-US"/>
              </w:rPr>
            </w:pPr>
            <w:r w:rsidRPr="00B27879">
              <w:rPr>
                <w:color w:val="auto"/>
                <w:lang w:val="en-AU" w:bidi="en-US"/>
              </w:rPr>
              <w:t>Jain 2018</w:t>
            </w:r>
          </w:p>
        </w:tc>
        <w:tc>
          <w:tcPr>
            <w:tcW w:w="1134" w:type="dxa"/>
          </w:tcPr>
          <w:p w14:paraId="7265D4B2"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2552" w:type="dxa"/>
          </w:tcPr>
          <w:p w14:paraId="479D9F55"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Multicentre</w:t>
            </w:r>
          </w:p>
          <w:p w14:paraId="04F664A9"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2000-2015</w:t>
            </w:r>
          </w:p>
        </w:tc>
        <w:tc>
          <w:tcPr>
            <w:tcW w:w="1559" w:type="dxa"/>
          </w:tcPr>
          <w:p w14:paraId="7B8066A1"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w:t>
            </w:r>
          </w:p>
          <w:p w14:paraId="07EE3A62"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NR)</w:t>
            </w:r>
          </w:p>
        </w:tc>
        <w:tc>
          <w:tcPr>
            <w:tcW w:w="992" w:type="dxa"/>
          </w:tcPr>
          <w:p w14:paraId="594279DF"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DNA NGS or FISH</w:t>
            </w:r>
          </w:p>
        </w:tc>
        <w:tc>
          <w:tcPr>
            <w:tcW w:w="1418" w:type="dxa"/>
          </w:tcPr>
          <w:p w14:paraId="664A49A9" w14:textId="77777777"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74/273 (27.1)</w:t>
            </w:r>
          </w:p>
        </w:tc>
      </w:tr>
      <w:tr w:rsidR="00324931" w:rsidRPr="00B27879" w14:paraId="2ABD8C6F"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428131F8" w14:textId="77777777" w:rsidR="00324931" w:rsidRPr="00B27879" w:rsidRDefault="00324931" w:rsidP="00324931">
            <w:pPr>
              <w:pStyle w:val="TableText"/>
              <w:keepNext/>
              <w:keepLines/>
              <w:rPr>
                <w:color w:val="auto"/>
                <w:lang w:val="en-AU" w:bidi="en-US"/>
              </w:rPr>
            </w:pPr>
            <w:r w:rsidRPr="00B27879">
              <w:rPr>
                <w:color w:val="auto"/>
                <w:lang w:val="en-AU" w:bidi="en-US"/>
              </w:rPr>
              <w:t>Lamarca 2020</w:t>
            </w:r>
          </w:p>
        </w:tc>
        <w:tc>
          <w:tcPr>
            <w:tcW w:w="1134" w:type="dxa"/>
          </w:tcPr>
          <w:p w14:paraId="7166C7A4"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UK</w:t>
            </w:r>
          </w:p>
        </w:tc>
        <w:tc>
          <w:tcPr>
            <w:tcW w:w="2552" w:type="dxa"/>
          </w:tcPr>
          <w:p w14:paraId="0F05C289"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Single-centre (Manchester)</w:t>
            </w:r>
          </w:p>
          <w:p w14:paraId="6B04C115"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2017-2020</w:t>
            </w:r>
          </w:p>
        </w:tc>
        <w:tc>
          <w:tcPr>
            <w:tcW w:w="1559" w:type="dxa"/>
          </w:tcPr>
          <w:p w14:paraId="30702F20"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iCCA</w:t>
            </w:r>
          </w:p>
        </w:tc>
        <w:tc>
          <w:tcPr>
            <w:tcW w:w="992" w:type="dxa"/>
          </w:tcPr>
          <w:p w14:paraId="5ACCB910"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DNA NGS</w:t>
            </w:r>
          </w:p>
        </w:tc>
        <w:tc>
          <w:tcPr>
            <w:tcW w:w="1418" w:type="dxa"/>
          </w:tcPr>
          <w:p w14:paraId="7AE47DDD" w14:textId="77777777"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13/62 (21.0)</w:t>
            </w:r>
          </w:p>
        </w:tc>
      </w:tr>
      <w:tr w:rsidR="00324931" w:rsidRPr="00B27879" w14:paraId="314251E3" w14:textId="77777777" w:rsidTr="00505350">
        <w:tc>
          <w:tcPr>
            <w:cnfStyle w:val="001000000000" w:firstRow="0" w:lastRow="0" w:firstColumn="1" w:lastColumn="0" w:oddVBand="0" w:evenVBand="0" w:oddHBand="0" w:evenHBand="0" w:firstRowFirstColumn="0" w:firstRowLastColumn="0" w:lastRowFirstColumn="0" w:lastRowLastColumn="0"/>
            <w:tcW w:w="1271" w:type="dxa"/>
          </w:tcPr>
          <w:p w14:paraId="44C14F9F" w14:textId="77777777" w:rsidR="00324931" w:rsidRPr="00B27879" w:rsidRDefault="00324931" w:rsidP="00324931">
            <w:pPr>
              <w:pStyle w:val="TableText"/>
              <w:keepNext/>
              <w:keepLines/>
              <w:rPr>
                <w:color w:val="auto"/>
                <w:lang w:val="en-AU" w:bidi="en-US"/>
              </w:rPr>
            </w:pPr>
            <w:r w:rsidRPr="00B27879">
              <w:rPr>
                <w:color w:val="auto"/>
                <w:lang w:val="en-AU" w:bidi="en-US"/>
              </w:rPr>
              <w:t>Vancanneyt 2023</w:t>
            </w:r>
          </w:p>
        </w:tc>
        <w:tc>
          <w:tcPr>
            <w:tcW w:w="1134" w:type="dxa"/>
          </w:tcPr>
          <w:p w14:paraId="471863AC"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Belgium</w:t>
            </w:r>
          </w:p>
        </w:tc>
        <w:tc>
          <w:tcPr>
            <w:tcW w:w="2552" w:type="dxa"/>
          </w:tcPr>
          <w:p w14:paraId="0DB4A051"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Single centre</w:t>
            </w:r>
          </w:p>
          <w:p w14:paraId="65770D4E"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(University Hospitals Leuven)</w:t>
            </w:r>
          </w:p>
          <w:p w14:paraId="234646EC"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2018-2021</w:t>
            </w:r>
          </w:p>
        </w:tc>
        <w:tc>
          <w:tcPr>
            <w:tcW w:w="1559" w:type="dxa"/>
          </w:tcPr>
          <w:p w14:paraId="5A1BA08D"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iCCA</w:t>
            </w:r>
          </w:p>
        </w:tc>
        <w:tc>
          <w:tcPr>
            <w:tcW w:w="992" w:type="dxa"/>
          </w:tcPr>
          <w:p w14:paraId="70EB32BD"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Mostly DNA NGS</w:t>
            </w:r>
          </w:p>
        </w:tc>
        <w:tc>
          <w:tcPr>
            <w:tcW w:w="1418" w:type="dxa"/>
          </w:tcPr>
          <w:p w14:paraId="0A065D9F" w14:textId="77777777"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8/65 (12.3)</w:t>
            </w:r>
          </w:p>
        </w:tc>
      </w:tr>
      <w:tr w:rsidR="00324931" w:rsidRPr="00B27879" w14:paraId="2385CB41" w14:textId="77777777" w:rsidTr="001D7710">
        <w:tc>
          <w:tcPr>
            <w:cnfStyle w:val="001000000000" w:firstRow="0" w:lastRow="0" w:firstColumn="1" w:lastColumn="0" w:oddVBand="0" w:evenVBand="0" w:oddHBand="0" w:evenHBand="0" w:firstRowFirstColumn="0" w:firstRowLastColumn="0" w:lastRowFirstColumn="0" w:lastRowLastColumn="0"/>
            <w:tcW w:w="1271" w:type="dxa"/>
          </w:tcPr>
          <w:p w14:paraId="584C42FC" w14:textId="77777777" w:rsidR="00324931" w:rsidRPr="00B27879" w:rsidRDefault="00324931" w:rsidP="00324931">
            <w:pPr>
              <w:pStyle w:val="TableText"/>
              <w:keepNext/>
              <w:keepLines/>
              <w:rPr>
                <w:color w:val="auto"/>
                <w:lang w:val="en-AU" w:bidi="en-US"/>
              </w:rPr>
            </w:pPr>
            <w:r w:rsidRPr="00B27879">
              <w:rPr>
                <w:color w:val="auto"/>
                <w:lang w:val="en-AU" w:bidi="en-US"/>
              </w:rPr>
              <w:t>Rimini 2022</w:t>
            </w:r>
          </w:p>
        </w:tc>
        <w:tc>
          <w:tcPr>
            <w:tcW w:w="1134" w:type="dxa"/>
          </w:tcPr>
          <w:p w14:paraId="00B2AF5E"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Italy and Spain</w:t>
            </w:r>
          </w:p>
        </w:tc>
        <w:tc>
          <w:tcPr>
            <w:tcW w:w="2552" w:type="dxa"/>
          </w:tcPr>
          <w:p w14:paraId="61FE5940"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Multicentre</w:t>
            </w:r>
          </w:p>
          <w:p w14:paraId="75B2DD9D"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2013-2021</w:t>
            </w:r>
          </w:p>
        </w:tc>
        <w:tc>
          <w:tcPr>
            <w:tcW w:w="1559" w:type="dxa"/>
          </w:tcPr>
          <w:p w14:paraId="69ECD4E1"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Advanced iCCA</w:t>
            </w:r>
          </w:p>
        </w:tc>
        <w:tc>
          <w:tcPr>
            <w:tcW w:w="992" w:type="dxa"/>
          </w:tcPr>
          <w:p w14:paraId="3DAFBDE4" w14:textId="77777777" w:rsidR="00324931" w:rsidRPr="00B27879" w:rsidRDefault="00324931" w:rsidP="00324931">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NGS</w:t>
            </w:r>
          </w:p>
        </w:tc>
        <w:tc>
          <w:tcPr>
            <w:tcW w:w="1418" w:type="dxa"/>
          </w:tcPr>
          <w:p w14:paraId="1A149ADD" w14:textId="77777777" w:rsidR="00324931" w:rsidRPr="00B27879" w:rsidRDefault="00324931" w:rsidP="001D7710">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25/247 (10)</w:t>
            </w:r>
          </w:p>
        </w:tc>
      </w:tr>
      <w:tr w:rsidR="001D7710" w:rsidRPr="00B27879" w14:paraId="79F26358" w14:textId="77777777" w:rsidTr="001D7710">
        <w:tc>
          <w:tcPr>
            <w:cnfStyle w:val="001000000000" w:firstRow="0" w:lastRow="0" w:firstColumn="1" w:lastColumn="0" w:oddVBand="0" w:evenVBand="0" w:oddHBand="0" w:evenHBand="0" w:firstRowFirstColumn="0" w:firstRowLastColumn="0" w:lastRowFirstColumn="0" w:lastRowLastColumn="0"/>
            <w:tcW w:w="1271" w:type="dxa"/>
          </w:tcPr>
          <w:p w14:paraId="57E230C5" w14:textId="1CDFF4A1" w:rsidR="001D7710" w:rsidRPr="001D7710" w:rsidRDefault="001D7710" w:rsidP="001D7710">
            <w:pPr>
              <w:pStyle w:val="TableText"/>
              <w:keepNext/>
              <w:keepLines/>
              <w:rPr>
                <w:i/>
                <w:iCs/>
                <w:color w:val="auto"/>
                <w:lang w:val="en-AU" w:bidi="en-US"/>
              </w:rPr>
            </w:pPr>
            <w:r w:rsidRPr="001D7710">
              <w:rPr>
                <w:i/>
                <w:iCs/>
                <w:color w:val="auto"/>
                <w:lang w:val="en-AU" w:bidi="en-US"/>
              </w:rPr>
              <w:t>Rizzato 2022</w:t>
            </w:r>
          </w:p>
        </w:tc>
        <w:tc>
          <w:tcPr>
            <w:tcW w:w="1134" w:type="dxa"/>
          </w:tcPr>
          <w:p w14:paraId="1B75DC12" w14:textId="56B88A3F" w:rsidR="001D7710" w:rsidRPr="001D7710" w:rsidRDefault="001D7710" w:rsidP="001D7710">
            <w:pPr>
              <w:pStyle w:val="TableText"/>
              <w:keepNext/>
              <w:keepLines/>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1D7710">
              <w:rPr>
                <w:i/>
                <w:iCs/>
                <w:color w:val="auto"/>
                <w:lang w:val="en-AU" w:bidi="en-US"/>
              </w:rPr>
              <w:t>Italy</w:t>
            </w:r>
          </w:p>
        </w:tc>
        <w:tc>
          <w:tcPr>
            <w:tcW w:w="2552" w:type="dxa"/>
          </w:tcPr>
          <w:p w14:paraId="009C70DA" w14:textId="77777777" w:rsidR="001D7710" w:rsidRPr="001D7710" w:rsidRDefault="001D7710" w:rsidP="001D7710">
            <w:pPr>
              <w:pStyle w:val="Table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i/>
                <w:iCs/>
                <w:color w:val="auto"/>
                <w:sz w:val="20"/>
                <w:lang w:val="en-AU"/>
              </w:rPr>
            </w:pPr>
            <w:r w:rsidRPr="001D7710">
              <w:rPr>
                <w:rFonts w:ascii="Arial Narrow" w:eastAsiaTheme="minorHAnsi" w:hAnsi="Arial Narrow" w:cstheme="minorBidi"/>
                <w:i/>
                <w:iCs/>
                <w:color w:val="auto"/>
                <w:sz w:val="20"/>
                <w:lang w:val="en-AU"/>
              </w:rPr>
              <w:t>Single centre (Istituto Oncologico Veneto of Padua)</w:t>
            </w:r>
          </w:p>
          <w:p w14:paraId="1388649A" w14:textId="0CA20622" w:rsidR="001D7710" w:rsidRPr="001D7710" w:rsidRDefault="001D7710" w:rsidP="001D7710">
            <w:pPr>
              <w:pStyle w:val="TableText"/>
              <w:keepNext/>
              <w:keepLines/>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1D7710">
              <w:rPr>
                <w:i/>
                <w:iCs/>
                <w:color w:val="auto"/>
                <w:lang w:val="en-AU" w:bidi="en-US"/>
              </w:rPr>
              <w:t>2008-2019</w:t>
            </w:r>
          </w:p>
        </w:tc>
        <w:tc>
          <w:tcPr>
            <w:tcW w:w="1559" w:type="dxa"/>
          </w:tcPr>
          <w:p w14:paraId="7288150D" w14:textId="1E311752" w:rsidR="001D7710" w:rsidRPr="00E263FF" w:rsidRDefault="001D7710" w:rsidP="001D7710">
            <w:pPr>
              <w:pStyle w:val="TableText"/>
              <w:keepNext/>
              <w:keepLines/>
              <w:cnfStyle w:val="000000000000" w:firstRow="0" w:lastRow="0" w:firstColumn="0" w:lastColumn="0" w:oddVBand="0" w:evenVBand="0" w:oddHBand="0" w:evenHBand="0" w:firstRowFirstColumn="0" w:firstRowLastColumn="0" w:lastRowFirstColumn="0" w:lastRowLastColumn="0"/>
              <w:rPr>
                <w:i/>
                <w:iCs/>
                <w:color w:val="auto"/>
                <w:vertAlign w:val="superscript"/>
                <w:lang w:val="en-AU" w:bidi="en-US"/>
              </w:rPr>
            </w:pPr>
            <w:r w:rsidRPr="001D7710">
              <w:rPr>
                <w:i/>
                <w:iCs/>
                <w:color w:val="auto"/>
                <w:lang w:val="en-AU" w:bidi="en-US"/>
              </w:rPr>
              <w:t>Advanced iCCA</w:t>
            </w:r>
            <w:r w:rsidR="00E263FF">
              <w:rPr>
                <w:i/>
                <w:iCs/>
                <w:color w:val="auto"/>
                <w:lang w:val="en-AU" w:bidi="en-US"/>
              </w:rPr>
              <w:t xml:space="preserve"> </w:t>
            </w:r>
            <w:r w:rsidR="00E263FF">
              <w:rPr>
                <w:i/>
                <w:iCs/>
                <w:color w:val="auto"/>
                <w:vertAlign w:val="superscript"/>
                <w:lang w:val="en-AU" w:bidi="en-US"/>
              </w:rPr>
              <w:t>a</w:t>
            </w:r>
          </w:p>
        </w:tc>
        <w:tc>
          <w:tcPr>
            <w:tcW w:w="992" w:type="dxa"/>
          </w:tcPr>
          <w:p w14:paraId="699C7AE6" w14:textId="18DFF1E4" w:rsidR="001D7710" w:rsidRPr="001D7710" w:rsidRDefault="001D7710" w:rsidP="001D7710">
            <w:pPr>
              <w:pStyle w:val="TableText"/>
              <w:keepNext/>
              <w:keepLines/>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1D7710">
              <w:rPr>
                <w:i/>
                <w:iCs/>
                <w:color w:val="auto"/>
                <w:lang w:val="en-AU" w:bidi="en-US"/>
              </w:rPr>
              <w:t>DNA/RNA NGS and FISH</w:t>
            </w:r>
          </w:p>
        </w:tc>
        <w:tc>
          <w:tcPr>
            <w:tcW w:w="1418" w:type="dxa"/>
          </w:tcPr>
          <w:p w14:paraId="3323A80A" w14:textId="624F6A07" w:rsidR="001D7710" w:rsidRPr="001D7710" w:rsidRDefault="001D7710" w:rsidP="001D7710">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1D7710">
              <w:rPr>
                <w:i/>
                <w:iCs/>
                <w:color w:val="auto"/>
                <w:lang w:val="en-AU" w:bidi="en-US"/>
              </w:rPr>
              <w:t>13/183 (7.1)</w:t>
            </w:r>
          </w:p>
        </w:tc>
      </w:tr>
      <w:tr w:rsidR="00324931" w:rsidRPr="00B27879" w14:paraId="5042BAAF" w14:textId="77777777" w:rsidTr="00FE3A7F">
        <w:tc>
          <w:tcPr>
            <w:cnfStyle w:val="001000000000" w:firstRow="0" w:lastRow="0" w:firstColumn="1" w:lastColumn="0" w:oddVBand="0" w:evenVBand="0" w:oddHBand="0" w:evenHBand="0" w:firstRowFirstColumn="0" w:firstRowLastColumn="0" w:lastRowFirstColumn="0" w:lastRowLastColumn="0"/>
            <w:tcW w:w="7508" w:type="dxa"/>
            <w:gridSpan w:val="5"/>
          </w:tcPr>
          <w:p w14:paraId="5ED35494" w14:textId="36AD2934" w:rsidR="00324931" w:rsidRPr="00B27879" w:rsidRDefault="00324931" w:rsidP="00324931">
            <w:pPr>
              <w:pStyle w:val="TableText"/>
              <w:keepNext/>
              <w:keepLines/>
              <w:jc w:val="right"/>
              <w:rPr>
                <w:i/>
                <w:iCs/>
                <w:color w:val="auto"/>
                <w:lang w:val="en-AU" w:bidi="en-US"/>
              </w:rPr>
            </w:pPr>
            <w:r w:rsidRPr="00B27879">
              <w:rPr>
                <w:i/>
                <w:iCs/>
                <w:color w:val="auto"/>
                <w:lang w:val="en-AU" w:bidi="en-US"/>
              </w:rPr>
              <w:t>Advanced iCCA weighted average prevalence</w:t>
            </w:r>
            <w:r w:rsidR="00343515">
              <w:rPr>
                <w:i/>
                <w:iCs/>
                <w:color w:val="auto"/>
                <w:lang w:val="en-AU" w:bidi="en-US"/>
              </w:rPr>
              <w:t xml:space="preserve"> (excluding Rizzato 2022)</w:t>
            </w:r>
          </w:p>
        </w:tc>
        <w:tc>
          <w:tcPr>
            <w:tcW w:w="1418" w:type="dxa"/>
          </w:tcPr>
          <w:p w14:paraId="6C60950B" w14:textId="77777777" w:rsidR="00324931" w:rsidRPr="00B27879" w:rsidRDefault="00324931" w:rsidP="00324931">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color w:val="auto"/>
                <w:lang w:val="en-AU" w:bidi="en-US"/>
              </w:rPr>
            </w:pPr>
            <w:r w:rsidRPr="00B27879">
              <w:rPr>
                <w:i/>
                <w:iCs/>
                <w:color w:val="auto"/>
                <w:lang w:val="en-AU" w:bidi="en-US"/>
              </w:rPr>
              <w:t>120/647(18.5)</w:t>
            </w:r>
          </w:p>
        </w:tc>
      </w:tr>
      <w:tr w:rsidR="00343515" w:rsidRPr="00B27879" w14:paraId="64752DC5" w14:textId="77777777" w:rsidTr="00FE3A7F">
        <w:tc>
          <w:tcPr>
            <w:cnfStyle w:val="001000000000" w:firstRow="0" w:lastRow="0" w:firstColumn="1" w:lastColumn="0" w:oddVBand="0" w:evenVBand="0" w:oddHBand="0" w:evenHBand="0" w:firstRowFirstColumn="0" w:firstRowLastColumn="0" w:lastRowFirstColumn="0" w:lastRowLastColumn="0"/>
            <w:tcW w:w="7508" w:type="dxa"/>
            <w:gridSpan w:val="5"/>
          </w:tcPr>
          <w:p w14:paraId="3C63D3DF" w14:textId="51707BEC" w:rsidR="00343515" w:rsidRPr="00B27879" w:rsidRDefault="00343515" w:rsidP="00343515">
            <w:pPr>
              <w:pStyle w:val="TableText"/>
              <w:keepNext/>
              <w:keepLines/>
              <w:jc w:val="right"/>
              <w:rPr>
                <w:i/>
                <w:iCs/>
                <w:lang w:bidi="en-US"/>
              </w:rPr>
            </w:pPr>
            <w:r w:rsidRPr="00B27879">
              <w:rPr>
                <w:i/>
                <w:iCs/>
                <w:color w:val="auto"/>
                <w:lang w:val="en-AU" w:bidi="en-US"/>
              </w:rPr>
              <w:t>Advanced iCCA weighted average prevalence</w:t>
            </w:r>
            <w:r>
              <w:rPr>
                <w:i/>
                <w:iCs/>
                <w:color w:val="auto"/>
                <w:lang w:val="en-AU" w:bidi="en-US"/>
              </w:rPr>
              <w:t xml:space="preserve"> (including Rizzato 2022)</w:t>
            </w:r>
          </w:p>
        </w:tc>
        <w:tc>
          <w:tcPr>
            <w:tcW w:w="1418" w:type="dxa"/>
          </w:tcPr>
          <w:p w14:paraId="5CC3F404" w14:textId="3F2199E0" w:rsidR="00343515" w:rsidRPr="00B27879" w:rsidRDefault="00E263FF" w:rsidP="00343515">
            <w:pPr>
              <w:pStyle w:val="TableText"/>
              <w:keepNext/>
              <w:keepLines/>
              <w:jc w:val="center"/>
              <w:cnfStyle w:val="000000000000" w:firstRow="0" w:lastRow="0" w:firstColumn="0" w:lastColumn="0" w:oddVBand="0" w:evenVBand="0" w:oddHBand="0" w:evenHBand="0" w:firstRowFirstColumn="0" w:firstRowLastColumn="0" w:lastRowFirstColumn="0" w:lastRowLastColumn="0"/>
              <w:rPr>
                <w:i/>
                <w:iCs/>
                <w:lang w:bidi="en-US"/>
              </w:rPr>
            </w:pPr>
            <w:r>
              <w:rPr>
                <w:i/>
                <w:iCs/>
                <w:lang w:bidi="en-US"/>
              </w:rPr>
              <w:t>133/830 (16.0)</w:t>
            </w:r>
          </w:p>
        </w:tc>
      </w:tr>
    </w:tbl>
    <w:p w14:paraId="2B00B6CC" w14:textId="46A794C7" w:rsidR="00454B6C" w:rsidRDefault="00454B6C" w:rsidP="00454B6C">
      <w:pPr>
        <w:pStyle w:val="TableFooter"/>
        <w:keepNext/>
        <w:keepLines/>
      </w:pPr>
      <w:r w:rsidRPr="2914E55D">
        <w:t>Source: table 2.5, p</w:t>
      </w:r>
      <w:r w:rsidR="001261CC" w:rsidRPr="2914E55D">
        <w:t>6</w:t>
      </w:r>
      <w:r w:rsidRPr="2914E55D">
        <w:t xml:space="preserve">7 of the submission.  BTC = biliary tract cancer; CCA = cholangiocarcinoma; FISH = fluorescence in situ hybridization; </w:t>
      </w:r>
      <w:r w:rsidR="00F87411" w:rsidRPr="2914E55D">
        <w:t xml:space="preserve">iCCA = intrahepatic </w:t>
      </w:r>
      <w:r w:rsidR="00AF0FA2" w:rsidRPr="2914E55D">
        <w:t xml:space="preserve">cholangiocarcinoma; </w:t>
      </w:r>
      <w:r w:rsidRPr="2914E55D">
        <w:t>NGS = next generation sequencing; NR = not reported; UK = United Kingdom; USA = United States of America</w:t>
      </w:r>
    </w:p>
    <w:p w14:paraId="28BFC3DF" w14:textId="76A5F773" w:rsidR="00330EF0" w:rsidRDefault="00330EF0" w:rsidP="00454B6C">
      <w:pPr>
        <w:pStyle w:val="TableFooter"/>
        <w:keepNext/>
        <w:keepLines/>
      </w:pPr>
      <w:r w:rsidRPr="2914E55D">
        <w:rPr>
          <w:vertAlign w:val="superscript"/>
        </w:rPr>
        <w:t>a</w:t>
      </w:r>
      <w:r w:rsidRPr="2914E55D">
        <w:t xml:space="preserve"> </w:t>
      </w:r>
      <w:r w:rsidR="0072372D" w:rsidRPr="2914E55D">
        <w:t>The s</w:t>
      </w:r>
      <w:r w:rsidRPr="2914E55D">
        <w:t>ubmission erroneously d</w:t>
      </w:r>
      <w:r w:rsidR="0072372D" w:rsidRPr="2914E55D">
        <w:t>id</w:t>
      </w:r>
      <w:r w:rsidRPr="2914E55D">
        <w:t xml:space="preserve"> not include these patients as advanced CCA, though </w:t>
      </w:r>
      <w:r w:rsidR="006060E1" w:rsidRPr="2914E55D">
        <w:t>the publication specified that only advanced CCA patients were included</w:t>
      </w:r>
    </w:p>
    <w:p w14:paraId="5352CF95" w14:textId="7116F6B9" w:rsidR="001D7710" w:rsidRPr="00330EF0" w:rsidRDefault="001D7710" w:rsidP="00454B6C">
      <w:pPr>
        <w:pStyle w:val="TableFooter"/>
        <w:keepNext/>
        <w:keepLines/>
      </w:pPr>
      <w:r w:rsidRPr="2914E55D">
        <w:t xml:space="preserve">Text in italics indicate </w:t>
      </w:r>
      <w:r w:rsidR="00016B3F" w:rsidRPr="2914E55D">
        <w:t xml:space="preserve">information extracted during evaluation </w:t>
      </w:r>
    </w:p>
    <w:p w14:paraId="7F5BA5BB" w14:textId="14B0B1A6" w:rsidR="00454B6C" w:rsidRPr="00353AB8" w:rsidRDefault="00454B6C" w:rsidP="00353AB8">
      <w:pPr>
        <w:jc w:val="left"/>
        <w:rPr>
          <w:rFonts w:ascii="Franklin Gothic Book" w:hAnsi="Franklin Gothic Book"/>
          <w:i/>
          <w:iCs/>
          <w:sz w:val="22"/>
        </w:rPr>
      </w:pPr>
      <w:r w:rsidRPr="00353AB8">
        <w:rPr>
          <w:rFonts w:ascii="Franklin Gothic Book" w:hAnsi="Franklin Gothic Book"/>
          <w:sz w:val="22"/>
        </w:rPr>
        <w:t xml:space="preserve">The submission proposed that 20% be used as the estimate of the diagnostic yield of testing for the presence of an </w:t>
      </w:r>
      <w:r w:rsidRPr="00353AB8">
        <w:rPr>
          <w:rFonts w:ascii="Franklin Gothic Book" w:hAnsi="Franklin Gothic Book"/>
          <w:i/>
          <w:iCs/>
          <w:sz w:val="22"/>
        </w:rPr>
        <w:t>FGFR2</w:t>
      </w:r>
      <w:r w:rsidRPr="00353AB8">
        <w:rPr>
          <w:rFonts w:ascii="Franklin Gothic Book" w:hAnsi="Franklin Gothic Book"/>
          <w:sz w:val="22"/>
        </w:rPr>
        <w:t xml:space="preserve"> alteration with RNA NGS in a locally advanced or metastatic CCA population. The submission did not describe how this was </w:t>
      </w:r>
      <w:r w:rsidR="00544D8B" w:rsidRPr="00353AB8">
        <w:rPr>
          <w:rFonts w:ascii="Franklin Gothic Book" w:hAnsi="Franklin Gothic Book"/>
          <w:sz w:val="22"/>
        </w:rPr>
        <w:t>calculated but</w:t>
      </w:r>
      <w:r w:rsidRPr="00353AB8">
        <w:rPr>
          <w:rFonts w:ascii="Franklin Gothic Book" w:hAnsi="Franklin Gothic Book"/>
          <w:sz w:val="22"/>
        </w:rPr>
        <w:t xml:space="preserve"> was consistent with the weighted average prevalence from the included studies (119/616=19.3%</w:t>
      </w:r>
      <w:r w:rsidR="003452EB" w:rsidRPr="00353AB8">
        <w:rPr>
          <w:rFonts w:ascii="Franklin Gothic Book" w:hAnsi="Franklin Gothic Book"/>
          <w:sz w:val="22"/>
        </w:rPr>
        <w:t>, though this decreased to 15.3% when Rizzato 2022 was included</w:t>
      </w:r>
      <w:r w:rsidRPr="00353AB8">
        <w:rPr>
          <w:rFonts w:ascii="Franklin Gothic Book" w:hAnsi="Franklin Gothic Book"/>
          <w:sz w:val="22"/>
        </w:rPr>
        <w:t>).</w:t>
      </w:r>
      <w:r w:rsidR="00965F07" w:rsidRPr="00353AB8">
        <w:rPr>
          <w:rFonts w:ascii="Franklin Gothic Book" w:hAnsi="Franklin Gothic Book"/>
          <w:sz w:val="22"/>
        </w:rPr>
        <w:t xml:space="preserve"> However it was noted that the publications presented in the submission (as summarised in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_Ref198447157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6</w:t>
      </w:r>
      <w:r w:rsidR="001F5863" w:rsidRPr="001F5863">
        <w:rPr>
          <w:rFonts w:ascii="Franklin Gothic Book" w:hAnsi="Franklin Gothic Book"/>
          <w:sz w:val="22"/>
        </w:rPr>
        <w:fldChar w:fldCharType="end"/>
      </w:r>
      <w:r w:rsidR="00965F07" w:rsidRPr="00353AB8">
        <w:rPr>
          <w:rFonts w:ascii="Franklin Gothic Book" w:hAnsi="Franklin Gothic Book"/>
          <w:sz w:val="22"/>
        </w:rPr>
        <w:t>) indicate a wide range of estimates</w:t>
      </w:r>
      <w:r w:rsidR="007C0868" w:rsidRPr="00353AB8">
        <w:rPr>
          <w:rFonts w:ascii="Franklin Gothic Book" w:hAnsi="Franklin Gothic Book"/>
          <w:sz w:val="22"/>
        </w:rPr>
        <w:t xml:space="preserve"> (from 7.8% in Vancanneyt 2023 </w:t>
      </w:r>
      <w:r w:rsidR="00D0448F" w:rsidRPr="00353AB8">
        <w:rPr>
          <w:rFonts w:ascii="Franklin Gothic Book" w:hAnsi="Franklin Gothic Book"/>
          <w:sz w:val="22"/>
        </w:rPr>
        <w:t xml:space="preserve">in all CCA </w:t>
      </w:r>
      <w:r w:rsidR="007C0868" w:rsidRPr="00353AB8">
        <w:rPr>
          <w:rFonts w:ascii="Franklin Gothic Book" w:hAnsi="Franklin Gothic Book"/>
          <w:sz w:val="22"/>
        </w:rPr>
        <w:t xml:space="preserve">to </w:t>
      </w:r>
      <w:r w:rsidR="00D0448F" w:rsidRPr="00353AB8">
        <w:rPr>
          <w:rFonts w:ascii="Franklin Gothic Book" w:hAnsi="Franklin Gothic Book"/>
          <w:sz w:val="22"/>
        </w:rPr>
        <w:t>27.1</w:t>
      </w:r>
      <w:r w:rsidR="007C0868" w:rsidRPr="00353AB8">
        <w:rPr>
          <w:rFonts w:ascii="Franklin Gothic Book" w:hAnsi="Franklin Gothic Book"/>
          <w:sz w:val="22"/>
        </w:rPr>
        <w:t>% in Jain 2018</w:t>
      </w:r>
      <w:r w:rsidR="00D0448F" w:rsidRPr="00353AB8">
        <w:rPr>
          <w:rFonts w:ascii="Franklin Gothic Book" w:hAnsi="Franklin Gothic Book"/>
          <w:sz w:val="22"/>
        </w:rPr>
        <w:t xml:space="preserve"> in iCCA</w:t>
      </w:r>
      <w:r w:rsidR="007C0868" w:rsidRPr="00353AB8">
        <w:rPr>
          <w:rFonts w:ascii="Franklin Gothic Book" w:hAnsi="Franklin Gothic Book"/>
          <w:sz w:val="22"/>
        </w:rPr>
        <w:t>)</w:t>
      </w:r>
      <w:r w:rsidR="00965F07" w:rsidRPr="00353AB8">
        <w:rPr>
          <w:rFonts w:ascii="Franklin Gothic Book" w:hAnsi="Franklin Gothic Book"/>
          <w:sz w:val="22"/>
        </w:rPr>
        <w:t>, and consequently,</w:t>
      </w:r>
      <w:r w:rsidR="00F63624" w:rsidRPr="00353AB8">
        <w:rPr>
          <w:rFonts w:ascii="Franklin Gothic Book" w:hAnsi="Franklin Gothic Book"/>
          <w:sz w:val="22"/>
        </w:rPr>
        <w:t xml:space="preserve"> the </w:t>
      </w:r>
      <w:r w:rsidR="005F4EBB" w:rsidRPr="00353AB8">
        <w:rPr>
          <w:rFonts w:ascii="Franklin Gothic Book" w:hAnsi="Franklin Gothic Book"/>
          <w:sz w:val="22"/>
        </w:rPr>
        <w:t>commentary</w:t>
      </w:r>
      <w:r w:rsidR="00F63624" w:rsidRPr="00353AB8">
        <w:rPr>
          <w:rFonts w:ascii="Franklin Gothic Book" w:hAnsi="Franklin Gothic Book"/>
          <w:sz w:val="22"/>
        </w:rPr>
        <w:t xml:space="preserve"> considered</w:t>
      </w:r>
      <w:r w:rsidR="00965F07" w:rsidRPr="00353AB8">
        <w:rPr>
          <w:rFonts w:ascii="Franklin Gothic Book" w:hAnsi="Franklin Gothic Book"/>
          <w:sz w:val="22"/>
        </w:rPr>
        <w:t xml:space="preserve"> </w:t>
      </w:r>
      <w:r w:rsidR="00331C86" w:rsidRPr="00353AB8">
        <w:rPr>
          <w:rFonts w:ascii="Franklin Gothic Book" w:hAnsi="Franklin Gothic Book"/>
          <w:sz w:val="22"/>
        </w:rPr>
        <w:t>the diagnostic yield may be uncertain</w:t>
      </w:r>
      <w:r w:rsidR="00965F07" w:rsidRPr="00353AB8">
        <w:rPr>
          <w:rFonts w:ascii="Franklin Gothic Book" w:hAnsi="Franklin Gothic Book"/>
          <w:sz w:val="22"/>
        </w:rPr>
        <w:t>.</w:t>
      </w:r>
      <w:r w:rsidR="00965F07" w:rsidRPr="00353AB8">
        <w:rPr>
          <w:rFonts w:ascii="Franklin Gothic Book" w:hAnsi="Franklin Gothic Book"/>
          <w:i/>
          <w:iCs/>
          <w:sz w:val="22"/>
        </w:rPr>
        <w:t xml:space="preserve">  </w:t>
      </w:r>
    </w:p>
    <w:p w14:paraId="79F1F5B6" w14:textId="63C5F208" w:rsidR="00454B6C" w:rsidRPr="00353AB8" w:rsidRDefault="00AF4451" w:rsidP="00353AB8">
      <w:pPr>
        <w:jc w:val="left"/>
        <w:rPr>
          <w:rFonts w:ascii="Franklin Gothic Book" w:hAnsi="Franklin Gothic Book"/>
          <w:sz w:val="22"/>
        </w:rPr>
      </w:pPr>
      <w:r w:rsidRPr="00353AB8">
        <w:rPr>
          <w:rFonts w:ascii="Franklin Gothic Book" w:hAnsi="Franklin Gothic Book"/>
          <w:sz w:val="22"/>
        </w:rPr>
        <w:t>The submission also presented</w:t>
      </w:r>
      <w:r w:rsidR="005D583F" w:rsidRPr="00353AB8">
        <w:rPr>
          <w:rFonts w:ascii="Franklin Gothic Book" w:hAnsi="Franklin Gothic Book"/>
          <w:sz w:val="22"/>
        </w:rPr>
        <w:t xml:space="preserve"> results from the broader CCA population (i.e. not limited to advanced CCA). </w:t>
      </w:r>
      <w:r w:rsidR="00454B6C" w:rsidRPr="00353AB8">
        <w:rPr>
          <w:rFonts w:ascii="Franklin Gothic Book" w:hAnsi="Franklin Gothic Book"/>
          <w:sz w:val="22"/>
        </w:rPr>
        <w:t>The re</w:t>
      </w:r>
      <w:r w:rsidR="005D583F" w:rsidRPr="00353AB8">
        <w:rPr>
          <w:rFonts w:ascii="Franklin Gothic Book" w:hAnsi="Franklin Gothic Book"/>
          <w:sz w:val="22"/>
        </w:rPr>
        <w:t>ported</w:t>
      </w:r>
      <w:r w:rsidR="00454B6C" w:rsidRPr="00353AB8">
        <w:rPr>
          <w:rFonts w:ascii="Franklin Gothic Book" w:hAnsi="Franklin Gothic Book"/>
          <w:sz w:val="22"/>
        </w:rPr>
        <w:t xml:space="preserve"> prevalence in a broad CCA population </w:t>
      </w:r>
      <w:r w:rsidR="005D583F" w:rsidRPr="00353AB8">
        <w:rPr>
          <w:rFonts w:ascii="Franklin Gothic Book" w:hAnsi="Franklin Gothic Book"/>
          <w:sz w:val="22"/>
        </w:rPr>
        <w:t>wa</w:t>
      </w:r>
      <w:r w:rsidR="00454B6C" w:rsidRPr="00353AB8">
        <w:rPr>
          <w:rFonts w:ascii="Franklin Gothic Book" w:hAnsi="Franklin Gothic Book"/>
          <w:sz w:val="22"/>
        </w:rPr>
        <w:t>s in the range of 6.1% to 16.9%, while prevalence in a broad iCCA population is in the range of 4.6% to 20.7%.</w:t>
      </w:r>
    </w:p>
    <w:p w14:paraId="526C2DD8" w14:textId="5F177E7F" w:rsidR="00454B6C" w:rsidRPr="00353AB8" w:rsidRDefault="00454B6C" w:rsidP="00353AB8">
      <w:pPr>
        <w:jc w:val="left"/>
        <w:rPr>
          <w:rFonts w:ascii="Franklin Gothic Book" w:hAnsi="Franklin Gothic Book"/>
          <w:sz w:val="22"/>
        </w:rPr>
      </w:pPr>
      <w:r w:rsidRPr="00353AB8">
        <w:rPr>
          <w:rFonts w:ascii="Franklin Gothic Book" w:hAnsi="Franklin Gothic Book"/>
          <w:sz w:val="22"/>
        </w:rPr>
        <w:t>As previously noted</w:t>
      </w:r>
      <w:r w:rsidR="006B33D9" w:rsidRPr="00353AB8">
        <w:rPr>
          <w:rFonts w:ascii="Franklin Gothic Book" w:hAnsi="Franklin Gothic Book"/>
          <w:sz w:val="22"/>
        </w:rPr>
        <w:t>,</w:t>
      </w:r>
      <w:r w:rsidRPr="00353AB8">
        <w:rPr>
          <w:rFonts w:ascii="Franklin Gothic Book" w:hAnsi="Franklin Gothic Book"/>
          <w:sz w:val="22"/>
        </w:rPr>
        <w:t xml:space="preserve"> the PASC recommended testing at diagnosis of CCA and not at </w:t>
      </w:r>
      <w:r w:rsidR="003E555A" w:rsidRPr="00353AB8">
        <w:rPr>
          <w:rFonts w:ascii="Franklin Gothic Book" w:hAnsi="Franklin Gothic Book"/>
          <w:sz w:val="22"/>
        </w:rPr>
        <w:t xml:space="preserve">the </w:t>
      </w:r>
      <w:r w:rsidRPr="00353AB8">
        <w:rPr>
          <w:rFonts w:ascii="Franklin Gothic Book" w:hAnsi="Franklin Gothic Book"/>
          <w:sz w:val="22"/>
        </w:rPr>
        <w:t xml:space="preserve">advanced or metastatic stage. When studies of </w:t>
      </w:r>
      <w:r w:rsidRPr="00353AB8">
        <w:rPr>
          <w:rFonts w:ascii="Franklin Gothic Book" w:hAnsi="Franklin Gothic Book"/>
          <w:i/>
          <w:iCs/>
          <w:sz w:val="22"/>
        </w:rPr>
        <w:t>FGFR</w:t>
      </w:r>
      <w:r w:rsidRPr="00353AB8">
        <w:rPr>
          <w:rFonts w:ascii="Franklin Gothic Book" w:hAnsi="Franklin Gothic Book"/>
          <w:sz w:val="22"/>
        </w:rPr>
        <w:t xml:space="preserve"> in all CCA patients were considered, a lower average prevalence rate in a population not limited to advanced or metastatic stage (1</w:t>
      </w:r>
      <w:r w:rsidR="00142028" w:rsidRPr="00353AB8">
        <w:rPr>
          <w:rFonts w:ascii="Franklin Gothic Book" w:hAnsi="Franklin Gothic Book"/>
          <w:sz w:val="22"/>
        </w:rPr>
        <w:t>,</w:t>
      </w:r>
      <w:r w:rsidRPr="00353AB8">
        <w:rPr>
          <w:rFonts w:ascii="Franklin Gothic Book" w:hAnsi="Franklin Gothic Book"/>
          <w:sz w:val="22"/>
        </w:rPr>
        <w:t>016/10</w:t>
      </w:r>
      <w:r w:rsidR="009A59AD" w:rsidRPr="00353AB8">
        <w:rPr>
          <w:rFonts w:ascii="Franklin Gothic Book" w:hAnsi="Franklin Gothic Book"/>
          <w:sz w:val="22"/>
        </w:rPr>
        <w:t>,</w:t>
      </w:r>
      <w:r w:rsidRPr="00353AB8">
        <w:rPr>
          <w:rFonts w:ascii="Franklin Gothic Book" w:hAnsi="Franklin Gothic Book"/>
          <w:sz w:val="22"/>
        </w:rPr>
        <w:t>041=10.1%</w:t>
      </w:r>
      <w:r w:rsidR="006B33D9" w:rsidRPr="00353AB8">
        <w:rPr>
          <w:rFonts w:ascii="Franklin Gothic Book" w:hAnsi="Franklin Gothic Book"/>
          <w:sz w:val="22"/>
        </w:rPr>
        <w:t>)</w:t>
      </w:r>
      <w:r w:rsidRPr="00353AB8">
        <w:rPr>
          <w:rFonts w:ascii="Franklin Gothic Book" w:hAnsi="Franklin Gothic Book"/>
          <w:sz w:val="22"/>
        </w:rPr>
        <w:t xml:space="preserve"> was estimated. As such, </w:t>
      </w:r>
      <w:r w:rsidR="00113889" w:rsidRPr="00353AB8">
        <w:rPr>
          <w:rFonts w:ascii="Franklin Gothic Book" w:hAnsi="Franklin Gothic Book"/>
          <w:sz w:val="22"/>
        </w:rPr>
        <w:t xml:space="preserve">the </w:t>
      </w:r>
      <w:r w:rsidR="005F4EBB" w:rsidRPr="00353AB8">
        <w:rPr>
          <w:rFonts w:ascii="Franklin Gothic Book" w:hAnsi="Franklin Gothic Book"/>
          <w:sz w:val="22"/>
        </w:rPr>
        <w:t>commentary</w:t>
      </w:r>
      <w:r w:rsidR="00113889" w:rsidRPr="00353AB8">
        <w:rPr>
          <w:rFonts w:ascii="Franklin Gothic Book" w:hAnsi="Franklin Gothic Book"/>
          <w:sz w:val="22"/>
        </w:rPr>
        <w:t xml:space="preserve"> considered </w:t>
      </w:r>
      <w:r w:rsidRPr="00353AB8">
        <w:rPr>
          <w:rFonts w:ascii="Franklin Gothic Book" w:hAnsi="Franklin Gothic Book"/>
          <w:sz w:val="22"/>
        </w:rPr>
        <w:t xml:space="preserve">the </w:t>
      </w:r>
      <w:r w:rsidR="00001FB7" w:rsidRPr="00353AB8">
        <w:rPr>
          <w:rFonts w:ascii="Franklin Gothic Book" w:hAnsi="Franklin Gothic Book"/>
          <w:sz w:val="22"/>
        </w:rPr>
        <w:t>d</w:t>
      </w:r>
      <w:r w:rsidRPr="00353AB8">
        <w:rPr>
          <w:rFonts w:ascii="Franklin Gothic Book" w:hAnsi="Franklin Gothic Book"/>
          <w:sz w:val="22"/>
        </w:rPr>
        <w:t xml:space="preserve">iagnostic yield of </w:t>
      </w:r>
      <w:r w:rsidRPr="00353AB8">
        <w:rPr>
          <w:rFonts w:ascii="Franklin Gothic Book" w:hAnsi="Franklin Gothic Book"/>
          <w:i/>
          <w:iCs/>
          <w:sz w:val="22"/>
        </w:rPr>
        <w:t>FGFR2</w:t>
      </w:r>
      <w:r w:rsidRPr="00353AB8">
        <w:rPr>
          <w:rFonts w:ascii="Franklin Gothic Book" w:hAnsi="Franklin Gothic Book"/>
          <w:sz w:val="22"/>
        </w:rPr>
        <w:t xml:space="preserve"> </w:t>
      </w:r>
      <w:r w:rsidR="00AB474D" w:rsidRPr="00353AB8">
        <w:rPr>
          <w:rFonts w:ascii="Franklin Gothic Book" w:hAnsi="Franklin Gothic Book"/>
          <w:sz w:val="22"/>
        </w:rPr>
        <w:t>variant</w:t>
      </w:r>
      <w:r w:rsidRPr="00353AB8">
        <w:rPr>
          <w:rFonts w:ascii="Franklin Gothic Book" w:hAnsi="Franklin Gothic Book"/>
          <w:sz w:val="22"/>
        </w:rPr>
        <w:t xml:space="preserve">s may be dependent on what stage of cancer the testing occurs. </w:t>
      </w:r>
    </w:p>
    <w:p w14:paraId="201C105F" w14:textId="0AFF2438" w:rsidR="00F21E64" w:rsidRPr="00353AB8" w:rsidRDefault="00F21E64" w:rsidP="00843103">
      <w:pPr>
        <w:keepNext/>
        <w:keepLines/>
        <w:jc w:val="left"/>
        <w:rPr>
          <w:rFonts w:ascii="Franklin Gothic Book" w:hAnsi="Franklin Gothic Book"/>
          <w:sz w:val="22"/>
          <w:u w:val="single"/>
        </w:rPr>
      </w:pPr>
      <w:r w:rsidRPr="00353AB8">
        <w:rPr>
          <w:rFonts w:ascii="Franklin Gothic Book" w:hAnsi="Franklin Gothic Book"/>
          <w:sz w:val="22"/>
          <w:u w:val="single"/>
        </w:rPr>
        <w:lastRenderedPageBreak/>
        <w:t>Reference standard and clinical utility standard</w:t>
      </w:r>
    </w:p>
    <w:p w14:paraId="54D4527B" w14:textId="68A86AF4" w:rsidR="00F21E64" w:rsidRPr="00353AB8" w:rsidRDefault="00F21E64" w:rsidP="00843103">
      <w:pPr>
        <w:keepNext/>
        <w:keepLines/>
        <w:jc w:val="left"/>
        <w:rPr>
          <w:rFonts w:ascii="Franklin Gothic Book" w:hAnsi="Franklin Gothic Book"/>
          <w:sz w:val="22"/>
        </w:rPr>
      </w:pPr>
      <w:r w:rsidRPr="00353AB8">
        <w:rPr>
          <w:rFonts w:ascii="Franklin Gothic Book" w:hAnsi="Franklin Gothic Book"/>
          <w:sz w:val="22"/>
        </w:rPr>
        <w:t>The PASC and the submission did not nominate a reference standard.</w:t>
      </w:r>
    </w:p>
    <w:p w14:paraId="27660292" w14:textId="7CA9B389" w:rsidR="00F21E64" w:rsidRPr="00353AB8" w:rsidRDefault="00F21E64" w:rsidP="00843103">
      <w:pPr>
        <w:keepNext/>
        <w:keepLines/>
        <w:jc w:val="left"/>
        <w:rPr>
          <w:rFonts w:ascii="Franklin Gothic Book" w:hAnsi="Franklin Gothic Book"/>
          <w:sz w:val="22"/>
        </w:rPr>
      </w:pPr>
      <w:r w:rsidRPr="00353AB8">
        <w:rPr>
          <w:rFonts w:ascii="Franklin Gothic Book" w:hAnsi="Franklin Gothic Book"/>
          <w:sz w:val="22"/>
        </w:rPr>
        <w:t>The clinical utility standard in the submission was NGS on DNA</w:t>
      </w:r>
      <w:r w:rsidR="00FA0102" w:rsidRPr="00353AB8">
        <w:rPr>
          <w:rFonts w:ascii="Franklin Gothic Book" w:hAnsi="Franklin Gothic Book"/>
          <w:sz w:val="22"/>
        </w:rPr>
        <w:t xml:space="preserve"> for detection of </w:t>
      </w:r>
      <w:r w:rsidR="00FA0102" w:rsidRPr="00353AB8">
        <w:rPr>
          <w:rFonts w:ascii="Franklin Gothic Book" w:hAnsi="Franklin Gothic Book"/>
          <w:i/>
          <w:iCs/>
          <w:sz w:val="22"/>
        </w:rPr>
        <w:t xml:space="preserve">FGFR2 </w:t>
      </w:r>
      <w:r w:rsidR="00FA0102" w:rsidRPr="00353AB8">
        <w:rPr>
          <w:rFonts w:ascii="Franklin Gothic Book" w:hAnsi="Franklin Gothic Book"/>
          <w:sz w:val="22"/>
        </w:rPr>
        <w:t>fusions or rearrangements</w:t>
      </w:r>
      <w:r w:rsidRPr="00353AB8">
        <w:rPr>
          <w:rFonts w:ascii="Franklin Gothic Book" w:hAnsi="Franklin Gothic Book"/>
          <w:sz w:val="22"/>
        </w:rPr>
        <w:t>.</w:t>
      </w:r>
      <w:r w:rsidR="00FA0102" w:rsidRPr="00353AB8">
        <w:rPr>
          <w:rFonts w:ascii="Franklin Gothic Book" w:hAnsi="Franklin Gothic Book"/>
          <w:sz w:val="22"/>
        </w:rPr>
        <w:t xml:space="preserve"> </w:t>
      </w:r>
      <w:r w:rsidR="00113889" w:rsidRPr="00353AB8">
        <w:rPr>
          <w:rFonts w:ascii="Franklin Gothic Book" w:hAnsi="Franklin Gothic Book"/>
          <w:sz w:val="22"/>
        </w:rPr>
        <w:t xml:space="preserve">The </w:t>
      </w:r>
      <w:r w:rsidR="005F4EBB" w:rsidRPr="00353AB8">
        <w:rPr>
          <w:rFonts w:ascii="Franklin Gothic Book" w:hAnsi="Franklin Gothic Book"/>
          <w:sz w:val="22"/>
        </w:rPr>
        <w:t>commentary</w:t>
      </w:r>
      <w:r w:rsidR="00113889" w:rsidRPr="00353AB8">
        <w:rPr>
          <w:rFonts w:ascii="Franklin Gothic Book" w:hAnsi="Franklin Gothic Book"/>
          <w:sz w:val="22"/>
        </w:rPr>
        <w:t xml:space="preserve"> considered that t</w:t>
      </w:r>
      <w:r w:rsidR="00FA0102" w:rsidRPr="00353AB8">
        <w:rPr>
          <w:rFonts w:ascii="Franklin Gothic Book" w:hAnsi="Franklin Gothic Book"/>
          <w:sz w:val="22"/>
        </w:rPr>
        <w:t>his was in alignment with PASC advice.</w:t>
      </w:r>
    </w:p>
    <w:p w14:paraId="0F7D7362" w14:textId="0DF4E673"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The submission noted that the pivotal futibatinib study, FOENIX-CCA2, was divided into three separate sub studies: a dose escalation study, an expansion study and a Phase 2 study. To be eligible for entry into Phase 2 of the study, patients had to have histologically or cytologically confirmed, locally advanced, metastatic, unresectable iCCA harbouring </w:t>
      </w:r>
      <w:r w:rsidRPr="00353AB8">
        <w:rPr>
          <w:rFonts w:ascii="Franklin Gothic Book" w:hAnsi="Franklin Gothic Book"/>
          <w:i/>
          <w:iCs/>
          <w:sz w:val="22"/>
        </w:rPr>
        <w:t>FGFR2</w:t>
      </w:r>
      <w:r w:rsidRPr="00353AB8">
        <w:rPr>
          <w:rFonts w:ascii="Franklin Gothic Book" w:hAnsi="Franklin Gothic Book"/>
          <w:sz w:val="22"/>
        </w:rPr>
        <w:t xml:space="preserve"> gene fusions or other </w:t>
      </w:r>
      <w:r w:rsidRPr="00353AB8">
        <w:rPr>
          <w:rFonts w:ascii="Franklin Gothic Book" w:hAnsi="Franklin Gothic Book"/>
          <w:i/>
          <w:iCs/>
          <w:sz w:val="22"/>
        </w:rPr>
        <w:t>FGFR2</w:t>
      </w:r>
      <w:r w:rsidRPr="00353AB8">
        <w:rPr>
          <w:rFonts w:ascii="Franklin Gothic Book" w:hAnsi="Franklin Gothic Book"/>
          <w:sz w:val="22"/>
        </w:rPr>
        <w:t xml:space="preserve"> rearrangements based on the results of either:</w:t>
      </w:r>
    </w:p>
    <w:p w14:paraId="5AC02FFF" w14:textId="77777777" w:rsidR="00F21E64" w:rsidRPr="00353AB8" w:rsidRDefault="00F21E64" w:rsidP="00353AB8">
      <w:pPr>
        <w:pStyle w:val="ListParagraph"/>
        <w:numPr>
          <w:ilvl w:val="0"/>
          <w:numId w:val="22"/>
        </w:numPr>
        <w:jc w:val="left"/>
        <w:rPr>
          <w:rFonts w:ascii="Franklin Gothic Book" w:hAnsi="Franklin Gothic Book"/>
          <w:color w:val="auto"/>
          <w:sz w:val="22"/>
        </w:rPr>
      </w:pPr>
      <w:r w:rsidRPr="00353AB8">
        <w:rPr>
          <w:rFonts w:ascii="Franklin Gothic Book" w:hAnsi="Franklin Gothic Book"/>
          <w:color w:val="auto"/>
          <w:sz w:val="22"/>
        </w:rPr>
        <w:t>Central testing: testing by Foundation Medicine as part of study pre-screening; or previously tested by Foundation Medicine (in this case, tumour tissue was to be provided to Foundation Medicine if available); or</w:t>
      </w:r>
    </w:p>
    <w:p w14:paraId="19FE28B9" w14:textId="2F095F45" w:rsidR="00F21E64" w:rsidRPr="00353AB8" w:rsidRDefault="00F21E64" w:rsidP="00353AB8">
      <w:pPr>
        <w:pStyle w:val="ListParagraph"/>
        <w:numPr>
          <w:ilvl w:val="0"/>
          <w:numId w:val="22"/>
        </w:numPr>
        <w:jc w:val="left"/>
        <w:rPr>
          <w:rFonts w:ascii="Franklin Gothic Book" w:hAnsi="Franklin Gothic Book"/>
          <w:color w:val="auto"/>
          <w:sz w:val="22"/>
        </w:rPr>
      </w:pPr>
      <w:r w:rsidRPr="00353AB8">
        <w:rPr>
          <w:rFonts w:ascii="Franklin Gothic Book" w:hAnsi="Franklin Gothic Book"/>
          <w:color w:val="auto"/>
          <w:sz w:val="22"/>
        </w:rPr>
        <w:t xml:space="preserve">Local testing: local laboratory testing using NGS, FISH, or other assays able to determine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gene fusions or other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rearrangements on tumour tissues or from ctDNA. Patients enrolled on this basis were requested to provide tumour tissues to Foundation Medicine, if available from either archival samples or fresh tumour biopsy. </w:t>
      </w:r>
    </w:p>
    <w:p w14:paraId="466D07F0" w14:textId="43B34167"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The treated population comprised 103 patients with </w:t>
      </w:r>
      <w:r w:rsidRPr="00353AB8">
        <w:rPr>
          <w:rFonts w:ascii="Franklin Gothic Book" w:hAnsi="Franklin Gothic Book"/>
          <w:i/>
          <w:iCs/>
          <w:sz w:val="22"/>
        </w:rPr>
        <w:t>FGFR2</w:t>
      </w:r>
      <w:r w:rsidRPr="00353AB8">
        <w:rPr>
          <w:rFonts w:ascii="Franklin Gothic Book" w:hAnsi="Franklin Gothic Book"/>
          <w:sz w:val="22"/>
        </w:rPr>
        <w:t xml:space="preserve"> alterations, and patients without </w:t>
      </w:r>
      <w:r w:rsidRPr="00353AB8">
        <w:rPr>
          <w:rFonts w:ascii="Franklin Gothic Book" w:hAnsi="Franklin Gothic Book"/>
          <w:i/>
          <w:iCs/>
          <w:sz w:val="22"/>
        </w:rPr>
        <w:t>FGFR2</w:t>
      </w:r>
      <w:r w:rsidRPr="00353AB8">
        <w:rPr>
          <w:rFonts w:ascii="Franklin Gothic Book" w:hAnsi="Franklin Gothic Book"/>
          <w:sz w:val="22"/>
        </w:rPr>
        <w:t xml:space="preserve"> alterations were excluded. Of these, 99 had their FGFR2 alterations identified in either tissue samples taken from the primary (55; 53.4%) or metastatic (44; </w:t>
      </w:r>
      <w:r w:rsidR="00EC0C5B" w:rsidRPr="00353AB8">
        <w:rPr>
          <w:rFonts w:ascii="Franklin Gothic Book" w:hAnsi="Franklin Gothic Book"/>
          <w:sz w:val="22"/>
        </w:rPr>
        <w:t>4</w:t>
      </w:r>
      <w:r w:rsidR="003A4323" w:rsidRPr="00353AB8">
        <w:rPr>
          <w:rFonts w:ascii="Franklin Gothic Book" w:hAnsi="Franklin Gothic Book"/>
          <w:sz w:val="22"/>
        </w:rPr>
        <w:t>4.4</w:t>
      </w:r>
      <w:r w:rsidRPr="00353AB8">
        <w:rPr>
          <w:rFonts w:ascii="Franklin Gothic Book" w:hAnsi="Franklin Gothic Book"/>
          <w:sz w:val="22"/>
        </w:rPr>
        <w:t>%) tumour sites via the following testing methods:</w:t>
      </w:r>
    </w:p>
    <w:p w14:paraId="05503F22" w14:textId="739FC296" w:rsidR="00F21E64" w:rsidRPr="00353AB8" w:rsidRDefault="00F21E64" w:rsidP="00353AB8">
      <w:pPr>
        <w:pStyle w:val="Default"/>
        <w:rPr>
          <w:rFonts w:ascii="Franklin Gothic Book" w:hAnsi="Franklin Gothic Book"/>
          <w:color w:val="auto"/>
          <w:sz w:val="22"/>
          <w:szCs w:val="22"/>
          <w:lang w:val="en-AU"/>
        </w:rPr>
      </w:pPr>
      <w:r w:rsidRPr="00353AB8">
        <w:rPr>
          <w:rFonts w:ascii="Franklin Gothic Book" w:hAnsi="Franklin Gothic Book"/>
          <w:color w:val="auto"/>
          <w:sz w:val="22"/>
          <w:szCs w:val="22"/>
          <w:lang w:val="en-AU"/>
        </w:rPr>
        <w:t>T</w:t>
      </w:r>
      <w:r w:rsidR="00796212" w:rsidRPr="00353AB8">
        <w:rPr>
          <w:rFonts w:ascii="Franklin Gothic Book" w:hAnsi="Franklin Gothic Book"/>
          <w:color w:val="auto"/>
          <w:sz w:val="22"/>
          <w:szCs w:val="22"/>
          <w:lang w:val="en-AU"/>
        </w:rPr>
        <w:t xml:space="preserve">he </w:t>
      </w:r>
      <w:r w:rsidR="005F4EBB" w:rsidRPr="00353AB8">
        <w:rPr>
          <w:rFonts w:ascii="Franklin Gothic Book" w:hAnsi="Franklin Gothic Book"/>
          <w:color w:val="auto"/>
          <w:sz w:val="22"/>
          <w:szCs w:val="22"/>
          <w:lang w:val="en-AU"/>
        </w:rPr>
        <w:t>commentary</w:t>
      </w:r>
      <w:r w:rsidR="00796212" w:rsidRPr="00353AB8">
        <w:rPr>
          <w:rFonts w:ascii="Franklin Gothic Book" w:hAnsi="Franklin Gothic Book"/>
          <w:color w:val="auto"/>
          <w:sz w:val="22"/>
          <w:szCs w:val="22"/>
          <w:lang w:val="en-AU"/>
        </w:rPr>
        <w:t xml:space="preserve"> </w:t>
      </w:r>
      <w:r w:rsidR="005F4EBB" w:rsidRPr="00353AB8">
        <w:rPr>
          <w:rFonts w:ascii="Franklin Gothic Book" w:hAnsi="Franklin Gothic Book"/>
          <w:color w:val="auto"/>
          <w:sz w:val="22"/>
          <w:szCs w:val="22"/>
          <w:lang w:val="en-AU"/>
        </w:rPr>
        <w:t>noted</w:t>
      </w:r>
      <w:r w:rsidR="00796212" w:rsidRPr="00353AB8">
        <w:rPr>
          <w:rFonts w:ascii="Franklin Gothic Book" w:hAnsi="Franklin Gothic Book"/>
          <w:color w:val="auto"/>
          <w:sz w:val="22"/>
          <w:szCs w:val="22"/>
          <w:lang w:val="en-AU"/>
        </w:rPr>
        <w:t xml:space="preserve"> that t</w:t>
      </w:r>
      <w:r w:rsidRPr="00353AB8">
        <w:rPr>
          <w:rFonts w:ascii="Franklin Gothic Book" w:hAnsi="Franklin Gothic Book"/>
          <w:color w:val="auto"/>
          <w:sz w:val="22"/>
          <w:szCs w:val="22"/>
          <w:lang w:val="en-AU"/>
        </w:rPr>
        <w:t xml:space="preserve">here were discrepancies in the specific NGS on DNA performed in FOENIX-CCA2. Goyal 2023 </w:t>
      </w:r>
      <w:r w:rsidR="00E82B74" w:rsidRPr="00353AB8">
        <w:rPr>
          <w:rFonts w:ascii="Franklin Gothic Book" w:hAnsi="Franklin Gothic Book"/>
          <w:color w:val="auto"/>
          <w:sz w:val="22"/>
          <w:szCs w:val="22"/>
        </w:rPr>
        <w:t xml:space="preserve">(the publication for FOENIX-CCA2) </w:t>
      </w:r>
      <w:r w:rsidRPr="00353AB8">
        <w:rPr>
          <w:rFonts w:ascii="Franklin Gothic Book" w:hAnsi="Franklin Gothic Book"/>
          <w:color w:val="auto"/>
          <w:sz w:val="22"/>
          <w:szCs w:val="22"/>
          <w:lang w:val="en-AU"/>
        </w:rPr>
        <w:t>noted that the test performed in FOENIX-CCA2 was the F1CDx assay. However, the FOENIX</w:t>
      </w:r>
      <w:r w:rsidR="003A77CA" w:rsidRPr="00353AB8">
        <w:rPr>
          <w:rFonts w:ascii="Franklin Gothic Book" w:hAnsi="Franklin Gothic Book"/>
          <w:color w:val="auto"/>
          <w:sz w:val="22"/>
          <w:szCs w:val="22"/>
          <w:lang w:val="en-AU"/>
        </w:rPr>
        <w:noBreakHyphen/>
      </w:r>
      <w:r w:rsidRPr="00353AB8">
        <w:rPr>
          <w:rFonts w:ascii="Franklin Gothic Book" w:hAnsi="Franklin Gothic Book"/>
          <w:color w:val="auto"/>
          <w:sz w:val="22"/>
          <w:szCs w:val="22"/>
          <w:lang w:val="en-AU"/>
        </w:rPr>
        <w:t>CCA2 CSR stated that patients were tested with:</w:t>
      </w:r>
    </w:p>
    <w:p w14:paraId="7292B066" w14:textId="77777777" w:rsidR="00F21E64" w:rsidRPr="00353AB8" w:rsidRDefault="00F21E64" w:rsidP="00353AB8">
      <w:pPr>
        <w:numPr>
          <w:ilvl w:val="0"/>
          <w:numId w:val="19"/>
        </w:numPr>
        <w:jc w:val="left"/>
        <w:rPr>
          <w:rFonts w:ascii="Franklin Gothic Book" w:hAnsi="Franklin Gothic Book"/>
          <w:sz w:val="22"/>
        </w:rPr>
      </w:pPr>
      <w:r w:rsidRPr="00353AB8">
        <w:rPr>
          <w:rFonts w:ascii="Franklin Gothic Book" w:hAnsi="Franklin Gothic Book"/>
          <w:sz w:val="22"/>
        </w:rPr>
        <w:t>The Foundation Medicine Inc. (FMI) DNA NGS clinical trial assay (F1CTA) – 68 patients.</w:t>
      </w:r>
    </w:p>
    <w:p w14:paraId="008629FA" w14:textId="77777777" w:rsidR="00F21E64" w:rsidRPr="00353AB8" w:rsidRDefault="00F21E64" w:rsidP="00353AB8">
      <w:pPr>
        <w:numPr>
          <w:ilvl w:val="0"/>
          <w:numId w:val="19"/>
        </w:numPr>
        <w:jc w:val="left"/>
        <w:rPr>
          <w:rFonts w:ascii="Franklin Gothic Book" w:hAnsi="Franklin Gothic Book"/>
          <w:sz w:val="22"/>
        </w:rPr>
      </w:pPr>
      <w:r w:rsidRPr="00353AB8">
        <w:rPr>
          <w:rFonts w:ascii="Franklin Gothic Book" w:hAnsi="Franklin Gothic Book"/>
          <w:sz w:val="22"/>
        </w:rPr>
        <w:t>The FMI commercially-available Food and Drug Administration (FDA)-approved DNA NGS test (F1CDx) – 25 patients.</w:t>
      </w:r>
    </w:p>
    <w:p w14:paraId="3605051B" w14:textId="77777777" w:rsidR="00F21E64" w:rsidRPr="00353AB8" w:rsidRDefault="00F21E64" w:rsidP="00353AB8">
      <w:pPr>
        <w:numPr>
          <w:ilvl w:val="0"/>
          <w:numId w:val="19"/>
        </w:numPr>
        <w:jc w:val="left"/>
        <w:rPr>
          <w:rFonts w:ascii="Franklin Gothic Book" w:hAnsi="Franklin Gothic Book"/>
          <w:sz w:val="22"/>
        </w:rPr>
      </w:pPr>
      <w:r w:rsidRPr="00353AB8">
        <w:rPr>
          <w:rFonts w:ascii="Franklin Gothic Book" w:hAnsi="Franklin Gothic Book"/>
          <w:sz w:val="22"/>
        </w:rPr>
        <w:t xml:space="preserve">Local NGS testing other than F1CDx – 5 patients; and </w:t>
      </w:r>
    </w:p>
    <w:p w14:paraId="79A1B9DE" w14:textId="77777777" w:rsidR="00F21E64" w:rsidRPr="00353AB8" w:rsidRDefault="00F21E64" w:rsidP="00353AB8">
      <w:pPr>
        <w:pStyle w:val="ListParagraph"/>
        <w:numPr>
          <w:ilvl w:val="0"/>
          <w:numId w:val="19"/>
        </w:numPr>
        <w:jc w:val="left"/>
        <w:rPr>
          <w:rFonts w:ascii="Franklin Gothic Book" w:hAnsi="Franklin Gothic Book"/>
          <w:color w:val="auto"/>
          <w:sz w:val="22"/>
        </w:rPr>
      </w:pPr>
      <w:r w:rsidRPr="00353AB8">
        <w:rPr>
          <w:rFonts w:ascii="Franklin Gothic Book" w:hAnsi="Franklin Gothic Book"/>
          <w:color w:val="auto"/>
          <w:sz w:val="22"/>
        </w:rPr>
        <w:t>Local FISH testing - 1 patient</w:t>
      </w:r>
    </w:p>
    <w:p w14:paraId="4C6475E1" w14:textId="22DF8A44" w:rsidR="00F21E64" w:rsidRPr="00353AB8" w:rsidRDefault="00F21E64"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 xml:space="preserve">Consequently, both F1CDx and F1CTA could </w:t>
      </w:r>
      <w:r w:rsidR="0018276D" w:rsidRPr="00353AB8">
        <w:rPr>
          <w:rFonts w:ascii="Franklin Gothic Book" w:hAnsi="Franklin Gothic Book"/>
          <w:color w:val="auto"/>
          <w:sz w:val="22"/>
        </w:rPr>
        <w:t xml:space="preserve">represent </w:t>
      </w:r>
      <w:r w:rsidRPr="00353AB8">
        <w:rPr>
          <w:rFonts w:ascii="Franklin Gothic Book" w:hAnsi="Franklin Gothic Book"/>
          <w:color w:val="auto"/>
          <w:sz w:val="22"/>
        </w:rPr>
        <w:t xml:space="preserve">the </w:t>
      </w:r>
      <w:r w:rsidR="009C49AC" w:rsidRPr="00353AB8">
        <w:rPr>
          <w:rFonts w:ascii="Franklin Gothic Book" w:hAnsi="Franklin Gothic Book"/>
          <w:color w:val="auto"/>
          <w:sz w:val="22"/>
        </w:rPr>
        <w:t xml:space="preserve">proposed </w:t>
      </w:r>
      <w:r w:rsidRPr="00353AB8">
        <w:rPr>
          <w:rFonts w:ascii="Franklin Gothic Book" w:hAnsi="Franklin Gothic Book"/>
          <w:color w:val="auto"/>
          <w:sz w:val="22"/>
        </w:rPr>
        <w:t xml:space="preserve">clinical utility standard </w:t>
      </w:r>
      <w:r w:rsidR="0018276D" w:rsidRPr="00353AB8">
        <w:rPr>
          <w:rFonts w:ascii="Franklin Gothic Book" w:hAnsi="Franklin Gothic Book"/>
          <w:color w:val="auto"/>
          <w:sz w:val="22"/>
        </w:rPr>
        <w:t xml:space="preserve">of NGS on DNA </w:t>
      </w:r>
      <w:r w:rsidRPr="00353AB8">
        <w:rPr>
          <w:rFonts w:ascii="Franklin Gothic Book" w:hAnsi="Franklin Gothic Book"/>
          <w:color w:val="auto"/>
          <w:sz w:val="22"/>
        </w:rPr>
        <w:t xml:space="preserve">based on testing in FOENIX-CCA2. </w:t>
      </w:r>
      <w:r w:rsidR="004926F2" w:rsidRPr="00353AB8">
        <w:rPr>
          <w:rFonts w:ascii="Franklin Gothic Book" w:hAnsi="Franklin Gothic Book"/>
          <w:color w:val="auto"/>
          <w:sz w:val="22"/>
        </w:rPr>
        <w:t>A</w:t>
      </w:r>
      <w:r w:rsidRPr="00353AB8">
        <w:rPr>
          <w:rFonts w:ascii="Franklin Gothic Book" w:hAnsi="Franklin Gothic Book"/>
          <w:color w:val="auto"/>
          <w:sz w:val="22"/>
        </w:rPr>
        <w:t xml:space="preserve">s the test used </w:t>
      </w:r>
      <w:r w:rsidR="00E82B74" w:rsidRPr="00353AB8">
        <w:rPr>
          <w:rFonts w:ascii="Franklin Gothic Book" w:hAnsi="Franklin Gothic Book"/>
          <w:color w:val="auto"/>
          <w:sz w:val="22"/>
        </w:rPr>
        <w:t xml:space="preserve">to identify the most patients </w:t>
      </w:r>
      <w:r w:rsidRPr="00353AB8">
        <w:rPr>
          <w:rFonts w:ascii="Franklin Gothic Book" w:hAnsi="Franklin Gothic Book"/>
          <w:color w:val="auto"/>
          <w:sz w:val="22"/>
        </w:rPr>
        <w:t>in the pivotal study</w:t>
      </w:r>
      <w:r w:rsidR="00E82B74" w:rsidRPr="00353AB8">
        <w:rPr>
          <w:rFonts w:ascii="Franklin Gothic Book" w:hAnsi="Franklin Gothic Book"/>
          <w:color w:val="auto"/>
          <w:sz w:val="22"/>
        </w:rPr>
        <w:t>,</w:t>
      </w:r>
      <w:r w:rsidRPr="00353AB8">
        <w:rPr>
          <w:rFonts w:ascii="Franklin Gothic Book" w:hAnsi="Franklin Gothic Book"/>
          <w:color w:val="auto"/>
          <w:sz w:val="22"/>
        </w:rPr>
        <w:t xml:space="preserve"> </w:t>
      </w:r>
      <w:r w:rsidR="00E82B74" w:rsidRPr="00353AB8">
        <w:rPr>
          <w:rFonts w:ascii="Franklin Gothic Book" w:hAnsi="Franklin Gothic Book"/>
          <w:color w:val="auto"/>
          <w:sz w:val="22"/>
        </w:rPr>
        <w:t xml:space="preserve">F1CTA </w:t>
      </w:r>
      <w:r w:rsidRPr="00353AB8">
        <w:rPr>
          <w:rFonts w:ascii="Franklin Gothic Book" w:hAnsi="Franklin Gothic Book"/>
          <w:color w:val="auto"/>
          <w:sz w:val="22"/>
        </w:rPr>
        <w:t xml:space="preserve">was </w:t>
      </w:r>
      <w:r w:rsidR="00E82B74" w:rsidRPr="00353AB8">
        <w:rPr>
          <w:rFonts w:ascii="Franklin Gothic Book" w:hAnsi="Franklin Gothic Book"/>
          <w:color w:val="auto"/>
          <w:sz w:val="22"/>
        </w:rPr>
        <w:t>likely the more reasonable clinical utility standard. Appropriately, the submission provided results of</w:t>
      </w:r>
      <w:r w:rsidRPr="00353AB8">
        <w:rPr>
          <w:rFonts w:ascii="Franklin Gothic Book" w:hAnsi="Franklin Gothic Book"/>
          <w:color w:val="auto"/>
          <w:sz w:val="22"/>
        </w:rPr>
        <w:t xml:space="preserve"> a concordance analysis between F1CTA, and the commercially available F1CDx tests. </w:t>
      </w:r>
    </w:p>
    <w:p w14:paraId="229C3582" w14:textId="5BC80C54" w:rsidR="00F21E64" w:rsidRPr="00353AB8" w:rsidRDefault="00F21E64"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The MSAC Guidelines, (p102) state that the clinical utility standard is the test (and methods of testing) that was used to generate direct clinical outcomes in patients with and without a biomarker. However, the submission did not present any clinical data on biomarker negative patients treated with futibatinib. T</w:t>
      </w:r>
      <w:r w:rsidR="00A47A21" w:rsidRPr="00353AB8">
        <w:rPr>
          <w:rFonts w:ascii="Franklin Gothic Book" w:hAnsi="Franklin Gothic Book"/>
          <w:color w:val="auto"/>
          <w:sz w:val="22"/>
        </w:rPr>
        <w:t xml:space="preserve">he </w:t>
      </w:r>
      <w:r w:rsidR="005F4EBB" w:rsidRPr="00353AB8">
        <w:rPr>
          <w:rFonts w:ascii="Franklin Gothic Book" w:hAnsi="Franklin Gothic Book"/>
          <w:color w:val="auto"/>
          <w:sz w:val="22"/>
        </w:rPr>
        <w:t>commentary</w:t>
      </w:r>
      <w:r w:rsidR="00A47A21" w:rsidRPr="00353AB8">
        <w:rPr>
          <w:rFonts w:ascii="Franklin Gothic Book" w:hAnsi="Franklin Gothic Book"/>
          <w:color w:val="auto"/>
          <w:sz w:val="22"/>
        </w:rPr>
        <w:t xml:space="preserve"> considered that t</w:t>
      </w:r>
      <w:r w:rsidRPr="00353AB8">
        <w:rPr>
          <w:rFonts w:ascii="Franklin Gothic Book" w:hAnsi="Franklin Gothic Book"/>
          <w:color w:val="auto"/>
          <w:sz w:val="22"/>
        </w:rPr>
        <w:t xml:space="preserve">his potentially presents a barrier to establishing the codependency proposed in the submission. </w:t>
      </w:r>
    </w:p>
    <w:p w14:paraId="51D8F127" w14:textId="539BFF41" w:rsidR="00454B6C" w:rsidRPr="00353AB8" w:rsidRDefault="00454B6C" w:rsidP="00112D43">
      <w:pPr>
        <w:keepNext/>
        <w:keepLines/>
        <w:jc w:val="left"/>
        <w:rPr>
          <w:rFonts w:ascii="Franklin Gothic Book" w:hAnsi="Franklin Gothic Book"/>
          <w:sz w:val="22"/>
          <w:u w:val="single"/>
        </w:rPr>
      </w:pPr>
      <w:r w:rsidRPr="00353AB8">
        <w:rPr>
          <w:rFonts w:ascii="Franklin Gothic Book" w:hAnsi="Franklin Gothic Book"/>
          <w:sz w:val="22"/>
          <w:u w:val="single"/>
        </w:rPr>
        <w:lastRenderedPageBreak/>
        <w:t>Concordance</w:t>
      </w:r>
    </w:p>
    <w:p w14:paraId="6ADC7050" w14:textId="77777777" w:rsidR="00F21E64" w:rsidRPr="00353AB8" w:rsidRDefault="00F21E64" w:rsidP="00112D43">
      <w:pPr>
        <w:pStyle w:val="InstructionalText"/>
        <w:keepNext/>
        <w:keepLines/>
        <w:jc w:val="left"/>
        <w:rPr>
          <w:rFonts w:ascii="Franklin Gothic Book" w:hAnsi="Franklin Gothic Book"/>
          <w:color w:val="auto"/>
          <w:sz w:val="22"/>
        </w:rPr>
      </w:pPr>
      <w:r w:rsidRPr="00353AB8">
        <w:rPr>
          <w:rFonts w:ascii="Franklin Gothic Book" w:hAnsi="Franklin Gothic Book"/>
          <w:color w:val="auto"/>
          <w:sz w:val="22"/>
        </w:rPr>
        <w:t>The following studies were included in the assessment of concordance between different tests:</w:t>
      </w:r>
    </w:p>
    <w:p w14:paraId="594FB6FE" w14:textId="05988616" w:rsidR="00F21E64" w:rsidRPr="00353AB8" w:rsidRDefault="00F21E64" w:rsidP="00112D43">
      <w:pPr>
        <w:pStyle w:val="InstructionalText"/>
        <w:keepNext/>
        <w:keepLines/>
        <w:numPr>
          <w:ilvl w:val="0"/>
          <w:numId w:val="21"/>
        </w:numPr>
        <w:jc w:val="left"/>
        <w:rPr>
          <w:rFonts w:ascii="Franklin Gothic Book" w:hAnsi="Franklin Gothic Book"/>
          <w:color w:val="auto"/>
          <w:sz w:val="22"/>
        </w:rPr>
      </w:pPr>
      <w:r w:rsidRPr="00353AB8">
        <w:rPr>
          <w:rFonts w:ascii="Franklin Gothic Book" w:hAnsi="Franklin Gothic Book"/>
          <w:color w:val="auto"/>
          <w:sz w:val="22"/>
        </w:rPr>
        <w:t>Silverman 2022</w:t>
      </w:r>
      <w:r w:rsidR="00954EEE" w:rsidRPr="00353AB8">
        <w:rPr>
          <w:rStyle w:val="FootnoteReference"/>
          <w:rFonts w:ascii="Franklin Gothic Book" w:hAnsi="Franklin Gothic Book"/>
          <w:color w:val="auto"/>
          <w:sz w:val="22"/>
        </w:rPr>
        <w:footnoteReference w:id="13"/>
      </w:r>
      <w:r w:rsidRPr="00353AB8">
        <w:rPr>
          <w:rFonts w:ascii="Franklin Gothic Book" w:hAnsi="Franklin Gothic Book"/>
          <w:color w:val="auto"/>
          <w:sz w:val="22"/>
        </w:rPr>
        <w:t xml:space="preserve"> and F1CDx Technical Information provide a description of the testing used in the FIGHT-202 study (a single arm study which evaluated pemigatinib, an FGFR1-3 inhibitor, in previously treated patients with advanced CCA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 or other rearrangement) and analyses of the concordance between i) the F1CTA (NGS on DNA) and the commercially available Companion Diagnostic (F1CDx; NGS on DNA) and ii) the F1CDx (NGS on DNA) and an externally validated RNA NGS assay (evNGS)</w:t>
      </w:r>
      <w:r w:rsidR="008877AD" w:rsidRPr="00353AB8">
        <w:rPr>
          <w:rFonts w:ascii="Franklin Gothic Book" w:hAnsi="Franklin Gothic Book"/>
          <w:color w:val="auto"/>
          <w:sz w:val="22"/>
        </w:rPr>
        <w:t>; and</w:t>
      </w:r>
      <w:r w:rsidRPr="00353AB8">
        <w:rPr>
          <w:rFonts w:ascii="Franklin Gothic Book" w:hAnsi="Franklin Gothic Book"/>
          <w:color w:val="auto"/>
          <w:sz w:val="22"/>
        </w:rPr>
        <w:t xml:space="preserve"> </w:t>
      </w:r>
    </w:p>
    <w:p w14:paraId="622C1BAB" w14:textId="2892B6C0" w:rsidR="00F21E64" w:rsidRPr="00353AB8" w:rsidRDefault="00F21E64" w:rsidP="00353AB8">
      <w:pPr>
        <w:pStyle w:val="InstructionalText"/>
        <w:numPr>
          <w:ilvl w:val="0"/>
          <w:numId w:val="21"/>
        </w:numPr>
        <w:jc w:val="left"/>
        <w:rPr>
          <w:rFonts w:ascii="Franklin Gothic Book" w:hAnsi="Franklin Gothic Book"/>
          <w:color w:val="auto"/>
          <w:sz w:val="22"/>
        </w:rPr>
      </w:pPr>
      <w:r w:rsidRPr="00353AB8">
        <w:rPr>
          <w:rFonts w:ascii="Franklin Gothic Book" w:hAnsi="Franklin Gothic Book"/>
          <w:color w:val="auto"/>
          <w:sz w:val="22"/>
        </w:rPr>
        <w:t>Zou 2023</w:t>
      </w:r>
      <w:r w:rsidR="009618F6" w:rsidRPr="00353AB8">
        <w:rPr>
          <w:rStyle w:val="FootnoteReference"/>
          <w:rFonts w:ascii="Franklin Gothic Book" w:hAnsi="Franklin Gothic Book"/>
          <w:color w:val="auto"/>
          <w:sz w:val="22"/>
        </w:rPr>
        <w:footnoteReference w:id="14"/>
      </w:r>
      <w:r w:rsidRPr="00353AB8">
        <w:rPr>
          <w:rFonts w:ascii="Franklin Gothic Book" w:hAnsi="Franklin Gothic Book"/>
          <w:color w:val="auto"/>
          <w:sz w:val="22"/>
        </w:rPr>
        <w:t xml:space="preserve"> assessed the concordance of FISH on DNA with NGS on DNA with samples from 167 iCCA patients. </w:t>
      </w:r>
    </w:p>
    <w:p w14:paraId="512E5074" w14:textId="7BEE6DF9" w:rsidR="00F21E64" w:rsidRPr="00353AB8" w:rsidRDefault="001F5863" w:rsidP="00353AB8">
      <w:pPr>
        <w:pStyle w:val="InstructionalText"/>
        <w:jc w:val="left"/>
        <w:rPr>
          <w:rFonts w:ascii="Franklin Gothic Book" w:hAnsi="Franklin Gothic Book"/>
          <w:color w:val="auto"/>
          <w:sz w:val="22"/>
        </w:rPr>
      </w:pPr>
      <w:r w:rsidRPr="001F5863">
        <w:rPr>
          <w:rFonts w:ascii="Franklin Gothic Book" w:hAnsi="Franklin Gothic Book"/>
          <w:color w:val="auto"/>
          <w:sz w:val="22"/>
        </w:rPr>
        <w:fldChar w:fldCharType="begin"/>
      </w:r>
      <w:r w:rsidRPr="001F5863">
        <w:rPr>
          <w:rFonts w:ascii="Franklin Gothic Book" w:hAnsi="Franklin Gothic Book"/>
          <w:color w:val="auto"/>
          <w:sz w:val="22"/>
        </w:rPr>
        <w:instrText xml:space="preserve"> REF _Ref198447320  \* MERGEFORMAT </w:instrText>
      </w:r>
      <w:r w:rsidRPr="001F5863">
        <w:rPr>
          <w:rFonts w:ascii="Franklin Gothic Book" w:hAnsi="Franklin Gothic Book"/>
          <w:color w:val="auto"/>
          <w:sz w:val="22"/>
        </w:rPr>
        <w:fldChar w:fldCharType="separate"/>
      </w:r>
      <w:r w:rsidRPr="001F5863">
        <w:rPr>
          <w:rFonts w:ascii="Franklin Gothic Book" w:hAnsi="Franklin Gothic Book"/>
          <w:color w:val="auto"/>
          <w:sz w:val="22"/>
        </w:rPr>
        <w:t xml:space="preserve">Table </w:t>
      </w:r>
      <w:r w:rsidRPr="001F5863">
        <w:rPr>
          <w:rFonts w:ascii="Franklin Gothic Book" w:hAnsi="Franklin Gothic Book"/>
          <w:noProof/>
          <w:color w:val="auto"/>
          <w:sz w:val="22"/>
        </w:rPr>
        <w:t>7</w:t>
      </w:r>
      <w:r w:rsidRPr="001F5863">
        <w:rPr>
          <w:rFonts w:ascii="Franklin Gothic Book" w:hAnsi="Franklin Gothic Book"/>
          <w:color w:val="auto"/>
          <w:sz w:val="22"/>
        </w:rPr>
        <w:fldChar w:fldCharType="end"/>
      </w:r>
      <w:r w:rsidR="009618F6" w:rsidRPr="00C46D49">
        <w:rPr>
          <w:rFonts w:ascii="Franklin Gothic Book" w:hAnsi="Franklin Gothic Book"/>
          <w:color w:val="auto"/>
          <w:sz w:val="22"/>
        </w:rPr>
        <w:t xml:space="preserve"> </w:t>
      </w:r>
      <w:r w:rsidR="00F21E64" w:rsidRPr="00C46D49">
        <w:rPr>
          <w:rFonts w:ascii="Franklin Gothic Book" w:hAnsi="Franklin Gothic Book"/>
          <w:color w:val="auto"/>
          <w:sz w:val="22"/>
        </w:rPr>
        <w:t>pr</w:t>
      </w:r>
      <w:r w:rsidR="00F21E64" w:rsidRPr="00353AB8">
        <w:rPr>
          <w:rFonts w:ascii="Franklin Gothic Book" w:hAnsi="Franklin Gothic Book"/>
          <w:color w:val="auto"/>
          <w:sz w:val="22"/>
        </w:rPr>
        <w:t>esents a summary of the key features of the included concordance evidence.</w:t>
      </w:r>
    </w:p>
    <w:p w14:paraId="78D14A1A" w14:textId="2BC5E687" w:rsidR="00F21E64" w:rsidRPr="00B27879" w:rsidRDefault="009D316D" w:rsidP="009D316D">
      <w:pPr>
        <w:pStyle w:val="Caption"/>
      </w:pPr>
      <w:bookmarkStart w:id="41" w:name="_Ref198447320"/>
      <w:bookmarkStart w:id="42" w:name="_Ref187679678"/>
      <w:r>
        <w:t xml:space="preserve">Table </w:t>
      </w:r>
      <w:r>
        <w:fldChar w:fldCharType="begin"/>
      </w:r>
      <w:r>
        <w:instrText>SEQ Table \* ARABIC</w:instrText>
      </w:r>
      <w:r>
        <w:fldChar w:fldCharType="separate"/>
      </w:r>
      <w:r w:rsidR="005B1C7E">
        <w:rPr>
          <w:noProof/>
        </w:rPr>
        <w:t>7</w:t>
      </w:r>
      <w:r>
        <w:fldChar w:fldCharType="end"/>
      </w:r>
      <w:bookmarkEnd w:id="41"/>
      <w:r>
        <w:tab/>
      </w:r>
      <w:bookmarkEnd w:id="42"/>
      <w:r w:rsidR="00F21E64" w:rsidRPr="00B27879">
        <w:t>Key features of the included test accuracy evidence comparing different FGFR2 tests</w:t>
      </w:r>
    </w:p>
    <w:tbl>
      <w:tblPr>
        <w:tblStyle w:val="PBACTableStyle"/>
        <w:tblW w:w="0" w:type="auto"/>
        <w:tblCellMar>
          <w:left w:w="29" w:type="dxa"/>
          <w:right w:w="29" w:type="dxa"/>
        </w:tblCellMar>
        <w:tblLook w:val="04A0" w:firstRow="1" w:lastRow="0" w:firstColumn="1" w:lastColumn="0" w:noHBand="0" w:noVBand="1"/>
      </w:tblPr>
      <w:tblGrid>
        <w:gridCol w:w="1627"/>
        <w:gridCol w:w="332"/>
        <w:gridCol w:w="1034"/>
        <w:gridCol w:w="1229"/>
        <w:gridCol w:w="1467"/>
        <w:gridCol w:w="1494"/>
        <w:gridCol w:w="952"/>
        <w:gridCol w:w="881"/>
      </w:tblGrid>
      <w:tr w:rsidR="007900E9" w:rsidRPr="00B27879" w14:paraId="63FECA60" w14:textId="77777777" w:rsidTr="00792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014D118" w14:textId="77777777" w:rsidR="00F21E64" w:rsidRPr="00B27879" w:rsidRDefault="00F21E64" w:rsidP="00FE3A7F">
            <w:pPr>
              <w:pStyle w:val="TableText"/>
              <w:keepNext/>
              <w:keepLines/>
              <w:rPr>
                <w:color w:val="auto"/>
                <w:lang w:val="en-AU" w:bidi="en-US"/>
              </w:rPr>
            </w:pPr>
            <w:r w:rsidRPr="00B27879">
              <w:rPr>
                <w:color w:val="auto"/>
                <w:lang w:val="en-AU" w:bidi="en-US"/>
              </w:rPr>
              <w:t>Citation</w:t>
            </w:r>
          </w:p>
        </w:tc>
        <w:tc>
          <w:tcPr>
            <w:tcW w:w="332" w:type="dxa"/>
          </w:tcPr>
          <w:p w14:paraId="09A62CC3"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w:t>
            </w:r>
          </w:p>
        </w:tc>
        <w:tc>
          <w:tcPr>
            <w:tcW w:w="1034" w:type="dxa"/>
          </w:tcPr>
          <w:p w14:paraId="470FDA4E"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Study design</w:t>
            </w:r>
          </w:p>
          <w:p w14:paraId="4636B548" w14:textId="77777777" w:rsidR="00F21E64" w:rsidRPr="00792587"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792587">
              <w:rPr>
                <w:color w:val="auto"/>
                <w:lang w:val="en-AU" w:bidi="en-US"/>
              </w:rPr>
              <w:t>Risk of bias</w:t>
            </w:r>
          </w:p>
        </w:tc>
        <w:tc>
          <w:tcPr>
            <w:tcW w:w="1229" w:type="dxa"/>
          </w:tcPr>
          <w:p w14:paraId="3BD567EB"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Population</w:t>
            </w:r>
          </w:p>
        </w:tc>
        <w:tc>
          <w:tcPr>
            <w:tcW w:w="1467" w:type="dxa"/>
          </w:tcPr>
          <w:p w14:paraId="05007745"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Intervention</w:t>
            </w:r>
          </w:p>
        </w:tc>
        <w:tc>
          <w:tcPr>
            <w:tcW w:w="1494" w:type="dxa"/>
          </w:tcPr>
          <w:p w14:paraId="7DEC3DD2"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Comparator</w:t>
            </w:r>
          </w:p>
        </w:tc>
        <w:tc>
          <w:tcPr>
            <w:tcW w:w="952" w:type="dxa"/>
          </w:tcPr>
          <w:p w14:paraId="6B0CA47C"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Key outcomes</w:t>
            </w:r>
          </w:p>
        </w:tc>
        <w:tc>
          <w:tcPr>
            <w:tcW w:w="881" w:type="dxa"/>
          </w:tcPr>
          <w:p w14:paraId="5F0F2B58" w14:textId="77777777" w:rsidR="00F21E64" w:rsidRPr="00B27879" w:rsidRDefault="00F21E6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Result used in economic model</w:t>
            </w:r>
          </w:p>
        </w:tc>
      </w:tr>
      <w:tr w:rsidR="00792587" w:rsidRPr="00B27879" w14:paraId="74E6491D" w14:textId="77777777" w:rsidTr="00792587">
        <w:tc>
          <w:tcPr>
            <w:cnfStyle w:val="001000000000" w:firstRow="0" w:lastRow="0" w:firstColumn="1" w:lastColumn="0" w:oddVBand="0" w:evenVBand="0" w:oddHBand="0" w:evenHBand="0" w:firstRowFirstColumn="0" w:firstRowLastColumn="0" w:lastRowFirstColumn="0" w:lastRowLastColumn="0"/>
            <w:tcW w:w="1627" w:type="dxa"/>
            <w:vMerge w:val="restart"/>
          </w:tcPr>
          <w:p w14:paraId="40A6A4EF" w14:textId="39B608A4" w:rsidR="00792587" w:rsidRPr="00B27879" w:rsidRDefault="00792587" w:rsidP="00FE3A7F">
            <w:pPr>
              <w:pStyle w:val="TableText"/>
              <w:keepNext/>
              <w:keepLines/>
              <w:rPr>
                <w:color w:val="auto"/>
                <w:lang w:val="en-AU" w:bidi="en-US"/>
              </w:rPr>
            </w:pPr>
            <w:r w:rsidRPr="00B27879">
              <w:rPr>
                <w:color w:val="auto"/>
                <w:lang w:val="en-AU" w:bidi="en-US"/>
              </w:rPr>
              <w:t xml:space="preserve">Silverman 2022 and F1CDx Technical Information </w:t>
            </w:r>
          </w:p>
        </w:tc>
        <w:tc>
          <w:tcPr>
            <w:tcW w:w="332" w:type="dxa"/>
          </w:tcPr>
          <w:p w14:paraId="5412396B"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181</w:t>
            </w:r>
          </w:p>
        </w:tc>
        <w:tc>
          <w:tcPr>
            <w:tcW w:w="1034" w:type="dxa"/>
          </w:tcPr>
          <w:p w14:paraId="5A319A7B"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Concordance study</w:t>
            </w:r>
          </w:p>
          <w:p w14:paraId="3C004E01" w14:textId="77777777" w:rsidR="00792587" w:rsidRPr="00792587"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792587">
              <w:rPr>
                <w:color w:val="auto"/>
                <w:lang w:val="en-AU" w:bidi="en-US"/>
              </w:rPr>
              <w:t>Moderate</w:t>
            </w:r>
          </w:p>
        </w:tc>
        <w:tc>
          <w:tcPr>
            <w:tcW w:w="1229" w:type="dxa"/>
          </w:tcPr>
          <w:p w14:paraId="72BD56B9"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Samples from patients with CCA</w:t>
            </w:r>
          </w:p>
        </w:tc>
        <w:tc>
          <w:tcPr>
            <w:tcW w:w="1467" w:type="dxa"/>
          </w:tcPr>
          <w:p w14:paraId="64B4F9A8"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F1CDx DNA NGS (FGFR2)</w:t>
            </w:r>
          </w:p>
          <w:p w14:paraId="0DDA8504"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Reference standard</w:t>
            </w:r>
          </w:p>
        </w:tc>
        <w:tc>
          <w:tcPr>
            <w:tcW w:w="1494" w:type="dxa"/>
          </w:tcPr>
          <w:p w14:paraId="132D9BE9"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F1 CTA DNA NGS (FGFR2)</w:t>
            </w:r>
          </w:p>
          <w:p w14:paraId="57C2E8A0"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Clinical utility standard</w:t>
            </w:r>
          </w:p>
        </w:tc>
        <w:tc>
          <w:tcPr>
            <w:tcW w:w="952" w:type="dxa"/>
          </w:tcPr>
          <w:p w14:paraId="6B6317B1"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PPA, NPA, OPA, Adj PPV, Adj NPV</w:t>
            </w:r>
          </w:p>
        </w:tc>
        <w:tc>
          <w:tcPr>
            <w:tcW w:w="881" w:type="dxa"/>
          </w:tcPr>
          <w:p w14:paraId="5390CBC6"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No</w:t>
            </w:r>
          </w:p>
        </w:tc>
      </w:tr>
      <w:tr w:rsidR="00792587" w:rsidRPr="00B27879" w14:paraId="290AB5AD" w14:textId="77777777" w:rsidTr="00792587">
        <w:tc>
          <w:tcPr>
            <w:cnfStyle w:val="001000000000" w:firstRow="0" w:lastRow="0" w:firstColumn="1" w:lastColumn="0" w:oddVBand="0" w:evenVBand="0" w:oddHBand="0" w:evenHBand="0" w:firstRowFirstColumn="0" w:firstRowLastColumn="0" w:lastRowFirstColumn="0" w:lastRowLastColumn="0"/>
            <w:tcW w:w="1627" w:type="dxa"/>
            <w:vMerge/>
          </w:tcPr>
          <w:p w14:paraId="4354FA35" w14:textId="12907BB5" w:rsidR="00792587" w:rsidRPr="00B27879" w:rsidRDefault="00792587" w:rsidP="00FE3A7F">
            <w:pPr>
              <w:pStyle w:val="TableText"/>
              <w:keepNext/>
              <w:keepLines/>
              <w:rPr>
                <w:color w:val="auto"/>
                <w:lang w:val="en-AU" w:bidi="en-US"/>
              </w:rPr>
            </w:pPr>
          </w:p>
        </w:tc>
        <w:tc>
          <w:tcPr>
            <w:tcW w:w="332" w:type="dxa"/>
          </w:tcPr>
          <w:p w14:paraId="2E0FA736"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159</w:t>
            </w:r>
          </w:p>
        </w:tc>
        <w:tc>
          <w:tcPr>
            <w:tcW w:w="1034" w:type="dxa"/>
          </w:tcPr>
          <w:p w14:paraId="298E81EF"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Concordance study</w:t>
            </w:r>
          </w:p>
          <w:p w14:paraId="5B1B73F5" w14:textId="77777777" w:rsidR="00792587" w:rsidRPr="00792587"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792587">
              <w:rPr>
                <w:color w:val="auto"/>
                <w:lang w:val="en-AU" w:bidi="en-US"/>
              </w:rPr>
              <w:t>Moderate</w:t>
            </w:r>
          </w:p>
        </w:tc>
        <w:tc>
          <w:tcPr>
            <w:tcW w:w="1229" w:type="dxa"/>
          </w:tcPr>
          <w:p w14:paraId="473C5871"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Samples from patients with CCA</w:t>
            </w:r>
          </w:p>
        </w:tc>
        <w:tc>
          <w:tcPr>
            <w:tcW w:w="1467" w:type="dxa"/>
          </w:tcPr>
          <w:p w14:paraId="7119CA1A"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F1CDx DNA NGS (FGFR2)</w:t>
            </w:r>
          </w:p>
          <w:p w14:paraId="056B4C99"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Reference standard</w:t>
            </w:r>
          </w:p>
        </w:tc>
        <w:tc>
          <w:tcPr>
            <w:tcW w:w="1494" w:type="dxa"/>
          </w:tcPr>
          <w:p w14:paraId="00663485"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EV RNA NGS</w:t>
            </w:r>
          </w:p>
          <w:p w14:paraId="6BF988DD"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(FGFR2)</w:t>
            </w:r>
          </w:p>
          <w:p w14:paraId="5F04691E"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Index test</w:t>
            </w:r>
          </w:p>
        </w:tc>
        <w:tc>
          <w:tcPr>
            <w:tcW w:w="952" w:type="dxa"/>
          </w:tcPr>
          <w:p w14:paraId="47417C17"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Adj PPA, Adj NPA, Adj OPA, PPV, NPV</w:t>
            </w:r>
          </w:p>
        </w:tc>
        <w:tc>
          <w:tcPr>
            <w:tcW w:w="881" w:type="dxa"/>
          </w:tcPr>
          <w:p w14:paraId="3642502E" w14:textId="77777777" w:rsidR="00792587" w:rsidRPr="00B27879" w:rsidRDefault="00792587"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No</w:t>
            </w:r>
          </w:p>
        </w:tc>
      </w:tr>
      <w:tr w:rsidR="007900E9" w:rsidRPr="00B27879" w14:paraId="7DC1B6F0" w14:textId="77777777" w:rsidTr="00792587">
        <w:tc>
          <w:tcPr>
            <w:cnfStyle w:val="001000000000" w:firstRow="0" w:lastRow="0" w:firstColumn="1" w:lastColumn="0" w:oddVBand="0" w:evenVBand="0" w:oddHBand="0" w:evenHBand="0" w:firstRowFirstColumn="0" w:firstRowLastColumn="0" w:lastRowFirstColumn="0" w:lastRowLastColumn="0"/>
            <w:tcW w:w="1627" w:type="dxa"/>
          </w:tcPr>
          <w:p w14:paraId="1AE873D5" w14:textId="77777777" w:rsidR="00F21E64" w:rsidRPr="00B27879" w:rsidRDefault="00F21E64" w:rsidP="00FE3A7F">
            <w:pPr>
              <w:pStyle w:val="TableText"/>
              <w:keepNext/>
              <w:keepLines/>
              <w:rPr>
                <w:color w:val="auto"/>
                <w:lang w:val="en-AU" w:bidi="en-US"/>
              </w:rPr>
            </w:pPr>
            <w:r w:rsidRPr="00B27879">
              <w:rPr>
                <w:color w:val="auto"/>
                <w:lang w:val="en-AU" w:bidi="en-US"/>
              </w:rPr>
              <w:t>Zou 2023</w:t>
            </w:r>
          </w:p>
        </w:tc>
        <w:tc>
          <w:tcPr>
            <w:tcW w:w="332" w:type="dxa"/>
          </w:tcPr>
          <w:p w14:paraId="62B07EE1"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28</w:t>
            </w:r>
          </w:p>
        </w:tc>
        <w:tc>
          <w:tcPr>
            <w:tcW w:w="1034" w:type="dxa"/>
          </w:tcPr>
          <w:p w14:paraId="2800690A"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Concordance study</w:t>
            </w:r>
          </w:p>
          <w:p w14:paraId="32CA5C4E" w14:textId="77777777" w:rsidR="00F21E64" w:rsidRPr="00792587"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iCs/>
                <w:color w:val="auto"/>
                <w:lang w:val="en-AU" w:bidi="en-US"/>
              </w:rPr>
            </w:pPr>
            <w:r w:rsidRPr="00792587">
              <w:rPr>
                <w:iCs/>
                <w:color w:val="auto"/>
                <w:lang w:val="en-AU" w:bidi="en-US"/>
              </w:rPr>
              <w:t>High</w:t>
            </w:r>
          </w:p>
        </w:tc>
        <w:tc>
          <w:tcPr>
            <w:tcW w:w="1229" w:type="dxa"/>
          </w:tcPr>
          <w:p w14:paraId="1843F49B"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Samples from patients with iCCA</w:t>
            </w:r>
          </w:p>
        </w:tc>
        <w:tc>
          <w:tcPr>
            <w:tcW w:w="1467" w:type="dxa"/>
          </w:tcPr>
          <w:p w14:paraId="020B90BD"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SU-Panel and Illumina Platform DNA NGS</w:t>
            </w:r>
          </w:p>
          <w:p w14:paraId="10BC5F81"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(FGFR2)</w:t>
            </w:r>
          </w:p>
          <w:p w14:paraId="25A89E3A"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Reference standard</w:t>
            </w:r>
          </w:p>
        </w:tc>
        <w:tc>
          <w:tcPr>
            <w:tcW w:w="1494" w:type="dxa"/>
          </w:tcPr>
          <w:p w14:paraId="50CAD0B1"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Break-apart FISH (FGFR2)</w:t>
            </w:r>
          </w:p>
          <w:p w14:paraId="0FB4E3EE"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Index test</w:t>
            </w:r>
          </w:p>
        </w:tc>
        <w:tc>
          <w:tcPr>
            <w:tcW w:w="952" w:type="dxa"/>
          </w:tcPr>
          <w:p w14:paraId="2998DBD5"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Consistency test</w:t>
            </w:r>
          </w:p>
          <w:p w14:paraId="683640F6"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(Post hoc calculation of PPA, NPA, OPA, PPV and NPV)</w:t>
            </w:r>
          </w:p>
        </w:tc>
        <w:tc>
          <w:tcPr>
            <w:tcW w:w="881" w:type="dxa"/>
          </w:tcPr>
          <w:p w14:paraId="0466FB42" w14:textId="77777777" w:rsidR="00F21E64" w:rsidRPr="00B27879" w:rsidRDefault="00F21E6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No</w:t>
            </w:r>
          </w:p>
        </w:tc>
      </w:tr>
    </w:tbl>
    <w:p w14:paraId="0B941C96" w14:textId="77777777" w:rsidR="00F21E64" w:rsidRPr="00B27879" w:rsidRDefault="00F21E64" w:rsidP="00F21E64">
      <w:pPr>
        <w:pStyle w:val="TableFooter"/>
        <w:keepNext/>
        <w:keepLines/>
      </w:pPr>
      <w:r w:rsidRPr="00B27879">
        <w:t>Source: Table 2.15, p82 of the submission.</w:t>
      </w:r>
    </w:p>
    <w:p w14:paraId="4C1962A9" w14:textId="53C2D938" w:rsidR="00F21E64" w:rsidRPr="00B27879" w:rsidRDefault="00F21E64" w:rsidP="2914E55D">
      <w:pPr>
        <w:pStyle w:val="TableFooter"/>
        <w:keepNext/>
        <w:keepLines/>
        <w:rPr>
          <w:rFonts w:cstheme="minorBidi"/>
        </w:rPr>
      </w:pPr>
      <w:r w:rsidRPr="2914E55D">
        <w:rPr>
          <w:rFonts w:cstheme="minorBidi"/>
        </w:rPr>
        <w:t>CCA = cholangiocarcinoma; CTA = clinical trial assay; EV = externally validated; F1CDx = FoundationOne Companion Diagnostic; NGS = next generation sequencing; NPA = negative percent agreement; NPV = negative predictive value; OPA = overall percent agreement; PPA = positive percent agreement; PPV = positive percent value</w:t>
      </w:r>
    </w:p>
    <w:p w14:paraId="04EAC1C5" w14:textId="68F4ED25" w:rsidR="00F21E64" w:rsidRPr="00B27879" w:rsidRDefault="00F21E64" w:rsidP="00F21E64">
      <w:pPr>
        <w:pStyle w:val="TableFooter"/>
        <w:keepNext/>
        <w:keepLines/>
      </w:pPr>
      <w:r w:rsidRPr="2914E55D">
        <w:rPr>
          <w:rFonts w:cstheme="minorBidi"/>
        </w:rPr>
        <w:t xml:space="preserve">Note: As Goyal 2023 and Tas-120-101b-report-body did not include concordance data, but were rather used to describe and define the clinical utility </w:t>
      </w:r>
      <w:r w:rsidR="00544D8B" w:rsidRPr="2914E55D">
        <w:rPr>
          <w:rFonts w:cstheme="minorBidi"/>
        </w:rPr>
        <w:t>standard, the</w:t>
      </w:r>
      <w:r w:rsidRPr="2914E55D">
        <w:rPr>
          <w:rFonts w:cstheme="minorBidi"/>
        </w:rPr>
        <w:t xml:space="preserve"> submission did not include risk of bias assessments for these. </w:t>
      </w:r>
    </w:p>
    <w:p w14:paraId="701B20F8" w14:textId="6642DA50" w:rsidR="00F21E64" w:rsidRPr="00353AB8" w:rsidRDefault="00082EDE" w:rsidP="00353AB8">
      <w:pPr>
        <w:jc w:val="left"/>
        <w:rPr>
          <w:rFonts w:ascii="Franklin Gothic Book" w:hAnsi="Franklin Gothic Book"/>
          <w:sz w:val="22"/>
        </w:rPr>
      </w:pPr>
      <w:r w:rsidRPr="00353AB8">
        <w:rPr>
          <w:rFonts w:ascii="Franklin Gothic Book" w:hAnsi="Franklin Gothic Book"/>
          <w:sz w:val="22"/>
        </w:rPr>
        <w:t xml:space="preserve">The </w:t>
      </w:r>
      <w:r w:rsidR="005F4EBB" w:rsidRPr="00353AB8">
        <w:rPr>
          <w:rFonts w:ascii="Franklin Gothic Book" w:hAnsi="Franklin Gothic Book"/>
          <w:sz w:val="22"/>
        </w:rPr>
        <w:t>commentary</w:t>
      </w:r>
      <w:r w:rsidRPr="00353AB8">
        <w:rPr>
          <w:rFonts w:ascii="Franklin Gothic Book" w:hAnsi="Franklin Gothic Book"/>
          <w:sz w:val="22"/>
        </w:rPr>
        <w:t xml:space="preserve"> considered that t</w:t>
      </w:r>
      <w:r w:rsidR="00F21E64" w:rsidRPr="00353AB8">
        <w:rPr>
          <w:rFonts w:ascii="Franklin Gothic Book" w:hAnsi="Franklin Gothic Book"/>
          <w:sz w:val="22"/>
        </w:rPr>
        <w:t xml:space="preserve">he submission’s characterisation of the test accuracy evidence was unclear, particularly in its identification of what the reference test and index test were for each study. For example, the submission identified </w:t>
      </w:r>
      <w:r w:rsidR="004045DE" w:rsidRPr="00353AB8">
        <w:rPr>
          <w:rFonts w:ascii="Franklin Gothic Book" w:hAnsi="Franklin Gothic Book"/>
          <w:sz w:val="22"/>
        </w:rPr>
        <w:t>ev</w:t>
      </w:r>
      <w:r w:rsidR="00F21E64" w:rsidRPr="00353AB8">
        <w:rPr>
          <w:rFonts w:ascii="Franklin Gothic Book" w:hAnsi="Franklin Gothic Book"/>
          <w:sz w:val="22"/>
        </w:rPr>
        <w:t xml:space="preserve">NGS on RNA as the index test in Silverman 2022, when </w:t>
      </w:r>
      <w:r w:rsidR="004045DE" w:rsidRPr="00353AB8">
        <w:rPr>
          <w:rFonts w:ascii="Franklin Gothic Book" w:hAnsi="Franklin Gothic Book"/>
          <w:sz w:val="22"/>
        </w:rPr>
        <w:t>ev</w:t>
      </w:r>
      <w:r w:rsidR="00F21E64" w:rsidRPr="00353AB8">
        <w:rPr>
          <w:rFonts w:ascii="Franklin Gothic Book" w:hAnsi="Franklin Gothic Book"/>
          <w:sz w:val="22"/>
        </w:rPr>
        <w:t>NGS on RNA had been externally validated in the Silverman 2022 study and thus would actually have been the reference standard.</w:t>
      </w:r>
      <w:r w:rsidR="00CA5792" w:rsidRPr="00353AB8">
        <w:rPr>
          <w:rFonts w:ascii="Franklin Gothic Book" w:hAnsi="Franklin Gothic Book"/>
          <w:sz w:val="22"/>
        </w:rPr>
        <w:t xml:space="preserve"> </w:t>
      </w:r>
      <w:r w:rsidR="00F21E64" w:rsidRPr="00353AB8">
        <w:rPr>
          <w:rFonts w:ascii="Franklin Gothic Book" w:hAnsi="Franklin Gothic Book"/>
          <w:sz w:val="22"/>
        </w:rPr>
        <w:t xml:space="preserve">Since each test arm was evaluated for risk of bias the inconsistent labelling of reference standard and index test does not impact the actual assessment of overall risk of bias. </w:t>
      </w:r>
    </w:p>
    <w:p w14:paraId="3004E999" w14:textId="31CB6854"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lastRenderedPageBreak/>
        <w:t xml:space="preserve">The submission considered that all the included studies had a moderate risk of bias except for Zou (2023), which had a high risk of bias. </w:t>
      </w:r>
    </w:p>
    <w:p w14:paraId="47825E8F" w14:textId="31C2FC9E" w:rsidR="00F21E64" w:rsidRPr="00353AB8" w:rsidRDefault="00082EDE" w:rsidP="00353AB8">
      <w:pPr>
        <w:jc w:val="left"/>
        <w:rPr>
          <w:rFonts w:ascii="Franklin Gothic Book" w:hAnsi="Franklin Gothic Book"/>
          <w:sz w:val="22"/>
        </w:rPr>
      </w:pPr>
      <w:r w:rsidRPr="00353AB8">
        <w:rPr>
          <w:rFonts w:ascii="Franklin Gothic Book" w:hAnsi="Franklin Gothic Book"/>
          <w:sz w:val="22"/>
        </w:rPr>
        <w:t xml:space="preserve">The </w:t>
      </w:r>
      <w:r w:rsidR="005F4EBB" w:rsidRPr="00353AB8">
        <w:rPr>
          <w:rFonts w:ascii="Franklin Gothic Book" w:hAnsi="Franklin Gothic Book"/>
          <w:sz w:val="22"/>
        </w:rPr>
        <w:t>commentary</w:t>
      </w:r>
      <w:r w:rsidRPr="00353AB8">
        <w:rPr>
          <w:rFonts w:ascii="Franklin Gothic Book" w:hAnsi="Franklin Gothic Book"/>
          <w:sz w:val="22"/>
        </w:rPr>
        <w:t xml:space="preserve"> considered that d</w:t>
      </w:r>
      <w:r w:rsidR="00F21E64" w:rsidRPr="00353AB8">
        <w:rPr>
          <w:rFonts w:ascii="Franklin Gothic Book" w:hAnsi="Franklin Gothic Book"/>
          <w:sz w:val="22"/>
        </w:rPr>
        <w:t>ue to high risk of patient selection bias and flow and timing bias, the submission’s assessment of high risk of bias for Zou 2023 was reasonable.</w:t>
      </w:r>
    </w:p>
    <w:p w14:paraId="6F7274D4" w14:textId="28D151A6"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For Silverman 2022, it was unclear on what basis </w:t>
      </w:r>
      <w:r w:rsidR="004045DE" w:rsidRPr="00353AB8">
        <w:rPr>
          <w:rFonts w:ascii="Franklin Gothic Book" w:hAnsi="Franklin Gothic Book"/>
          <w:sz w:val="22"/>
        </w:rPr>
        <w:t xml:space="preserve">the risk of bias </w:t>
      </w:r>
      <w:r w:rsidR="00737391" w:rsidRPr="00353AB8">
        <w:rPr>
          <w:rFonts w:ascii="Franklin Gothic Book" w:hAnsi="Franklin Gothic Book"/>
          <w:sz w:val="22"/>
        </w:rPr>
        <w:t xml:space="preserve">was </w:t>
      </w:r>
      <w:r w:rsidRPr="00353AB8">
        <w:rPr>
          <w:rFonts w:ascii="Franklin Gothic Book" w:hAnsi="Franklin Gothic Book"/>
          <w:sz w:val="22"/>
        </w:rPr>
        <w:t xml:space="preserve">considered moderate as opposed to high or uncertain, given that </w:t>
      </w:r>
      <w:r w:rsidR="00737391" w:rsidRPr="00353AB8">
        <w:rPr>
          <w:rFonts w:ascii="Franklin Gothic Book" w:hAnsi="Franklin Gothic Book"/>
          <w:sz w:val="22"/>
        </w:rPr>
        <w:t xml:space="preserve">there were </w:t>
      </w:r>
      <w:r w:rsidRPr="00353AB8">
        <w:rPr>
          <w:rFonts w:ascii="Franklin Gothic Book" w:hAnsi="Franklin Gothic Book"/>
          <w:sz w:val="22"/>
        </w:rPr>
        <w:t xml:space="preserve">domains with </w:t>
      </w:r>
      <w:r w:rsidR="00737391" w:rsidRPr="00353AB8">
        <w:rPr>
          <w:rFonts w:ascii="Franklin Gothic Book" w:hAnsi="Franklin Gothic Book"/>
          <w:sz w:val="22"/>
        </w:rPr>
        <w:t>‘</w:t>
      </w:r>
      <w:r w:rsidRPr="00353AB8">
        <w:rPr>
          <w:rFonts w:ascii="Franklin Gothic Book" w:hAnsi="Franklin Gothic Book"/>
          <w:sz w:val="22"/>
        </w:rPr>
        <w:t>not reported</w:t>
      </w:r>
      <w:r w:rsidR="00737391" w:rsidRPr="00353AB8">
        <w:rPr>
          <w:rFonts w:ascii="Franklin Gothic Book" w:hAnsi="Franklin Gothic Book"/>
          <w:sz w:val="22"/>
        </w:rPr>
        <w:t>’</w:t>
      </w:r>
      <w:r w:rsidRPr="00353AB8">
        <w:rPr>
          <w:rFonts w:ascii="Franklin Gothic Book" w:hAnsi="Franklin Gothic Book"/>
          <w:sz w:val="22"/>
        </w:rPr>
        <w:t xml:space="preserve"> or </w:t>
      </w:r>
      <w:r w:rsidR="00737391" w:rsidRPr="00353AB8">
        <w:rPr>
          <w:rFonts w:ascii="Franklin Gothic Book" w:hAnsi="Franklin Gothic Book"/>
          <w:sz w:val="22"/>
        </w:rPr>
        <w:t>‘</w:t>
      </w:r>
      <w:r w:rsidRPr="00353AB8">
        <w:rPr>
          <w:rFonts w:ascii="Franklin Gothic Book" w:hAnsi="Franklin Gothic Book"/>
          <w:sz w:val="22"/>
        </w:rPr>
        <w:t>high risk of bias</w:t>
      </w:r>
      <w:r w:rsidR="00737391" w:rsidRPr="00353AB8">
        <w:rPr>
          <w:rFonts w:ascii="Franklin Gothic Book" w:hAnsi="Franklin Gothic Book"/>
          <w:sz w:val="22"/>
        </w:rPr>
        <w:t>’</w:t>
      </w:r>
      <w:r w:rsidRPr="00353AB8">
        <w:rPr>
          <w:rFonts w:ascii="Franklin Gothic Book" w:hAnsi="Franklin Gothic Book"/>
          <w:sz w:val="22"/>
        </w:rPr>
        <w:t xml:space="preserve">. </w:t>
      </w:r>
      <w:r w:rsidR="005F4EBB" w:rsidRPr="00353AB8">
        <w:rPr>
          <w:rFonts w:ascii="Franklin Gothic Book" w:hAnsi="Franklin Gothic Book"/>
          <w:sz w:val="22"/>
        </w:rPr>
        <w:t>The commentary considered that i</w:t>
      </w:r>
      <w:r w:rsidRPr="00353AB8">
        <w:rPr>
          <w:rFonts w:ascii="Franklin Gothic Book" w:hAnsi="Franklin Gothic Book"/>
          <w:sz w:val="22"/>
        </w:rPr>
        <w:t xml:space="preserve">t may be more reasonable to have assumed that Silverman 2022 had a high risk of bias due to the risk of bias being unclear in some domains.  </w:t>
      </w:r>
    </w:p>
    <w:p w14:paraId="44A097FF" w14:textId="3E084902"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The submission noted that data reported by Silverman 2022 as well as in the F1CDx Technical Information provide confirmation of the concordance between the F1CDx and F1CTA assays. </w:t>
      </w:r>
      <w:r w:rsidR="004F5D64" w:rsidRPr="00353AB8">
        <w:rPr>
          <w:rFonts w:ascii="Franklin Gothic Book" w:hAnsi="Franklin Gothic Book"/>
          <w:sz w:val="22"/>
        </w:rPr>
        <w:t>The</w:t>
      </w:r>
      <w:r w:rsidRPr="00353AB8">
        <w:rPr>
          <w:rFonts w:ascii="Franklin Gothic Book" w:hAnsi="Franklin Gothic Book"/>
          <w:sz w:val="22"/>
        </w:rPr>
        <w:t xml:space="preserve"> clinical utility standard </w:t>
      </w:r>
      <w:r w:rsidR="00AE63F4" w:rsidRPr="00353AB8">
        <w:rPr>
          <w:rFonts w:ascii="Franklin Gothic Book" w:hAnsi="Franklin Gothic Book"/>
          <w:sz w:val="22"/>
        </w:rPr>
        <w:t xml:space="preserve">proposed in the current submission </w:t>
      </w:r>
      <w:r w:rsidRPr="00353AB8">
        <w:rPr>
          <w:rFonts w:ascii="Franklin Gothic Book" w:hAnsi="Franklin Gothic Book"/>
          <w:sz w:val="22"/>
        </w:rPr>
        <w:t xml:space="preserve">was NGS on DNA, and both F1CDx and F1CTA assays were NGS on DNA. However, given the lack of clarity regarding </w:t>
      </w:r>
      <w:r w:rsidR="004B23F8" w:rsidRPr="00353AB8">
        <w:rPr>
          <w:rFonts w:ascii="Franklin Gothic Book" w:hAnsi="Franklin Gothic Book"/>
          <w:sz w:val="22"/>
        </w:rPr>
        <w:t xml:space="preserve">the </w:t>
      </w:r>
      <w:r w:rsidRPr="00353AB8">
        <w:rPr>
          <w:rFonts w:ascii="Franklin Gothic Book" w:hAnsi="Franklin Gothic Book"/>
          <w:sz w:val="22"/>
        </w:rPr>
        <w:t>differen</w:t>
      </w:r>
      <w:r w:rsidR="008C1930" w:rsidRPr="00353AB8">
        <w:rPr>
          <w:rFonts w:ascii="Franklin Gothic Book" w:hAnsi="Franklin Gothic Book"/>
          <w:sz w:val="22"/>
        </w:rPr>
        <w:t>ces</w:t>
      </w:r>
      <w:r w:rsidRPr="00353AB8">
        <w:rPr>
          <w:rFonts w:ascii="Franklin Gothic Book" w:hAnsi="Franklin Gothic Book"/>
          <w:sz w:val="22"/>
        </w:rPr>
        <w:t xml:space="preserve"> </w:t>
      </w:r>
      <w:r w:rsidR="008C1930" w:rsidRPr="00353AB8">
        <w:rPr>
          <w:rFonts w:ascii="Franklin Gothic Book" w:hAnsi="Franklin Gothic Book"/>
          <w:sz w:val="22"/>
        </w:rPr>
        <w:t xml:space="preserve">between </w:t>
      </w:r>
      <w:r w:rsidRPr="00353AB8">
        <w:rPr>
          <w:rFonts w:ascii="Franklin Gothic Book" w:hAnsi="Franklin Gothic Book"/>
          <w:sz w:val="22"/>
        </w:rPr>
        <w:t>these tests, the</w:t>
      </w:r>
      <w:r w:rsidR="005A47D5" w:rsidRPr="00353AB8">
        <w:rPr>
          <w:rFonts w:ascii="Franklin Gothic Book" w:hAnsi="Franklin Gothic Book"/>
          <w:sz w:val="22"/>
        </w:rPr>
        <w:t xml:space="preserve"> </w:t>
      </w:r>
      <w:r w:rsidR="005F4EBB" w:rsidRPr="00353AB8">
        <w:rPr>
          <w:rFonts w:ascii="Franklin Gothic Book" w:hAnsi="Franklin Gothic Book"/>
          <w:sz w:val="22"/>
        </w:rPr>
        <w:t>commentary</w:t>
      </w:r>
      <w:r w:rsidR="005A47D5" w:rsidRPr="00353AB8">
        <w:rPr>
          <w:rFonts w:ascii="Franklin Gothic Book" w:hAnsi="Franklin Gothic Book"/>
          <w:sz w:val="22"/>
        </w:rPr>
        <w:t xml:space="preserve"> considered that the</w:t>
      </w:r>
      <w:r w:rsidRPr="00353AB8">
        <w:rPr>
          <w:rFonts w:ascii="Franklin Gothic Book" w:hAnsi="Franklin Gothic Book"/>
          <w:sz w:val="22"/>
        </w:rPr>
        <w:t xml:space="preserve"> submission’s presentation of concordance information between the F1CTA assay predominantly used in FOENIX-CCA2 and the commercially available F1DX assays was appropriate</w:t>
      </w:r>
      <w:r w:rsidR="006037AD" w:rsidRPr="00353AB8">
        <w:rPr>
          <w:rFonts w:ascii="Franklin Gothic Book" w:hAnsi="Franklin Gothic Book"/>
          <w:sz w:val="22"/>
        </w:rPr>
        <w:t xml:space="preserve"> as it </w:t>
      </w:r>
      <w:r w:rsidR="00E35D4C" w:rsidRPr="00353AB8">
        <w:rPr>
          <w:rFonts w:ascii="Franklin Gothic Book" w:hAnsi="Franklin Gothic Book"/>
          <w:sz w:val="22"/>
        </w:rPr>
        <w:t>provides comparative data between the two potential clinical utility standards</w:t>
      </w:r>
      <w:r w:rsidRPr="00353AB8">
        <w:rPr>
          <w:rFonts w:ascii="Franklin Gothic Book" w:hAnsi="Franklin Gothic Book"/>
          <w:sz w:val="22"/>
        </w:rPr>
        <w:t>.</w:t>
      </w:r>
    </w:p>
    <w:p w14:paraId="5FF3D7FE" w14:textId="7BD2C8F2"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Following testing by the F1CTA in the FIGHT-</w:t>
      </w:r>
      <w:r w:rsidR="00634470" w:rsidRPr="00353AB8">
        <w:rPr>
          <w:rFonts w:ascii="Franklin Gothic Book" w:hAnsi="Franklin Gothic Book"/>
          <w:sz w:val="22"/>
        </w:rPr>
        <w:t>2</w:t>
      </w:r>
      <w:r w:rsidRPr="00353AB8">
        <w:rPr>
          <w:rFonts w:ascii="Franklin Gothic Book" w:hAnsi="Franklin Gothic Book"/>
          <w:sz w:val="22"/>
        </w:rPr>
        <w:t xml:space="preserve">02 study, residual DNA for patients was banked to support clinical bridging study testing with the F1CDx assay. Silverman 2022 was conducted to assess the clinical efficacy of F1CDx in identifying </w:t>
      </w:r>
      <w:r w:rsidRPr="00353AB8">
        <w:rPr>
          <w:rFonts w:ascii="Franklin Gothic Book" w:hAnsi="Franklin Gothic Book"/>
          <w:i/>
          <w:iCs/>
          <w:sz w:val="22"/>
        </w:rPr>
        <w:t>FGFR2</w:t>
      </w:r>
      <w:r w:rsidRPr="00353AB8">
        <w:rPr>
          <w:rFonts w:ascii="Franklin Gothic Book" w:hAnsi="Franklin Gothic Book"/>
          <w:sz w:val="22"/>
        </w:rPr>
        <w:t xml:space="preserve"> rearrangement positive patients for treatment with pemigatinib and the concordance between </w:t>
      </w:r>
      <w:r w:rsidRPr="00353AB8">
        <w:rPr>
          <w:rFonts w:ascii="Franklin Gothic Book" w:hAnsi="Franklin Gothic Book"/>
          <w:i/>
          <w:iCs/>
          <w:sz w:val="22"/>
        </w:rPr>
        <w:t>FGFR2</w:t>
      </w:r>
      <w:r w:rsidRPr="00353AB8">
        <w:rPr>
          <w:rFonts w:ascii="Franklin Gothic Book" w:hAnsi="Franklin Gothic Book"/>
          <w:sz w:val="22"/>
        </w:rPr>
        <w:t xml:space="preserve"> rearrangement status (mutant and non-mutant) tested with the F1CTA and F1CDx. Residual DNA was available for 108 patients screened with the F1CTA, in addition to 73</w:t>
      </w:r>
      <w:r w:rsidRPr="00353AB8">
        <w:rPr>
          <w:rFonts w:ascii="Franklin Gothic Book" w:hAnsi="Franklin Gothic Book"/>
          <w:i/>
          <w:iCs/>
          <w:sz w:val="22"/>
        </w:rPr>
        <w:t xml:space="preserve"> FGFR2</w:t>
      </w:r>
      <w:r w:rsidRPr="00353AB8">
        <w:rPr>
          <w:rFonts w:ascii="Franklin Gothic Book" w:hAnsi="Franklin Gothic Book"/>
          <w:sz w:val="22"/>
        </w:rPr>
        <w:t xml:space="preserve"> rearrangement-negative specimens for a total of 181 positive and negative F1CDx evaluable samples included in the analysis.</w:t>
      </w:r>
    </w:p>
    <w:p w14:paraId="28B21A9E" w14:textId="5AFF683D" w:rsidR="00F21E64" w:rsidRPr="00353AB8" w:rsidRDefault="001F5863" w:rsidP="00353AB8">
      <w:pPr>
        <w:jc w:val="left"/>
        <w:rPr>
          <w:rFonts w:ascii="Franklin Gothic Book" w:hAnsi="Franklin Gothic Book"/>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_Ref198447345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8</w:t>
      </w:r>
      <w:r w:rsidRPr="001F5863">
        <w:rPr>
          <w:rFonts w:ascii="Franklin Gothic Book" w:hAnsi="Franklin Gothic Book"/>
          <w:sz w:val="22"/>
        </w:rPr>
        <w:fldChar w:fldCharType="end"/>
      </w:r>
      <w:r w:rsidR="00C405B6" w:rsidRPr="00353AB8">
        <w:rPr>
          <w:rFonts w:ascii="Franklin Gothic Book" w:hAnsi="Franklin Gothic Book"/>
          <w:sz w:val="22"/>
        </w:rPr>
        <w:t xml:space="preserve"> </w:t>
      </w:r>
      <w:r w:rsidR="00F21E64" w:rsidRPr="00353AB8">
        <w:rPr>
          <w:rFonts w:ascii="Franklin Gothic Book" w:hAnsi="Franklin Gothic Book"/>
          <w:sz w:val="22"/>
        </w:rPr>
        <w:t>shows the assessment of the concordance between the F1CTA (NGS on DNA) assay used to identify patients for inclusion in the FIGHT-</w:t>
      </w:r>
      <w:r w:rsidR="00634470" w:rsidRPr="00353AB8">
        <w:rPr>
          <w:rFonts w:ascii="Franklin Gothic Book" w:hAnsi="Franklin Gothic Book"/>
          <w:sz w:val="22"/>
        </w:rPr>
        <w:t>2</w:t>
      </w:r>
      <w:r w:rsidR="00F21E64" w:rsidRPr="00353AB8">
        <w:rPr>
          <w:rFonts w:ascii="Franklin Gothic Book" w:hAnsi="Franklin Gothic Book"/>
          <w:sz w:val="22"/>
        </w:rPr>
        <w:t>02 study and the F1CDx (NGS on DNA) assay. In Silverman 2022, F1CDx results were 100% concordant with those of F1CTA.</w:t>
      </w:r>
    </w:p>
    <w:p w14:paraId="53B3F617" w14:textId="20D9134A" w:rsidR="00F21E64" w:rsidRPr="00B27879" w:rsidRDefault="009D316D" w:rsidP="009D316D">
      <w:pPr>
        <w:pStyle w:val="Caption"/>
      </w:pPr>
      <w:bookmarkStart w:id="43" w:name="_Ref198447345"/>
      <w:bookmarkStart w:id="44" w:name="_Ref187681442"/>
      <w:r>
        <w:t xml:space="preserve">Table </w:t>
      </w:r>
      <w:r>
        <w:fldChar w:fldCharType="begin"/>
      </w:r>
      <w:r>
        <w:instrText>SEQ Table \* ARABIC</w:instrText>
      </w:r>
      <w:r>
        <w:fldChar w:fldCharType="separate"/>
      </w:r>
      <w:r w:rsidR="005B1C7E">
        <w:rPr>
          <w:noProof/>
        </w:rPr>
        <w:t>8</w:t>
      </w:r>
      <w:r>
        <w:fldChar w:fldCharType="end"/>
      </w:r>
      <w:bookmarkEnd w:id="43"/>
      <w:r>
        <w:tab/>
      </w:r>
      <w:bookmarkEnd w:id="44"/>
      <w:r w:rsidR="00F21E64" w:rsidRPr="00B27879">
        <w:t>Concordance between F1CDx NGS on DNA and F1CTA NGS on DNA in Silverman 2022</w:t>
      </w:r>
    </w:p>
    <w:tbl>
      <w:tblPr>
        <w:tblStyle w:val="PBACTableStyle"/>
        <w:tblW w:w="5000" w:type="pct"/>
        <w:tblLook w:val="0020" w:firstRow="1" w:lastRow="0" w:firstColumn="0" w:lastColumn="0" w:noHBand="0" w:noVBand="0"/>
      </w:tblPr>
      <w:tblGrid>
        <w:gridCol w:w="877"/>
        <w:gridCol w:w="961"/>
        <w:gridCol w:w="1984"/>
        <w:gridCol w:w="1985"/>
        <w:gridCol w:w="710"/>
        <w:gridCol w:w="2499"/>
      </w:tblGrid>
      <w:tr w:rsidR="007900E9" w:rsidRPr="00B27879" w14:paraId="4746FF00" w14:textId="77777777" w:rsidTr="007D3DFF">
        <w:trPr>
          <w:cnfStyle w:val="100000000000" w:firstRow="1" w:lastRow="0" w:firstColumn="0" w:lastColumn="0" w:oddVBand="0" w:evenVBand="0" w:oddHBand="0" w:evenHBand="0" w:firstRowFirstColumn="0" w:firstRowLastColumn="0" w:lastRowFirstColumn="0" w:lastRowLastColumn="0"/>
          <w:trHeight w:val="63"/>
        </w:trPr>
        <w:tc>
          <w:tcPr>
            <w:tcW w:w="1019" w:type="pct"/>
            <w:gridSpan w:val="2"/>
            <w:vMerge w:val="restart"/>
          </w:tcPr>
          <w:p w14:paraId="39F4B044" w14:textId="77777777" w:rsidR="00F21E64" w:rsidRPr="00B27879" w:rsidRDefault="00F21E64" w:rsidP="00FE3A7F">
            <w:pPr>
              <w:pStyle w:val="TableText"/>
              <w:rPr>
                <w:color w:val="auto"/>
                <w:lang w:val="en-AU"/>
              </w:rPr>
            </w:pPr>
          </w:p>
        </w:tc>
        <w:tc>
          <w:tcPr>
            <w:tcW w:w="2595" w:type="pct"/>
            <w:gridSpan w:val="3"/>
          </w:tcPr>
          <w:p w14:paraId="7B1AE75B" w14:textId="77777777" w:rsidR="00F21E64" w:rsidRPr="00B27879" w:rsidRDefault="00F21E64" w:rsidP="00FE3A7F">
            <w:pPr>
              <w:pStyle w:val="TableText"/>
              <w:jc w:val="center"/>
              <w:rPr>
                <w:b w:val="0"/>
                <w:bCs/>
                <w:color w:val="auto"/>
                <w:lang w:val="en-AU"/>
              </w:rPr>
            </w:pPr>
            <w:r w:rsidRPr="00B27879">
              <w:rPr>
                <w:bCs/>
                <w:color w:val="auto"/>
                <w:lang w:val="en-AU"/>
              </w:rPr>
              <w:t>F1CTA DNA</w:t>
            </w:r>
          </w:p>
        </w:tc>
        <w:tc>
          <w:tcPr>
            <w:tcW w:w="1386" w:type="pct"/>
            <w:vMerge w:val="restart"/>
          </w:tcPr>
          <w:p w14:paraId="522A9946" w14:textId="77777777" w:rsidR="00F21E64" w:rsidRPr="00B27879" w:rsidRDefault="00F21E64" w:rsidP="00FE3A7F">
            <w:pPr>
              <w:pStyle w:val="TableText"/>
              <w:rPr>
                <w:color w:val="auto"/>
                <w:lang w:val="en-AU"/>
              </w:rPr>
            </w:pPr>
          </w:p>
        </w:tc>
      </w:tr>
      <w:tr w:rsidR="007900E9" w:rsidRPr="00B27879" w14:paraId="2FD4D199" w14:textId="77777777" w:rsidTr="007D3DFF">
        <w:trPr>
          <w:trHeight w:val="63"/>
        </w:trPr>
        <w:tc>
          <w:tcPr>
            <w:tcW w:w="1019" w:type="pct"/>
            <w:gridSpan w:val="2"/>
            <w:vMerge/>
          </w:tcPr>
          <w:p w14:paraId="09B18469" w14:textId="77777777" w:rsidR="00F21E64" w:rsidRPr="00B27879" w:rsidRDefault="00F21E64" w:rsidP="00FE3A7F">
            <w:pPr>
              <w:pStyle w:val="TableText"/>
              <w:rPr>
                <w:color w:val="auto"/>
                <w:lang w:val="en-AU"/>
              </w:rPr>
            </w:pPr>
          </w:p>
        </w:tc>
        <w:tc>
          <w:tcPr>
            <w:tcW w:w="1100" w:type="pct"/>
          </w:tcPr>
          <w:p w14:paraId="7A3168B6" w14:textId="77777777" w:rsidR="00F21E64" w:rsidRPr="00B27879" w:rsidRDefault="00F21E64" w:rsidP="00FE3A7F">
            <w:pPr>
              <w:pStyle w:val="TableText"/>
              <w:jc w:val="center"/>
              <w:rPr>
                <w:b/>
                <w:bCs/>
                <w:color w:val="auto"/>
                <w:lang w:val="en-AU"/>
              </w:rPr>
            </w:pPr>
            <w:r w:rsidRPr="00B27879">
              <w:rPr>
                <w:b/>
                <w:bCs/>
                <w:color w:val="auto"/>
                <w:lang w:val="en-AU"/>
              </w:rPr>
              <w:t>FGFR2 +</w:t>
            </w:r>
          </w:p>
        </w:tc>
        <w:tc>
          <w:tcPr>
            <w:tcW w:w="1101" w:type="pct"/>
          </w:tcPr>
          <w:p w14:paraId="548B13A3" w14:textId="77777777" w:rsidR="00F21E64" w:rsidRPr="00B27879" w:rsidRDefault="00F21E64" w:rsidP="00FE3A7F">
            <w:pPr>
              <w:pStyle w:val="TableText"/>
              <w:jc w:val="center"/>
              <w:rPr>
                <w:b/>
                <w:bCs/>
                <w:color w:val="auto"/>
                <w:lang w:val="en-AU"/>
              </w:rPr>
            </w:pPr>
            <w:r w:rsidRPr="00B27879">
              <w:rPr>
                <w:b/>
                <w:bCs/>
                <w:color w:val="auto"/>
                <w:lang w:val="en-AU"/>
              </w:rPr>
              <w:t>FGFR2 –</w:t>
            </w:r>
          </w:p>
        </w:tc>
        <w:tc>
          <w:tcPr>
            <w:tcW w:w="394" w:type="pct"/>
          </w:tcPr>
          <w:p w14:paraId="767D4847" w14:textId="77777777" w:rsidR="00F21E64" w:rsidRPr="00B27879" w:rsidRDefault="00F21E64" w:rsidP="00FE3A7F">
            <w:pPr>
              <w:pStyle w:val="TableText"/>
              <w:jc w:val="center"/>
              <w:rPr>
                <w:b/>
                <w:bCs/>
                <w:color w:val="auto"/>
                <w:lang w:val="en-AU"/>
              </w:rPr>
            </w:pPr>
            <w:r w:rsidRPr="00B27879">
              <w:rPr>
                <w:b/>
                <w:bCs/>
                <w:color w:val="auto"/>
                <w:lang w:val="en-AU"/>
              </w:rPr>
              <w:t>Total</w:t>
            </w:r>
          </w:p>
        </w:tc>
        <w:tc>
          <w:tcPr>
            <w:tcW w:w="1386" w:type="pct"/>
            <w:vMerge/>
          </w:tcPr>
          <w:p w14:paraId="3F4AB37E" w14:textId="77777777" w:rsidR="00F21E64" w:rsidRPr="00B27879" w:rsidRDefault="00F21E64" w:rsidP="00FE3A7F">
            <w:pPr>
              <w:pStyle w:val="TableText"/>
              <w:rPr>
                <w:color w:val="auto"/>
                <w:lang w:val="en-AU"/>
              </w:rPr>
            </w:pPr>
          </w:p>
        </w:tc>
      </w:tr>
      <w:tr w:rsidR="007900E9" w:rsidRPr="00B27879" w14:paraId="3B3628BB" w14:textId="77777777" w:rsidTr="007D3DFF">
        <w:trPr>
          <w:trHeight w:val="63"/>
        </w:trPr>
        <w:tc>
          <w:tcPr>
            <w:tcW w:w="486" w:type="pct"/>
            <w:vMerge w:val="restart"/>
          </w:tcPr>
          <w:p w14:paraId="1279B8D8" w14:textId="77777777" w:rsidR="00F21E64" w:rsidRPr="00B27879" w:rsidRDefault="00F21E64" w:rsidP="00FE3A7F">
            <w:pPr>
              <w:pStyle w:val="TableText"/>
              <w:rPr>
                <w:color w:val="auto"/>
                <w:lang w:val="en-AU"/>
              </w:rPr>
            </w:pPr>
            <w:r w:rsidRPr="00B27879">
              <w:rPr>
                <w:color w:val="auto"/>
                <w:lang w:val="en-AU"/>
              </w:rPr>
              <w:t xml:space="preserve">F1CDx DNA </w:t>
            </w:r>
          </w:p>
          <w:p w14:paraId="62B4FD46" w14:textId="77777777" w:rsidR="00F21E64" w:rsidRPr="00B27879" w:rsidRDefault="00F21E64" w:rsidP="00FE3A7F">
            <w:pPr>
              <w:pStyle w:val="TableText"/>
              <w:rPr>
                <w:color w:val="auto"/>
                <w:lang w:val="en-AU"/>
              </w:rPr>
            </w:pPr>
          </w:p>
        </w:tc>
        <w:tc>
          <w:tcPr>
            <w:tcW w:w="533" w:type="pct"/>
          </w:tcPr>
          <w:p w14:paraId="54655938" w14:textId="77777777" w:rsidR="00F21E64" w:rsidRPr="00B27879" w:rsidRDefault="00F21E64" w:rsidP="00FE3A7F">
            <w:pPr>
              <w:pStyle w:val="TableText"/>
              <w:rPr>
                <w:color w:val="auto"/>
                <w:lang w:val="en-AU"/>
              </w:rPr>
            </w:pPr>
            <w:r w:rsidRPr="00B27879">
              <w:rPr>
                <w:color w:val="auto"/>
                <w:lang w:val="en-AU"/>
              </w:rPr>
              <w:t>FGFR2 +</w:t>
            </w:r>
          </w:p>
        </w:tc>
        <w:tc>
          <w:tcPr>
            <w:tcW w:w="1100" w:type="pct"/>
          </w:tcPr>
          <w:p w14:paraId="4F1C9DAC" w14:textId="77777777" w:rsidR="00F21E64" w:rsidRPr="00B27879" w:rsidRDefault="00F21E64" w:rsidP="00FE3A7F">
            <w:pPr>
              <w:pStyle w:val="TableText"/>
              <w:jc w:val="center"/>
              <w:rPr>
                <w:color w:val="auto"/>
                <w:lang w:val="en-AU"/>
              </w:rPr>
            </w:pPr>
            <w:r w:rsidRPr="00B27879">
              <w:rPr>
                <w:color w:val="auto"/>
                <w:lang w:val="en-AU"/>
              </w:rPr>
              <w:t>84*</w:t>
            </w:r>
          </w:p>
        </w:tc>
        <w:tc>
          <w:tcPr>
            <w:tcW w:w="1101" w:type="pct"/>
          </w:tcPr>
          <w:p w14:paraId="17D9B1A5" w14:textId="77777777" w:rsidR="00F21E64" w:rsidRPr="00B27879" w:rsidRDefault="00F21E64" w:rsidP="00FE3A7F">
            <w:pPr>
              <w:pStyle w:val="TableText"/>
              <w:jc w:val="center"/>
              <w:rPr>
                <w:color w:val="auto"/>
                <w:lang w:val="en-AU"/>
              </w:rPr>
            </w:pPr>
            <w:r w:rsidRPr="00B27879">
              <w:rPr>
                <w:color w:val="auto"/>
                <w:lang w:val="en-AU"/>
              </w:rPr>
              <w:t>0</w:t>
            </w:r>
          </w:p>
        </w:tc>
        <w:tc>
          <w:tcPr>
            <w:tcW w:w="394" w:type="pct"/>
          </w:tcPr>
          <w:p w14:paraId="1580B879" w14:textId="77777777" w:rsidR="00F21E64" w:rsidRPr="00B27879" w:rsidRDefault="00F21E64" w:rsidP="00FE3A7F">
            <w:pPr>
              <w:pStyle w:val="TableText"/>
              <w:jc w:val="center"/>
              <w:rPr>
                <w:color w:val="auto"/>
                <w:lang w:val="en-AU"/>
              </w:rPr>
            </w:pPr>
            <w:r w:rsidRPr="00B27879">
              <w:rPr>
                <w:color w:val="auto"/>
                <w:lang w:val="en-AU"/>
              </w:rPr>
              <w:t>84</w:t>
            </w:r>
          </w:p>
        </w:tc>
        <w:tc>
          <w:tcPr>
            <w:tcW w:w="1386" w:type="pct"/>
          </w:tcPr>
          <w:p w14:paraId="0631AFE9" w14:textId="77777777" w:rsidR="00F21E64" w:rsidRPr="00B27879" w:rsidRDefault="00F21E64" w:rsidP="00FE3A7F">
            <w:pPr>
              <w:pStyle w:val="TableText"/>
              <w:rPr>
                <w:color w:val="auto"/>
                <w:lang w:val="en-AU"/>
              </w:rPr>
            </w:pPr>
            <w:r w:rsidRPr="00B27879">
              <w:rPr>
                <w:color w:val="auto"/>
                <w:lang w:val="en-AU"/>
              </w:rPr>
              <w:t>Adj PPV = 100% [73.1-100]</w:t>
            </w:r>
          </w:p>
        </w:tc>
      </w:tr>
      <w:tr w:rsidR="007900E9" w:rsidRPr="00B27879" w14:paraId="1E2F1E90" w14:textId="77777777" w:rsidTr="007D3DFF">
        <w:trPr>
          <w:trHeight w:val="63"/>
        </w:trPr>
        <w:tc>
          <w:tcPr>
            <w:tcW w:w="486" w:type="pct"/>
            <w:vMerge/>
          </w:tcPr>
          <w:p w14:paraId="27C5526B" w14:textId="77777777" w:rsidR="00F21E64" w:rsidRPr="00B27879" w:rsidRDefault="00F21E64" w:rsidP="00FE3A7F">
            <w:pPr>
              <w:pStyle w:val="TableText"/>
              <w:rPr>
                <w:color w:val="auto"/>
                <w:lang w:val="en-AU"/>
              </w:rPr>
            </w:pPr>
          </w:p>
        </w:tc>
        <w:tc>
          <w:tcPr>
            <w:tcW w:w="533" w:type="pct"/>
          </w:tcPr>
          <w:p w14:paraId="57F7AD75" w14:textId="77777777" w:rsidR="00F21E64" w:rsidRPr="00B27879" w:rsidRDefault="00F21E64" w:rsidP="00FE3A7F">
            <w:pPr>
              <w:pStyle w:val="TableText"/>
              <w:rPr>
                <w:color w:val="auto"/>
                <w:lang w:val="en-AU"/>
              </w:rPr>
            </w:pPr>
            <w:r w:rsidRPr="00B27879">
              <w:rPr>
                <w:color w:val="auto"/>
                <w:lang w:val="en-AU"/>
              </w:rPr>
              <w:t>FGFR2 –</w:t>
            </w:r>
          </w:p>
        </w:tc>
        <w:tc>
          <w:tcPr>
            <w:tcW w:w="1100" w:type="pct"/>
          </w:tcPr>
          <w:p w14:paraId="53C6527F" w14:textId="77777777" w:rsidR="00F21E64" w:rsidRPr="00B27879" w:rsidRDefault="00F21E64" w:rsidP="00FE3A7F">
            <w:pPr>
              <w:pStyle w:val="TableText"/>
              <w:jc w:val="center"/>
              <w:rPr>
                <w:color w:val="auto"/>
                <w:lang w:val="en-AU"/>
              </w:rPr>
            </w:pPr>
            <w:r w:rsidRPr="00B27879">
              <w:rPr>
                <w:color w:val="auto"/>
                <w:lang w:val="en-AU"/>
              </w:rPr>
              <w:t>0</w:t>
            </w:r>
          </w:p>
        </w:tc>
        <w:tc>
          <w:tcPr>
            <w:tcW w:w="1101" w:type="pct"/>
          </w:tcPr>
          <w:p w14:paraId="7A57A8AD" w14:textId="77777777" w:rsidR="00F21E64" w:rsidRPr="00B27879" w:rsidRDefault="00F21E64" w:rsidP="00FE3A7F">
            <w:pPr>
              <w:pStyle w:val="TableText"/>
              <w:jc w:val="center"/>
              <w:rPr>
                <w:color w:val="auto"/>
                <w:lang w:val="en-AU"/>
              </w:rPr>
            </w:pPr>
            <w:r w:rsidRPr="00B27879">
              <w:rPr>
                <w:color w:val="auto"/>
                <w:lang w:val="en-AU"/>
              </w:rPr>
              <w:t>97</w:t>
            </w:r>
          </w:p>
        </w:tc>
        <w:tc>
          <w:tcPr>
            <w:tcW w:w="394" w:type="pct"/>
          </w:tcPr>
          <w:p w14:paraId="0FEEED30" w14:textId="77777777" w:rsidR="00F21E64" w:rsidRPr="00B27879" w:rsidRDefault="00F21E64" w:rsidP="00FE3A7F">
            <w:pPr>
              <w:pStyle w:val="TableText"/>
              <w:jc w:val="center"/>
              <w:rPr>
                <w:color w:val="auto"/>
                <w:lang w:val="en-AU"/>
              </w:rPr>
            </w:pPr>
            <w:r w:rsidRPr="00B27879">
              <w:rPr>
                <w:color w:val="auto"/>
                <w:lang w:val="en-AU"/>
              </w:rPr>
              <w:t>97</w:t>
            </w:r>
          </w:p>
        </w:tc>
        <w:tc>
          <w:tcPr>
            <w:tcW w:w="1386" w:type="pct"/>
          </w:tcPr>
          <w:p w14:paraId="5C0DF2F9" w14:textId="77777777" w:rsidR="00F21E64" w:rsidRPr="00B27879" w:rsidRDefault="00F21E64" w:rsidP="00FE3A7F">
            <w:pPr>
              <w:pStyle w:val="TableText"/>
              <w:rPr>
                <w:color w:val="auto"/>
                <w:lang w:val="en-AU"/>
              </w:rPr>
            </w:pPr>
            <w:r w:rsidRPr="00B27879">
              <w:rPr>
                <w:color w:val="auto"/>
                <w:lang w:val="en-AU"/>
              </w:rPr>
              <w:t>Adj NPV = 100% [99.5-100]</w:t>
            </w:r>
          </w:p>
        </w:tc>
      </w:tr>
      <w:tr w:rsidR="007900E9" w:rsidRPr="00B27879" w14:paraId="5BC0264F" w14:textId="77777777" w:rsidTr="007D3DFF">
        <w:trPr>
          <w:trHeight w:val="149"/>
        </w:trPr>
        <w:tc>
          <w:tcPr>
            <w:tcW w:w="486" w:type="pct"/>
            <w:vMerge/>
          </w:tcPr>
          <w:p w14:paraId="10B44791" w14:textId="77777777" w:rsidR="00F21E64" w:rsidRPr="00B27879" w:rsidRDefault="00F21E64" w:rsidP="00FE3A7F">
            <w:pPr>
              <w:pStyle w:val="TableText"/>
              <w:rPr>
                <w:color w:val="auto"/>
                <w:lang w:val="en-AU"/>
              </w:rPr>
            </w:pPr>
          </w:p>
        </w:tc>
        <w:tc>
          <w:tcPr>
            <w:tcW w:w="533" w:type="pct"/>
          </w:tcPr>
          <w:p w14:paraId="6F2A4390" w14:textId="77777777" w:rsidR="00F21E64" w:rsidRPr="00B27879" w:rsidRDefault="00F21E64" w:rsidP="00FE3A7F">
            <w:pPr>
              <w:pStyle w:val="TableText"/>
              <w:rPr>
                <w:color w:val="auto"/>
                <w:lang w:val="en-AU"/>
              </w:rPr>
            </w:pPr>
            <w:r w:rsidRPr="00B27879">
              <w:rPr>
                <w:color w:val="auto"/>
                <w:lang w:val="en-AU"/>
              </w:rPr>
              <w:t>Total</w:t>
            </w:r>
          </w:p>
        </w:tc>
        <w:tc>
          <w:tcPr>
            <w:tcW w:w="1100" w:type="pct"/>
          </w:tcPr>
          <w:p w14:paraId="436EECDD" w14:textId="77777777" w:rsidR="00F21E64" w:rsidRPr="00B27879" w:rsidRDefault="00F21E64" w:rsidP="00FE3A7F">
            <w:pPr>
              <w:pStyle w:val="TableText"/>
              <w:jc w:val="center"/>
              <w:rPr>
                <w:color w:val="auto"/>
                <w:lang w:val="en-AU"/>
              </w:rPr>
            </w:pPr>
            <w:r w:rsidRPr="00B27879">
              <w:rPr>
                <w:color w:val="auto"/>
                <w:lang w:val="en-AU"/>
              </w:rPr>
              <w:t>84</w:t>
            </w:r>
          </w:p>
        </w:tc>
        <w:tc>
          <w:tcPr>
            <w:tcW w:w="1101" w:type="pct"/>
          </w:tcPr>
          <w:p w14:paraId="1181B660" w14:textId="77777777" w:rsidR="00F21E64" w:rsidRPr="00B27879" w:rsidRDefault="00F21E64" w:rsidP="00FE3A7F">
            <w:pPr>
              <w:pStyle w:val="TableText"/>
              <w:jc w:val="center"/>
              <w:rPr>
                <w:color w:val="auto"/>
                <w:lang w:val="en-AU"/>
              </w:rPr>
            </w:pPr>
            <w:r w:rsidRPr="00B27879">
              <w:rPr>
                <w:color w:val="auto"/>
                <w:lang w:val="en-AU"/>
              </w:rPr>
              <w:t>97</w:t>
            </w:r>
          </w:p>
        </w:tc>
        <w:tc>
          <w:tcPr>
            <w:tcW w:w="394" w:type="pct"/>
          </w:tcPr>
          <w:p w14:paraId="383E3D6B" w14:textId="77777777" w:rsidR="00F21E64" w:rsidRPr="00B27879" w:rsidRDefault="00F21E64" w:rsidP="00FE3A7F">
            <w:pPr>
              <w:pStyle w:val="TableText"/>
              <w:jc w:val="center"/>
              <w:rPr>
                <w:color w:val="auto"/>
                <w:lang w:val="en-AU"/>
              </w:rPr>
            </w:pPr>
            <w:r w:rsidRPr="00B27879">
              <w:rPr>
                <w:color w:val="auto"/>
                <w:lang w:val="en-AU"/>
              </w:rPr>
              <w:t>181</w:t>
            </w:r>
          </w:p>
        </w:tc>
        <w:tc>
          <w:tcPr>
            <w:tcW w:w="1386" w:type="pct"/>
          </w:tcPr>
          <w:p w14:paraId="46C702B8" w14:textId="77777777" w:rsidR="00F21E64" w:rsidRPr="00B27879" w:rsidRDefault="00F21E64" w:rsidP="00FE3A7F">
            <w:pPr>
              <w:pStyle w:val="TableText"/>
              <w:rPr>
                <w:color w:val="auto"/>
                <w:lang w:val="en-AU"/>
              </w:rPr>
            </w:pPr>
          </w:p>
        </w:tc>
      </w:tr>
      <w:tr w:rsidR="007900E9" w:rsidRPr="00B27879" w14:paraId="026321C1" w14:textId="77777777" w:rsidTr="007D3DFF">
        <w:trPr>
          <w:trHeight w:val="149"/>
        </w:trPr>
        <w:tc>
          <w:tcPr>
            <w:tcW w:w="1019" w:type="pct"/>
            <w:gridSpan w:val="2"/>
          </w:tcPr>
          <w:p w14:paraId="758A79E4" w14:textId="77777777" w:rsidR="00F21E64" w:rsidRPr="00B27879" w:rsidRDefault="00F21E64" w:rsidP="00FE3A7F">
            <w:pPr>
              <w:pStyle w:val="TableText"/>
              <w:rPr>
                <w:color w:val="auto"/>
                <w:lang w:val="en-AU"/>
              </w:rPr>
            </w:pPr>
          </w:p>
        </w:tc>
        <w:tc>
          <w:tcPr>
            <w:tcW w:w="1100" w:type="pct"/>
          </w:tcPr>
          <w:p w14:paraId="5C730DD2" w14:textId="77777777" w:rsidR="00F21E64" w:rsidRPr="00B27879" w:rsidRDefault="00F21E64" w:rsidP="00FE3A7F">
            <w:pPr>
              <w:pStyle w:val="TableText"/>
              <w:jc w:val="center"/>
              <w:rPr>
                <w:color w:val="auto"/>
                <w:lang w:val="en-AU"/>
              </w:rPr>
            </w:pPr>
            <w:r w:rsidRPr="00B27879">
              <w:rPr>
                <w:color w:val="auto"/>
                <w:lang w:val="en-AU"/>
              </w:rPr>
              <w:t>Adj PPA = 100%</w:t>
            </w:r>
          </w:p>
          <w:p w14:paraId="44E62401" w14:textId="77777777" w:rsidR="00F21E64" w:rsidRPr="00B27879" w:rsidRDefault="00F21E64" w:rsidP="00FE3A7F">
            <w:pPr>
              <w:pStyle w:val="TableText"/>
              <w:jc w:val="center"/>
              <w:rPr>
                <w:color w:val="auto"/>
                <w:lang w:val="en-AU"/>
              </w:rPr>
            </w:pPr>
            <w:r w:rsidRPr="00B27879">
              <w:rPr>
                <w:color w:val="auto"/>
                <w:lang w:val="en-AU"/>
              </w:rPr>
              <w:t>[95.7-100]</w:t>
            </w:r>
          </w:p>
        </w:tc>
        <w:tc>
          <w:tcPr>
            <w:tcW w:w="1101" w:type="pct"/>
          </w:tcPr>
          <w:p w14:paraId="4C0017B9" w14:textId="77777777" w:rsidR="00F21E64" w:rsidRPr="00B27879" w:rsidRDefault="00F21E64" w:rsidP="00FE3A7F">
            <w:pPr>
              <w:pStyle w:val="TableText"/>
              <w:jc w:val="center"/>
              <w:rPr>
                <w:color w:val="auto"/>
                <w:lang w:val="en-AU"/>
              </w:rPr>
            </w:pPr>
            <w:r w:rsidRPr="00B27879">
              <w:rPr>
                <w:color w:val="auto"/>
                <w:lang w:val="en-AU"/>
              </w:rPr>
              <w:t>Adj NPA = 100%</w:t>
            </w:r>
          </w:p>
          <w:p w14:paraId="3A9AFA7C" w14:textId="77777777" w:rsidR="00F21E64" w:rsidRPr="00B27879" w:rsidRDefault="00F21E64" w:rsidP="00FE3A7F">
            <w:pPr>
              <w:pStyle w:val="TableText"/>
              <w:jc w:val="center"/>
              <w:rPr>
                <w:color w:val="auto"/>
                <w:lang w:val="en-AU"/>
              </w:rPr>
            </w:pPr>
            <w:r w:rsidRPr="00B27879">
              <w:rPr>
                <w:color w:val="auto"/>
                <w:lang w:val="en-AU"/>
              </w:rPr>
              <w:t>[96.3-100]</w:t>
            </w:r>
          </w:p>
        </w:tc>
        <w:tc>
          <w:tcPr>
            <w:tcW w:w="394" w:type="pct"/>
          </w:tcPr>
          <w:p w14:paraId="66883E90" w14:textId="77777777" w:rsidR="00F21E64" w:rsidRPr="00B27879" w:rsidRDefault="00F21E64" w:rsidP="00FE3A7F">
            <w:pPr>
              <w:pStyle w:val="TableText"/>
              <w:jc w:val="center"/>
              <w:rPr>
                <w:color w:val="auto"/>
                <w:lang w:val="en-AU"/>
              </w:rPr>
            </w:pPr>
          </w:p>
        </w:tc>
        <w:tc>
          <w:tcPr>
            <w:tcW w:w="1386" w:type="pct"/>
          </w:tcPr>
          <w:p w14:paraId="13D4FA26" w14:textId="77777777" w:rsidR="00F21E64" w:rsidRPr="00B27879" w:rsidRDefault="00F21E64" w:rsidP="00FE3A7F">
            <w:pPr>
              <w:pStyle w:val="TableText"/>
              <w:rPr>
                <w:color w:val="auto"/>
                <w:lang w:val="en-AU"/>
              </w:rPr>
            </w:pPr>
            <w:r w:rsidRPr="00B27879">
              <w:rPr>
                <w:color w:val="auto"/>
                <w:lang w:val="en-AU"/>
              </w:rPr>
              <w:t xml:space="preserve">Adj OPA = 100% </w:t>
            </w:r>
          </w:p>
          <w:p w14:paraId="6C8D437E" w14:textId="77777777" w:rsidR="00F21E64" w:rsidRPr="00B27879" w:rsidRDefault="00F21E64" w:rsidP="00FE3A7F">
            <w:pPr>
              <w:pStyle w:val="TableText"/>
              <w:rPr>
                <w:color w:val="auto"/>
                <w:lang w:val="en-AU"/>
              </w:rPr>
            </w:pPr>
            <w:r w:rsidRPr="00B27879">
              <w:rPr>
                <w:color w:val="auto"/>
                <w:lang w:val="en-AU"/>
              </w:rPr>
              <w:t>[98.0-100]</w:t>
            </w:r>
          </w:p>
        </w:tc>
      </w:tr>
    </w:tbl>
    <w:p w14:paraId="301288A9" w14:textId="77777777" w:rsidR="00F21E64" w:rsidRPr="00B27879" w:rsidRDefault="00F21E64" w:rsidP="00F21E64">
      <w:pPr>
        <w:pStyle w:val="TableFooter"/>
      </w:pPr>
      <w:r w:rsidRPr="00B27879">
        <w:t xml:space="preserve">Source: Table 2.17, p86 of the submission. </w:t>
      </w:r>
    </w:p>
    <w:p w14:paraId="521180EE" w14:textId="0AD51BF1" w:rsidR="00F21E64" w:rsidRPr="00B27879" w:rsidRDefault="00F21E64" w:rsidP="00F21E64">
      <w:pPr>
        <w:pStyle w:val="TableFooter"/>
      </w:pPr>
      <w:r w:rsidRPr="2914E55D">
        <w:t>DNA = deoxyribonucleic acid; F1CDx = FoundationOne Companion Diagnostic; F1CTA = FoundationOne Clinical Trial Assay; FGFR = fibroblast growth factor receptor; NPA = negative percent agreement; NPV = negative predictive value; OPA = overall percent agreement; PPA = positive percent agreement; PPV = positive predictive value; RNA = ribonucleic acid</w:t>
      </w:r>
    </w:p>
    <w:p w14:paraId="0B7C64EA" w14:textId="42A2C3FC" w:rsidR="00F21E64" w:rsidRPr="00B27879" w:rsidRDefault="00F21E64" w:rsidP="00F21E64">
      <w:pPr>
        <w:pStyle w:val="TableFooter"/>
      </w:pPr>
      <w:r w:rsidRPr="2914E55D">
        <w:t>Notes: Numbers within square brackets represent 95% 2-sided confidence intervals and prevalence adjusted; * One sample was enrolled by the F1 Heme assay and was analysed as an F1 result for the concordance analysis.</w:t>
      </w:r>
    </w:p>
    <w:p w14:paraId="3E381B42" w14:textId="330032F2"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In Silverman 2022, an analytical concordance study was also performed to evaluate the agreement between F1CDx (NGS on DNA) and an evNGS assay using the ArcherDX FusionPlex platform</w:t>
      </w:r>
      <w:r w:rsidR="0021071A" w:rsidRPr="00353AB8">
        <w:rPr>
          <w:rFonts w:ascii="Franklin Gothic Book" w:hAnsi="Franklin Gothic Book"/>
          <w:sz w:val="22"/>
        </w:rPr>
        <w:t xml:space="preserv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_Ref198447373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9</w:t>
      </w:r>
      <w:r w:rsidR="001F5863" w:rsidRPr="001F5863">
        <w:rPr>
          <w:rFonts w:ascii="Franklin Gothic Book" w:hAnsi="Franklin Gothic Book"/>
          <w:sz w:val="22"/>
        </w:rPr>
        <w:fldChar w:fldCharType="end"/>
      </w:r>
      <w:r w:rsidR="0021071A" w:rsidRPr="00353AB8">
        <w:rPr>
          <w:rFonts w:ascii="Franklin Gothic Book" w:hAnsi="Franklin Gothic Book"/>
          <w:sz w:val="22"/>
        </w:rPr>
        <w:t>)</w:t>
      </w:r>
      <w:r w:rsidRPr="00353AB8">
        <w:rPr>
          <w:rFonts w:ascii="Franklin Gothic Book" w:hAnsi="Franklin Gothic Book"/>
          <w:sz w:val="22"/>
        </w:rPr>
        <w:t xml:space="preserve">. FFPE samples from 26 </w:t>
      </w:r>
      <w:r w:rsidRPr="00353AB8">
        <w:rPr>
          <w:rFonts w:ascii="Franklin Gothic Book" w:hAnsi="Franklin Gothic Book"/>
          <w:i/>
          <w:iCs/>
          <w:sz w:val="22"/>
        </w:rPr>
        <w:t>FGFR2</w:t>
      </w:r>
      <w:r w:rsidRPr="00353AB8">
        <w:rPr>
          <w:rFonts w:ascii="Franklin Gothic Book" w:hAnsi="Franklin Gothic Book"/>
          <w:sz w:val="22"/>
        </w:rPr>
        <w:t xml:space="preserve"> rearrangement-positive CCA samples and 133 </w:t>
      </w:r>
      <w:r w:rsidRPr="00353AB8">
        <w:rPr>
          <w:rFonts w:ascii="Franklin Gothic Book" w:hAnsi="Franklin Gothic Book"/>
          <w:i/>
          <w:iCs/>
          <w:sz w:val="22"/>
        </w:rPr>
        <w:t>FGFR2</w:t>
      </w:r>
      <w:r w:rsidRPr="00353AB8">
        <w:rPr>
          <w:rFonts w:ascii="Franklin Gothic Book" w:hAnsi="Franklin Gothic Book"/>
          <w:sz w:val="22"/>
        </w:rPr>
        <w:t xml:space="preserve"> rearrangement-negative CCA samples were run on both platforms. Of these samples, 142 were iCCA, with the remaining 17 not classified as to intrahepatic or extrahepatic. </w:t>
      </w:r>
    </w:p>
    <w:p w14:paraId="0020B1E3" w14:textId="42CE361C"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There was disagreement between tests for three of the 159 included samples: two samples testing positive on the RNA-based evNGS were negative on the DNA NGS F1CDx test, while one sample testing negative on the RNA-based evNGS tested positive on the F1CDx test. The overall percent agreement was 98.3%, while the adjusted PPV was 96.2% (80.4-99.9) and the adjusted NPV was 98.5% (94.6-99.8).</w:t>
      </w:r>
    </w:p>
    <w:p w14:paraId="0154FE80" w14:textId="484441AC" w:rsidR="00F21E64" w:rsidRPr="00B27879" w:rsidRDefault="009D316D" w:rsidP="009D316D">
      <w:pPr>
        <w:pStyle w:val="Caption"/>
      </w:pPr>
      <w:bookmarkStart w:id="45" w:name="_Ref198447373"/>
      <w:bookmarkStart w:id="46" w:name="_Ref187681634"/>
      <w:r>
        <w:lastRenderedPageBreak/>
        <w:t xml:space="preserve">Table </w:t>
      </w:r>
      <w:r>
        <w:fldChar w:fldCharType="begin"/>
      </w:r>
      <w:r>
        <w:instrText>SEQ Table \* ARABIC</w:instrText>
      </w:r>
      <w:r>
        <w:fldChar w:fldCharType="separate"/>
      </w:r>
      <w:r w:rsidR="005B1C7E">
        <w:rPr>
          <w:noProof/>
        </w:rPr>
        <w:t>9</w:t>
      </w:r>
      <w:r>
        <w:fldChar w:fldCharType="end"/>
      </w:r>
      <w:bookmarkEnd w:id="45"/>
      <w:r>
        <w:tab/>
      </w:r>
      <w:bookmarkEnd w:id="46"/>
      <w:r w:rsidR="00F21E64" w:rsidRPr="2914E55D">
        <w:t>Concordance between NGS on DNA (F1CDx) and NGS on RNA (evNGS) in Silverman 2022</w:t>
      </w:r>
    </w:p>
    <w:tbl>
      <w:tblPr>
        <w:tblStyle w:val="PBACTableStyle"/>
        <w:tblW w:w="5000" w:type="pct"/>
        <w:tblLook w:val="0020" w:firstRow="1" w:lastRow="0" w:firstColumn="0" w:lastColumn="0" w:noHBand="0" w:noVBand="0"/>
      </w:tblPr>
      <w:tblGrid>
        <w:gridCol w:w="727"/>
        <w:gridCol w:w="979"/>
        <w:gridCol w:w="1529"/>
        <w:gridCol w:w="1491"/>
        <w:gridCol w:w="759"/>
        <w:gridCol w:w="900"/>
        <w:gridCol w:w="2631"/>
      </w:tblGrid>
      <w:tr w:rsidR="007900E9" w:rsidRPr="00B27879" w14:paraId="022D3A08" w14:textId="77777777" w:rsidTr="0018507C">
        <w:trPr>
          <w:cnfStyle w:val="100000000000" w:firstRow="1" w:lastRow="0" w:firstColumn="0" w:lastColumn="0" w:oddVBand="0" w:evenVBand="0" w:oddHBand="0" w:evenHBand="0" w:firstRowFirstColumn="0" w:firstRowLastColumn="0" w:lastRowFirstColumn="0" w:lastRowLastColumn="0"/>
          <w:trHeight w:val="63"/>
        </w:trPr>
        <w:tc>
          <w:tcPr>
            <w:tcW w:w="946" w:type="pct"/>
            <w:gridSpan w:val="2"/>
            <w:vMerge w:val="restart"/>
          </w:tcPr>
          <w:p w14:paraId="34B42E59" w14:textId="77777777" w:rsidR="00F21E64" w:rsidRPr="00B27879" w:rsidRDefault="00F21E64" w:rsidP="00353AB8">
            <w:pPr>
              <w:pStyle w:val="TableText"/>
              <w:keepNext/>
              <w:keepLines/>
              <w:rPr>
                <w:color w:val="auto"/>
                <w:lang w:val="en-AU"/>
              </w:rPr>
            </w:pPr>
          </w:p>
        </w:tc>
        <w:tc>
          <w:tcPr>
            <w:tcW w:w="2595" w:type="pct"/>
            <w:gridSpan w:val="4"/>
          </w:tcPr>
          <w:p w14:paraId="7F62D6DF" w14:textId="77777777" w:rsidR="00F21E64" w:rsidRPr="00B27879" w:rsidRDefault="00F21E64" w:rsidP="00353AB8">
            <w:pPr>
              <w:pStyle w:val="TableText"/>
              <w:keepNext/>
              <w:keepLines/>
              <w:jc w:val="center"/>
              <w:rPr>
                <w:b w:val="0"/>
                <w:bCs/>
                <w:color w:val="auto"/>
                <w:lang w:val="en-AU"/>
              </w:rPr>
            </w:pPr>
            <w:r w:rsidRPr="00B27879">
              <w:rPr>
                <w:bCs/>
                <w:color w:val="auto"/>
                <w:lang w:val="en-AU"/>
              </w:rPr>
              <w:t>evNGS RNA</w:t>
            </w:r>
          </w:p>
        </w:tc>
        <w:tc>
          <w:tcPr>
            <w:tcW w:w="1459" w:type="pct"/>
            <w:vMerge w:val="restart"/>
          </w:tcPr>
          <w:p w14:paraId="0DDA1390" w14:textId="77777777" w:rsidR="00F21E64" w:rsidRPr="00B27879" w:rsidRDefault="00F21E64" w:rsidP="00353AB8">
            <w:pPr>
              <w:pStyle w:val="TableText"/>
              <w:keepNext/>
              <w:keepLines/>
              <w:rPr>
                <w:color w:val="auto"/>
                <w:lang w:val="en-AU"/>
              </w:rPr>
            </w:pPr>
          </w:p>
        </w:tc>
      </w:tr>
      <w:tr w:rsidR="007900E9" w:rsidRPr="00B27879" w14:paraId="2626F2BA" w14:textId="77777777" w:rsidTr="0018507C">
        <w:trPr>
          <w:trHeight w:val="63"/>
        </w:trPr>
        <w:tc>
          <w:tcPr>
            <w:tcW w:w="946" w:type="pct"/>
            <w:gridSpan w:val="2"/>
            <w:vMerge/>
          </w:tcPr>
          <w:p w14:paraId="1C17F9A9" w14:textId="77777777" w:rsidR="00F21E64" w:rsidRPr="00B27879" w:rsidRDefault="00F21E64" w:rsidP="00353AB8">
            <w:pPr>
              <w:pStyle w:val="TableText"/>
              <w:keepNext/>
              <w:keepLines/>
              <w:rPr>
                <w:color w:val="auto"/>
                <w:lang w:val="en-AU"/>
              </w:rPr>
            </w:pPr>
          </w:p>
        </w:tc>
        <w:tc>
          <w:tcPr>
            <w:tcW w:w="848" w:type="pct"/>
          </w:tcPr>
          <w:p w14:paraId="5ED17713" w14:textId="77777777" w:rsidR="00F21E64" w:rsidRPr="00B27879" w:rsidRDefault="00F21E64" w:rsidP="00353AB8">
            <w:pPr>
              <w:pStyle w:val="TableText"/>
              <w:keepNext/>
              <w:keepLines/>
              <w:jc w:val="center"/>
              <w:rPr>
                <w:b/>
                <w:bCs/>
                <w:color w:val="auto"/>
                <w:lang w:val="en-AU"/>
              </w:rPr>
            </w:pPr>
            <w:r w:rsidRPr="00B27879">
              <w:rPr>
                <w:b/>
                <w:bCs/>
                <w:color w:val="auto"/>
                <w:lang w:val="en-AU"/>
              </w:rPr>
              <w:t>FGFR2 +</w:t>
            </w:r>
          </w:p>
        </w:tc>
        <w:tc>
          <w:tcPr>
            <w:tcW w:w="827" w:type="pct"/>
          </w:tcPr>
          <w:p w14:paraId="24D20AF7" w14:textId="77777777" w:rsidR="00F21E64" w:rsidRPr="00B27879" w:rsidRDefault="00F21E64" w:rsidP="00353AB8">
            <w:pPr>
              <w:pStyle w:val="TableText"/>
              <w:keepNext/>
              <w:keepLines/>
              <w:jc w:val="center"/>
              <w:rPr>
                <w:b/>
                <w:bCs/>
                <w:color w:val="auto"/>
                <w:lang w:val="en-AU"/>
              </w:rPr>
            </w:pPr>
            <w:r w:rsidRPr="00B27879">
              <w:rPr>
                <w:b/>
                <w:bCs/>
                <w:color w:val="auto"/>
                <w:lang w:val="en-AU"/>
              </w:rPr>
              <w:t>FGFR2 –</w:t>
            </w:r>
          </w:p>
        </w:tc>
        <w:tc>
          <w:tcPr>
            <w:tcW w:w="421" w:type="pct"/>
          </w:tcPr>
          <w:p w14:paraId="28FB7143" w14:textId="77777777" w:rsidR="00F21E64" w:rsidRPr="00B27879" w:rsidRDefault="00F21E64" w:rsidP="00353AB8">
            <w:pPr>
              <w:pStyle w:val="TableText"/>
              <w:keepNext/>
              <w:keepLines/>
              <w:jc w:val="center"/>
              <w:rPr>
                <w:b/>
                <w:bCs/>
                <w:color w:val="auto"/>
                <w:lang w:val="en-AU"/>
              </w:rPr>
            </w:pPr>
            <w:r w:rsidRPr="00B27879">
              <w:rPr>
                <w:b/>
                <w:bCs/>
                <w:color w:val="auto"/>
                <w:lang w:val="en-AU"/>
              </w:rPr>
              <w:t>Invalid</w:t>
            </w:r>
          </w:p>
        </w:tc>
        <w:tc>
          <w:tcPr>
            <w:tcW w:w="499" w:type="pct"/>
          </w:tcPr>
          <w:p w14:paraId="5134CE69" w14:textId="77777777" w:rsidR="00F21E64" w:rsidRPr="00B27879" w:rsidRDefault="00F21E64" w:rsidP="00353AB8">
            <w:pPr>
              <w:pStyle w:val="TableText"/>
              <w:keepNext/>
              <w:keepLines/>
              <w:jc w:val="center"/>
              <w:rPr>
                <w:b/>
                <w:bCs/>
                <w:color w:val="auto"/>
                <w:lang w:val="en-AU"/>
              </w:rPr>
            </w:pPr>
            <w:r w:rsidRPr="00B27879">
              <w:rPr>
                <w:b/>
                <w:bCs/>
                <w:color w:val="auto"/>
                <w:lang w:val="en-AU"/>
              </w:rPr>
              <w:t>Total</w:t>
            </w:r>
          </w:p>
        </w:tc>
        <w:tc>
          <w:tcPr>
            <w:tcW w:w="1459" w:type="pct"/>
            <w:vMerge/>
          </w:tcPr>
          <w:p w14:paraId="71DF7F63" w14:textId="77777777" w:rsidR="00F21E64" w:rsidRPr="00B27879" w:rsidRDefault="00F21E64" w:rsidP="00353AB8">
            <w:pPr>
              <w:pStyle w:val="TableText"/>
              <w:keepNext/>
              <w:keepLines/>
              <w:rPr>
                <w:color w:val="auto"/>
                <w:lang w:val="en-AU"/>
              </w:rPr>
            </w:pPr>
          </w:p>
        </w:tc>
      </w:tr>
      <w:tr w:rsidR="007900E9" w:rsidRPr="00B27879" w14:paraId="0FCC04DC" w14:textId="77777777" w:rsidTr="0018507C">
        <w:trPr>
          <w:trHeight w:val="71"/>
        </w:trPr>
        <w:tc>
          <w:tcPr>
            <w:tcW w:w="403" w:type="pct"/>
            <w:vMerge w:val="restart"/>
          </w:tcPr>
          <w:p w14:paraId="42D33BE9" w14:textId="276EA55B" w:rsidR="00F21E64" w:rsidRPr="00B27879" w:rsidRDefault="00F21E64" w:rsidP="00353AB8">
            <w:pPr>
              <w:pStyle w:val="TableText"/>
              <w:keepNext/>
              <w:keepLines/>
              <w:rPr>
                <w:color w:val="auto"/>
                <w:lang w:val="en-AU"/>
              </w:rPr>
            </w:pPr>
            <w:r w:rsidRPr="00B27879">
              <w:rPr>
                <w:color w:val="auto"/>
                <w:lang w:val="en-AU"/>
              </w:rPr>
              <w:t xml:space="preserve">F1CDx DNA </w:t>
            </w:r>
          </w:p>
        </w:tc>
        <w:tc>
          <w:tcPr>
            <w:tcW w:w="543" w:type="pct"/>
          </w:tcPr>
          <w:p w14:paraId="3CAE29E5" w14:textId="77777777" w:rsidR="00F21E64" w:rsidRPr="00B27879" w:rsidRDefault="00F21E64" w:rsidP="00353AB8">
            <w:pPr>
              <w:pStyle w:val="TableText"/>
              <w:keepNext/>
              <w:keepLines/>
              <w:rPr>
                <w:color w:val="auto"/>
                <w:lang w:val="en-AU"/>
              </w:rPr>
            </w:pPr>
            <w:r w:rsidRPr="00B27879">
              <w:rPr>
                <w:color w:val="auto"/>
                <w:lang w:val="en-AU"/>
              </w:rPr>
              <w:t>FGFR2 +</w:t>
            </w:r>
          </w:p>
        </w:tc>
        <w:tc>
          <w:tcPr>
            <w:tcW w:w="848" w:type="pct"/>
          </w:tcPr>
          <w:p w14:paraId="0089FE47" w14:textId="77777777" w:rsidR="00F21E64" w:rsidRPr="00B27879" w:rsidRDefault="00F21E64" w:rsidP="00353AB8">
            <w:pPr>
              <w:pStyle w:val="TableText"/>
              <w:keepNext/>
              <w:keepLines/>
              <w:jc w:val="center"/>
              <w:rPr>
                <w:color w:val="auto"/>
                <w:lang w:val="en-AU"/>
              </w:rPr>
            </w:pPr>
            <w:r w:rsidRPr="00B27879">
              <w:rPr>
                <w:color w:val="auto"/>
                <w:lang w:val="en-AU"/>
              </w:rPr>
              <w:t>25</w:t>
            </w:r>
          </w:p>
        </w:tc>
        <w:tc>
          <w:tcPr>
            <w:tcW w:w="827" w:type="pct"/>
          </w:tcPr>
          <w:p w14:paraId="48EC933A" w14:textId="77777777" w:rsidR="00F21E64" w:rsidRPr="00B27879" w:rsidRDefault="00F21E64" w:rsidP="00353AB8">
            <w:pPr>
              <w:pStyle w:val="TableText"/>
              <w:keepNext/>
              <w:keepLines/>
              <w:jc w:val="center"/>
              <w:rPr>
                <w:color w:val="auto"/>
                <w:lang w:val="en-AU"/>
              </w:rPr>
            </w:pPr>
            <w:r w:rsidRPr="00B27879">
              <w:rPr>
                <w:color w:val="auto"/>
                <w:lang w:val="en-AU"/>
              </w:rPr>
              <w:t>1</w:t>
            </w:r>
          </w:p>
        </w:tc>
        <w:tc>
          <w:tcPr>
            <w:tcW w:w="421" w:type="pct"/>
          </w:tcPr>
          <w:p w14:paraId="36D90312" w14:textId="77777777" w:rsidR="00F21E64" w:rsidRPr="00B27879" w:rsidRDefault="00F21E64" w:rsidP="00353AB8">
            <w:pPr>
              <w:pStyle w:val="TableText"/>
              <w:keepNext/>
              <w:keepLines/>
              <w:jc w:val="center"/>
              <w:rPr>
                <w:color w:val="auto"/>
                <w:lang w:val="en-AU"/>
              </w:rPr>
            </w:pPr>
            <w:r w:rsidRPr="00B27879">
              <w:rPr>
                <w:color w:val="auto"/>
                <w:lang w:val="en-AU"/>
              </w:rPr>
              <w:t>0</w:t>
            </w:r>
          </w:p>
        </w:tc>
        <w:tc>
          <w:tcPr>
            <w:tcW w:w="499" w:type="pct"/>
          </w:tcPr>
          <w:p w14:paraId="3E57972A" w14:textId="77777777" w:rsidR="00F21E64" w:rsidRPr="00B27879" w:rsidRDefault="00F21E64" w:rsidP="00353AB8">
            <w:pPr>
              <w:pStyle w:val="TableText"/>
              <w:keepNext/>
              <w:keepLines/>
              <w:jc w:val="center"/>
              <w:rPr>
                <w:color w:val="auto"/>
                <w:lang w:val="en-AU"/>
              </w:rPr>
            </w:pPr>
            <w:r w:rsidRPr="00B27879">
              <w:rPr>
                <w:color w:val="auto"/>
                <w:lang w:val="en-AU"/>
              </w:rPr>
              <w:t>26</w:t>
            </w:r>
          </w:p>
        </w:tc>
        <w:tc>
          <w:tcPr>
            <w:tcW w:w="1459" w:type="pct"/>
          </w:tcPr>
          <w:p w14:paraId="414F06FE" w14:textId="77777777" w:rsidR="00F21E64" w:rsidRPr="00B27879" w:rsidRDefault="00F21E64" w:rsidP="00353AB8">
            <w:pPr>
              <w:pStyle w:val="TableText"/>
              <w:keepNext/>
              <w:keepLines/>
              <w:rPr>
                <w:color w:val="auto"/>
                <w:lang w:val="en-AU"/>
              </w:rPr>
            </w:pPr>
            <w:r w:rsidRPr="00B27879">
              <w:rPr>
                <w:color w:val="auto"/>
                <w:lang w:val="en-AU"/>
              </w:rPr>
              <w:t>Adj PPV = 96.2% (80.4-99.9)</w:t>
            </w:r>
          </w:p>
        </w:tc>
      </w:tr>
      <w:tr w:rsidR="007900E9" w:rsidRPr="00B27879" w14:paraId="0190B4A0" w14:textId="77777777" w:rsidTr="0018507C">
        <w:trPr>
          <w:trHeight w:val="63"/>
        </w:trPr>
        <w:tc>
          <w:tcPr>
            <w:tcW w:w="403" w:type="pct"/>
            <w:vMerge/>
          </w:tcPr>
          <w:p w14:paraId="20E32372" w14:textId="77777777" w:rsidR="00F21E64" w:rsidRPr="00B27879" w:rsidRDefault="00F21E64" w:rsidP="00353AB8">
            <w:pPr>
              <w:pStyle w:val="TableText"/>
              <w:keepNext/>
              <w:keepLines/>
              <w:rPr>
                <w:color w:val="auto"/>
                <w:lang w:val="en-AU"/>
              </w:rPr>
            </w:pPr>
          </w:p>
        </w:tc>
        <w:tc>
          <w:tcPr>
            <w:tcW w:w="543" w:type="pct"/>
          </w:tcPr>
          <w:p w14:paraId="44D396BE" w14:textId="77777777" w:rsidR="00F21E64" w:rsidRPr="00B27879" w:rsidRDefault="00F21E64" w:rsidP="00353AB8">
            <w:pPr>
              <w:pStyle w:val="TableText"/>
              <w:keepNext/>
              <w:keepLines/>
              <w:rPr>
                <w:color w:val="auto"/>
                <w:lang w:val="en-AU"/>
              </w:rPr>
            </w:pPr>
            <w:r w:rsidRPr="00B27879">
              <w:rPr>
                <w:color w:val="auto"/>
                <w:lang w:val="en-AU"/>
              </w:rPr>
              <w:t>FGFR2 –</w:t>
            </w:r>
          </w:p>
        </w:tc>
        <w:tc>
          <w:tcPr>
            <w:tcW w:w="848" w:type="pct"/>
          </w:tcPr>
          <w:p w14:paraId="044AD80F" w14:textId="77777777" w:rsidR="00F21E64" w:rsidRPr="00B27879" w:rsidRDefault="00F21E64" w:rsidP="00353AB8">
            <w:pPr>
              <w:pStyle w:val="TableText"/>
              <w:keepNext/>
              <w:keepLines/>
              <w:jc w:val="center"/>
              <w:rPr>
                <w:color w:val="auto"/>
                <w:lang w:val="en-AU"/>
              </w:rPr>
            </w:pPr>
            <w:r w:rsidRPr="00B27879">
              <w:rPr>
                <w:color w:val="auto"/>
                <w:lang w:val="en-AU"/>
              </w:rPr>
              <w:t>2</w:t>
            </w:r>
          </w:p>
        </w:tc>
        <w:tc>
          <w:tcPr>
            <w:tcW w:w="827" w:type="pct"/>
          </w:tcPr>
          <w:p w14:paraId="464F738B" w14:textId="77777777" w:rsidR="00F21E64" w:rsidRPr="00B27879" w:rsidRDefault="00F21E64" w:rsidP="00353AB8">
            <w:pPr>
              <w:pStyle w:val="TableText"/>
              <w:keepNext/>
              <w:keepLines/>
              <w:jc w:val="center"/>
              <w:rPr>
                <w:color w:val="auto"/>
                <w:lang w:val="en-AU"/>
              </w:rPr>
            </w:pPr>
            <w:r w:rsidRPr="00B27879">
              <w:rPr>
                <w:color w:val="auto"/>
                <w:lang w:val="en-AU"/>
              </w:rPr>
              <w:t>130</w:t>
            </w:r>
          </w:p>
        </w:tc>
        <w:tc>
          <w:tcPr>
            <w:tcW w:w="421" w:type="pct"/>
          </w:tcPr>
          <w:p w14:paraId="711068E5" w14:textId="77777777" w:rsidR="00F21E64" w:rsidRPr="00B27879" w:rsidRDefault="00F21E64" w:rsidP="00353AB8">
            <w:pPr>
              <w:pStyle w:val="TableText"/>
              <w:keepNext/>
              <w:keepLines/>
              <w:jc w:val="center"/>
              <w:rPr>
                <w:color w:val="auto"/>
                <w:lang w:val="en-AU"/>
              </w:rPr>
            </w:pPr>
            <w:r w:rsidRPr="00B27879">
              <w:rPr>
                <w:color w:val="auto"/>
                <w:lang w:val="en-AU"/>
              </w:rPr>
              <w:t>1</w:t>
            </w:r>
          </w:p>
        </w:tc>
        <w:tc>
          <w:tcPr>
            <w:tcW w:w="499" w:type="pct"/>
          </w:tcPr>
          <w:p w14:paraId="1D950B62" w14:textId="77777777" w:rsidR="00F21E64" w:rsidRPr="00B27879" w:rsidRDefault="00F21E64" w:rsidP="00353AB8">
            <w:pPr>
              <w:pStyle w:val="TableText"/>
              <w:keepNext/>
              <w:keepLines/>
              <w:jc w:val="center"/>
              <w:rPr>
                <w:color w:val="auto"/>
                <w:lang w:val="en-AU"/>
              </w:rPr>
            </w:pPr>
            <w:r w:rsidRPr="00B27879">
              <w:rPr>
                <w:color w:val="auto"/>
                <w:lang w:val="en-AU"/>
              </w:rPr>
              <w:t>133</w:t>
            </w:r>
          </w:p>
        </w:tc>
        <w:tc>
          <w:tcPr>
            <w:tcW w:w="1459" w:type="pct"/>
          </w:tcPr>
          <w:p w14:paraId="79E2818B" w14:textId="77777777" w:rsidR="00F21E64" w:rsidRPr="00B27879" w:rsidRDefault="00F21E64" w:rsidP="00353AB8">
            <w:pPr>
              <w:pStyle w:val="TableText"/>
              <w:keepNext/>
              <w:keepLines/>
              <w:rPr>
                <w:color w:val="auto"/>
                <w:lang w:val="en-AU"/>
              </w:rPr>
            </w:pPr>
            <w:r w:rsidRPr="00B27879">
              <w:rPr>
                <w:color w:val="auto"/>
                <w:lang w:val="en-AU"/>
              </w:rPr>
              <w:t>Adj NPV = 98.5% (94.6-99.8)</w:t>
            </w:r>
          </w:p>
        </w:tc>
      </w:tr>
      <w:tr w:rsidR="007900E9" w:rsidRPr="00B27879" w14:paraId="054663B4" w14:textId="77777777" w:rsidTr="0018507C">
        <w:trPr>
          <w:trHeight w:val="149"/>
        </w:trPr>
        <w:tc>
          <w:tcPr>
            <w:tcW w:w="403" w:type="pct"/>
            <w:vMerge/>
          </w:tcPr>
          <w:p w14:paraId="276E0CA8" w14:textId="77777777" w:rsidR="00F21E64" w:rsidRPr="00B27879" w:rsidRDefault="00F21E64" w:rsidP="00353AB8">
            <w:pPr>
              <w:pStyle w:val="TableText"/>
              <w:keepNext/>
              <w:keepLines/>
              <w:rPr>
                <w:color w:val="auto"/>
                <w:lang w:val="en-AU"/>
              </w:rPr>
            </w:pPr>
          </w:p>
        </w:tc>
        <w:tc>
          <w:tcPr>
            <w:tcW w:w="543" w:type="pct"/>
          </w:tcPr>
          <w:p w14:paraId="43E85B27" w14:textId="77777777" w:rsidR="00F21E64" w:rsidRPr="00B27879" w:rsidRDefault="00F21E64" w:rsidP="00353AB8">
            <w:pPr>
              <w:pStyle w:val="TableText"/>
              <w:keepNext/>
              <w:keepLines/>
              <w:rPr>
                <w:color w:val="auto"/>
                <w:lang w:val="en-AU"/>
              </w:rPr>
            </w:pPr>
            <w:r w:rsidRPr="00B27879">
              <w:rPr>
                <w:color w:val="auto"/>
                <w:lang w:val="en-AU"/>
              </w:rPr>
              <w:t>Invalid</w:t>
            </w:r>
          </w:p>
        </w:tc>
        <w:tc>
          <w:tcPr>
            <w:tcW w:w="848" w:type="pct"/>
          </w:tcPr>
          <w:p w14:paraId="43FDCF81" w14:textId="77777777" w:rsidR="00F21E64" w:rsidRPr="00B27879" w:rsidRDefault="00F21E64" w:rsidP="00353AB8">
            <w:pPr>
              <w:pStyle w:val="TableText"/>
              <w:keepNext/>
              <w:keepLines/>
              <w:jc w:val="center"/>
              <w:rPr>
                <w:color w:val="auto"/>
                <w:lang w:val="en-AU"/>
              </w:rPr>
            </w:pPr>
            <w:r w:rsidRPr="00B27879">
              <w:rPr>
                <w:color w:val="auto"/>
                <w:lang w:val="en-AU"/>
              </w:rPr>
              <w:t>0</w:t>
            </w:r>
          </w:p>
        </w:tc>
        <w:tc>
          <w:tcPr>
            <w:tcW w:w="827" w:type="pct"/>
          </w:tcPr>
          <w:p w14:paraId="7B0E7268" w14:textId="77777777" w:rsidR="00F21E64" w:rsidRPr="00B27879" w:rsidRDefault="00F21E64" w:rsidP="00353AB8">
            <w:pPr>
              <w:pStyle w:val="TableText"/>
              <w:keepNext/>
              <w:keepLines/>
              <w:jc w:val="center"/>
              <w:rPr>
                <w:color w:val="auto"/>
                <w:lang w:val="en-AU"/>
              </w:rPr>
            </w:pPr>
            <w:r w:rsidRPr="00B27879">
              <w:rPr>
                <w:color w:val="auto"/>
                <w:lang w:val="en-AU"/>
              </w:rPr>
              <w:t>0</w:t>
            </w:r>
          </w:p>
        </w:tc>
        <w:tc>
          <w:tcPr>
            <w:tcW w:w="421" w:type="pct"/>
          </w:tcPr>
          <w:p w14:paraId="74480B38" w14:textId="77777777" w:rsidR="00F21E64" w:rsidRPr="00B27879" w:rsidRDefault="00F21E64" w:rsidP="00353AB8">
            <w:pPr>
              <w:pStyle w:val="TableText"/>
              <w:keepNext/>
              <w:keepLines/>
              <w:jc w:val="center"/>
              <w:rPr>
                <w:color w:val="auto"/>
                <w:lang w:val="en-AU"/>
              </w:rPr>
            </w:pPr>
            <w:r w:rsidRPr="00B27879">
              <w:rPr>
                <w:color w:val="auto"/>
                <w:lang w:val="en-AU"/>
              </w:rPr>
              <w:t>0</w:t>
            </w:r>
          </w:p>
        </w:tc>
        <w:tc>
          <w:tcPr>
            <w:tcW w:w="499" w:type="pct"/>
          </w:tcPr>
          <w:p w14:paraId="0AE364E6" w14:textId="77777777" w:rsidR="00F21E64" w:rsidRPr="00B27879" w:rsidRDefault="00F21E64" w:rsidP="00353AB8">
            <w:pPr>
              <w:pStyle w:val="TableText"/>
              <w:keepNext/>
              <w:keepLines/>
              <w:jc w:val="center"/>
              <w:rPr>
                <w:color w:val="auto"/>
                <w:lang w:val="en-AU"/>
              </w:rPr>
            </w:pPr>
            <w:r w:rsidRPr="00B27879">
              <w:rPr>
                <w:color w:val="auto"/>
                <w:lang w:val="en-AU"/>
              </w:rPr>
              <w:t>0</w:t>
            </w:r>
          </w:p>
        </w:tc>
        <w:tc>
          <w:tcPr>
            <w:tcW w:w="1459" w:type="pct"/>
            <w:vMerge w:val="restart"/>
          </w:tcPr>
          <w:p w14:paraId="50A28147" w14:textId="77777777" w:rsidR="00F21E64" w:rsidRPr="00B27879" w:rsidRDefault="00F21E64" w:rsidP="00353AB8">
            <w:pPr>
              <w:pStyle w:val="TableText"/>
              <w:keepNext/>
              <w:keepLines/>
              <w:rPr>
                <w:color w:val="auto"/>
                <w:lang w:val="en-AU"/>
              </w:rPr>
            </w:pPr>
          </w:p>
        </w:tc>
      </w:tr>
      <w:tr w:rsidR="007900E9" w:rsidRPr="00B27879" w14:paraId="3FFD11D8" w14:textId="77777777" w:rsidTr="0018507C">
        <w:trPr>
          <w:trHeight w:val="149"/>
        </w:trPr>
        <w:tc>
          <w:tcPr>
            <w:tcW w:w="403" w:type="pct"/>
            <w:vMerge/>
          </w:tcPr>
          <w:p w14:paraId="786B9ADF" w14:textId="77777777" w:rsidR="00F21E64" w:rsidRPr="00B27879" w:rsidRDefault="00F21E64" w:rsidP="00353AB8">
            <w:pPr>
              <w:pStyle w:val="TableText"/>
              <w:keepNext/>
              <w:keepLines/>
              <w:rPr>
                <w:color w:val="auto"/>
                <w:lang w:val="en-AU"/>
              </w:rPr>
            </w:pPr>
          </w:p>
        </w:tc>
        <w:tc>
          <w:tcPr>
            <w:tcW w:w="543" w:type="pct"/>
          </w:tcPr>
          <w:p w14:paraId="53215CD7" w14:textId="77777777" w:rsidR="00F21E64" w:rsidRPr="00B27879" w:rsidRDefault="00F21E64" w:rsidP="00353AB8">
            <w:pPr>
              <w:pStyle w:val="TableText"/>
              <w:keepNext/>
              <w:keepLines/>
              <w:rPr>
                <w:color w:val="auto"/>
                <w:lang w:val="en-AU"/>
              </w:rPr>
            </w:pPr>
            <w:r w:rsidRPr="00B27879">
              <w:rPr>
                <w:color w:val="auto"/>
                <w:lang w:val="en-AU"/>
              </w:rPr>
              <w:t>Total</w:t>
            </w:r>
          </w:p>
        </w:tc>
        <w:tc>
          <w:tcPr>
            <w:tcW w:w="848" w:type="pct"/>
          </w:tcPr>
          <w:p w14:paraId="41F3794D" w14:textId="77777777" w:rsidR="00F21E64" w:rsidRPr="00B27879" w:rsidRDefault="00F21E64" w:rsidP="00353AB8">
            <w:pPr>
              <w:pStyle w:val="TableText"/>
              <w:keepNext/>
              <w:keepLines/>
              <w:jc w:val="center"/>
              <w:rPr>
                <w:color w:val="auto"/>
                <w:lang w:val="en-AU"/>
              </w:rPr>
            </w:pPr>
            <w:r w:rsidRPr="00B27879">
              <w:rPr>
                <w:color w:val="auto"/>
                <w:lang w:val="en-AU"/>
              </w:rPr>
              <w:t>27</w:t>
            </w:r>
          </w:p>
        </w:tc>
        <w:tc>
          <w:tcPr>
            <w:tcW w:w="827" w:type="pct"/>
          </w:tcPr>
          <w:p w14:paraId="3481469B" w14:textId="77777777" w:rsidR="00F21E64" w:rsidRPr="00B27879" w:rsidRDefault="00F21E64" w:rsidP="00353AB8">
            <w:pPr>
              <w:pStyle w:val="TableText"/>
              <w:keepNext/>
              <w:keepLines/>
              <w:jc w:val="center"/>
              <w:rPr>
                <w:color w:val="auto"/>
                <w:lang w:val="en-AU"/>
              </w:rPr>
            </w:pPr>
            <w:r w:rsidRPr="00B27879">
              <w:rPr>
                <w:color w:val="auto"/>
                <w:lang w:val="en-AU"/>
              </w:rPr>
              <w:t>131</w:t>
            </w:r>
          </w:p>
        </w:tc>
        <w:tc>
          <w:tcPr>
            <w:tcW w:w="421" w:type="pct"/>
          </w:tcPr>
          <w:p w14:paraId="5E7E74A9" w14:textId="77777777" w:rsidR="00F21E64" w:rsidRPr="00B27879" w:rsidRDefault="00F21E64" w:rsidP="00353AB8">
            <w:pPr>
              <w:pStyle w:val="TableText"/>
              <w:keepNext/>
              <w:keepLines/>
              <w:jc w:val="center"/>
              <w:rPr>
                <w:color w:val="auto"/>
                <w:lang w:val="en-AU"/>
              </w:rPr>
            </w:pPr>
            <w:r w:rsidRPr="00B27879">
              <w:rPr>
                <w:color w:val="auto"/>
                <w:lang w:val="en-AU"/>
              </w:rPr>
              <w:t>1</w:t>
            </w:r>
          </w:p>
        </w:tc>
        <w:tc>
          <w:tcPr>
            <w:tcW w:w="499" w:type="pct"/>
          </w:tcPr>
          <w:p w14:paraId="344E54C2" w14:textId="77777777" w:rsidR="00F21E64" w:rsidRPr="00B27879" w:rsidRDefault="00F21E64" w:rsidP="00353AB8">
            <w:pPr>
              <w:pStyle w:val="TableText"/>
              <w:keepNext/>
              <w:keepLines/>
              <w:jc w:val="center"/>
              <w:rPr>
                <w:color w:val="auto"/>
                <w:lang w:val="en-AU"/>
              </w:rPr>
            </w:pPr>
            <w:r w:rsidRPr="00B27879">
              <w:rPr>
                <w:color w:val="auto"/>
                <w:lang w:val="en-AU"/>
              </w:rPr>
              <w:t>159</w:t>
            </w:r>
          </w:p>
        </w:tc>
        <w:tc>
          <w:tcPr>
            <w:tcW w:w="1459" w:type="pct"/>
            <w:vMerge/>
          </w:tcPr>
          <w:p w14:paraId="3C165664" w14:textId="77777777" w:rsidR="00F21E64" w:rsidRPr="00B27879" w:rsidRDefault="00F21E64" w:rsidP="00353AB8">
            <w:pPr>
              <w:pStyle w:val="TableText"/>
              <w:keepNext/>
              <w:keepLines/>
              <w:rPr>
                <w:color w:val="auto"/>
                <w:lang w:val="en-AU"/>
              </w:rPr>
            </w:pPr>
          </w:p>
        </w:tc>
      </w:tr>
      <w:tr w:rsidR="007900E9" w:rsidRPr="00B27879" w14:paraId="47FA5A70" w14:textId="77777777" w:rsidTr="0018507C">
        <w:trPr>
          <w:trHeight w:val="149"/>
        </w:trPr>
        <w:tc>
          <w:tcPr>
            <w:tcW w:w="946" w:type="pct"/>
            <w:gridSpan w:val="2"/>
          </w:tcPr>
          <w:p w14:paraId="6AA26B4D" w14:textId="77777777" w:rsidR="00F21E64" w:rsidRPr="00B27879" w:rsidRDefault="00F21E64" w:rsidP="00353AB8">
            <w:pPr>
              <w:pStyle w:val="TableText"/>
              <w:keepNext/>
              <w:keepLines/>
              <w:rPr>
                <w:color w:val="auto"/>
                <w:lang w:val="en-AU"/>
              </w:rPr>
            </w:pPr>
          </w:p>
        </w:tc>
        <w:tc>
          <w:tcPr>
            <w:tcW w:w="848" w:type="pct"/>
          </w:tcPr>
          <w:p w14:paraId="73FB4F06" w14:textId="77777777" w:rsidR="00F21E64" w:rsidRPr="00B27879" w:rsidRDefault="00F21E64" w:rsidP="00353AB8">
            <w:pPr>
              <w:pStyle w:val="TableText"/>
              <w:keepNext/>
              <w:keepLines/>
              <w:jc w:val="center"/>
              <w:rPr>
                <w:color w:val="auto"/>
                <w:lang w:val="en-AU"/>
              </w:rPr>
            </w:pPr>
            <w:r w:rsidRPr="00B27879">
              <w:rPr>
                <w:color w:val="auto"/>
                <w:lang w:val="en-AU"/>
              </w:rPr>
              <w:t>Adj PPA = 87.1%</w:t>
            </w:r>
          </w:p>
          <w:p w14:paraId="0B138228" w14:textId="77777777" w:rsidR="00F21E64" w:rsidRPr="00B27879" w:rsidRDefault="00F21E64" w:rsidP="00353AB8">
            <w:pPr>
              <w:pStyle w:val="TableText"/>
              <w:keepNext/>
              <w:keepLines/>
              <w:jc w:val="center"/>
              <w:rPr>
                <w:color w:val="auto"/>
                <w:lang w:val="en-AU"/>
              </w:rPr>
            </w:pPr>
            <w:r w:rsidRPr="00B27879">
              <w:rPr>
                <w:color w:val="auto"/>
                <w:lang w:val="en-AU"/>
              </w:rPr>
              <w:t>(61.4-98.3)</w:t>
            </w:r>
          </w:p>
        </w:tc>
        <w:tc>
          <w:tcPr>
            <w:tcW w:w="827" w:type="pct"/>
          </w:tcPr>
          <w:p w14:paraId="0674FE71" w14:textId="77777777" w:rsidR="00F21E64" w:rsidRPr="00B27879" w:rsidRDefault="00F21E64" w:rsidP="00353AB8">
            <w:pPr>
              <w:pStyle w:val="TableText"/>
              <w:keepNext/>
              <w:keepLines/>
              <w:jc w:val="center"/>
              <w:rPr>
                <w:color w:val="auto"/>
                <w:lang w:val="en-AU"/>
              </w:rPr>
            </w:pPr>
            <w:r w:rsidRPr="00B27879">
              <w:rPr>
                <w:color w:val="auto"/>
                <w:lang w:val="en-AU"/>
              </w:rPr>
              <w:t>Adj NPA = 99.6%</w:t>
            </w:r>
          </w:p>
          <w:p w14:paraId="5151FA95" w14:textId="77777777" w:rsidR="00F21E64" w:rsidRPr="00B27879" w:rsidRDefault="00F21E64" w:rsidP="00353AB8">
            <w:pPr>
              <w:pStyle w:val="TableText"/>
              <w:keepNext/>
              <w:keepLines/>
              <w:jc w:val="center"/>
              <w:rPr>
                <w:color w:val="auto"/>
                <w:lang w:val="en-AU"/>
              </w:rPr>
            </w:pPr>
            <w:r w:rsidRPr="00B27879">
              <w:rPr>
                <w:color w:val="auto"/>
                <w:lang w:val="en-AU"/>
              </w:rPr>
              <w:t>(92.9-100)</w:t>
            </w:r>
          </w:p>
        </w:tc>
        <w:tc>
          <w:tcPr>
            <w:tcW w:w="421" w:type="pct"/>
          </w:tcPr>
          <w:p w14:paraId="5107158C" w14:textId="77777777" w:rsidR="00F21E64" w:rsidRPr="00B27879" w:rsidRDefault="00F21E64" w:rsidP="00353AB8">
            <w:pPr>
              <w:pStyle w:val="TableText"/>
              <w:keepNext/>
              <w:keepLines/>
              <w:jc w:val="center"/>
              <w:rPr>
                <w:color w:val="auto"/>
                <w:lang w:val="en-AU"/>
              </w:rPr>
            </w:pPr>
            <w:r w:rsidRPr="00B27879">
              <w:rPr>
                <w:color w:val="auto"/>
                <w:lang w:val="en-AU"/>
              </w:rPr>
              <w:t>-</w:t>
            </w:r>
          </w:p>
        </w:tc>
        <w:tc>
          <w:tcPr>
            <w:tcW w:w="499" w:type="pct"/>
          </w:tcPr>
          <w:p w14:paraId="17D27986" w14:textId="77777777" w:rsidR="00F21E64" w:rsidRPr="00B27879" w:rsidRDefault="00F21E64" w:rsidP="00353AB8">
            <w:pPr>
              <w:pStyle w:val="TableText"/>
              <w:keepNext/>
              <w:keepLines/>
              <w:jc w:val="center"/>
              <w:rPr>
                <w:color w:val="auto"/>
                <w:lang w:val="en-AU"/>
              </w:rPr>
            </w:pPr>
          </w:p>
        </w:tc>
        <w:tc>
          <w:tcPr>
            <w:tcW w:w="1459" w:type="pct"/>
          </w:tcPr>
          <w:p w14:paraId="008CBF1C" w14:textId="77777777" w:rsidR="00F21E64" w:rsidRPr="00B27879" w:rsidRDefault="00F21E64" w:rsidP="00353AB8">
            <w:pPr>
              <w:pStyle w:val="TableText"/>
              <w:keepNext/>
              <w:keepLines/>
              <w:rPr>
                <w:color w:val="auto"/>
                <w:lang w:val="en-AU"/>
              </w:rPr>
            </w:pPr>
            <w:r w:rsidRPr="00B27879">
              <w:rPr>
                <w:color w:val="auto"/>
                <w:lang w:val="en-AU"/>
              </w:rPr>
              <w:t>Adj OPA = 98.3%</w:t>
            </w:r>
          </w:p>
          <w:p w14:paraId="328C35D7" w14:textId="77777777" w:rsidR="00F21E64" w:rsidRPr="00B27879" w:rsidRDefault="00F21E64" w:rsidP="00353AB8">
            <w:pPr>
              <w:pStyle w:val="TableText"/>
              <w:keepNext/>
              <w:keepLines/>
              <w:rPr>
                <w:color w:val="auto"/>
                <w:lang w:val="en-AU"/>
              </w:rPr>
            </w:pPr>
            <w:r w:rsidRPr="00B27879">
              <w:rPr>
                <w:color w:val="auto"/>
                <w:lang w:val="en-AU"/>
              </w:rPr>
              <w:t>(93.3-99.8)</w:t>
            </w:r>
          </w:p>
        </w:tc>
      </w:tr>
    </w:tbl>
    <w:p w14:paraId="6A6C5E27" w14:textId="77777777" w:rsidR="00F21E64" w:rsidRPr="00B27879" w:rsidRDefault="00F21E64" w:rsidP="00353AB8">
      <w:pPr>
        <w:pStyle w:val="TableFooter"/>
        <w:keepNext/>
        <w:keepLines/>
      </w:pPr>
      <w:r w:rsidRPr="00B27879">
        <w:t>Source: Table 2.19, p88 of the submission.</w:t>
      </w:r>
    </w:p>
    <w:p w14:paraId="5A64F022" w14:textId="6139DAA5" w:rsidR="00F21E64" w:rsidRPr="00B27879" w:rsidRDefault="00F21E64" w:rsidP="00353AB8">
      <w:pPr>
        <w:pStyle w:val="TableFooter"/>
        <w:keepNext/>
        <w:keepLines/>
      </w:pPr>
      <w:r w:rsidRPr="2914E55D">
        <w:t>Adj = adjusted; DNA = deoxyribonucleic acid; EV = externally validated; F1CDx = FoundationOne Companion Diagnostic; FGFR = fibroblast growth factor receptor; NPA = negative percent agreement; NPV = negative predictive value; OPA = overall percent agreement; PPA = positive percent agreement; PPV = positive predictive value; RNA = ribonucleic acid</w:t>
      </w:r>
    </w:p>
    <w:p w14:paraId="6D5D2CC1" w14:textId="2045624D" w:rsidR="00F21E64" w:rsidRPr="00B27879" w:rsidRDefault="00F21E64" w:rsidP="00353AB8">
      <w:pPr>
        <w:pStyle w:val="TableFooter"/>
        <w:keepNext/>
        <w:keepLines/>
      </w:pPr>
      <w:r w:rsidRPr="2914E55D">
        <w:t>Notes: Numbers within square brackets represent 95% 2-sided confidence intervals and prevalence adjusted (9.6%) to account for sampling differential; * One sample was enrolled by the F1 Heme assay and was analysed as an F1 result for the concordance analysis.</w:t>
      </w:r>
    </w:p>
    <w:p w14:paraId="2A8AD13D" w14:textId="0886BD72" w:rsidR="00F21E64" w:rsidRPr="00353AB8" w:rsidRDefault="00F21E64" w:rsidP="00353AB8">
      <w:pPr>
        <w:jc w:val="left"/>
        <w:rPr>
          <w:rFonts w:ascii="Franklin Gothic Book" w:hAnsi="Franklin Gothic Book"/>
          <w:i/>
          <w:iCs/>
          <w:sz w:val="22"/>
        </w:rPr>
      </w:pPr>
      <w:r w:rsidRPr="00353AB8">
        <w:rPr>
          <w:rFonts w:ascii="Franklin Gothic Book" w:hAnsi="Franklin Gothic Book"/>
          <w:sz w:val="22"/>
        </w:rPr>
        <w:t xml:space="preserve">The submission (p87) noted that the main difference between NGS on DNA versus RNA is that NGS on RNA is more likely to identify </w:t>
      </w:r>
      <w:r w:rsidRPr="00353AB8">
        <w:rPr>
          <w:rFonts w:ascii="Franklin Gothic Book" w:hAnsi="Franklin Gothic Book"/>
          <w:i/>
          <w:iCs/>
          <w:sz w:val="22"/>
        </w:rPr>
        <w:t>FGFR2</w:t>
      </w:r>
      <w:r w:rsidRPr="00353AB8">
        <w:rPr>
          <w:rFonts w:ascii="Franklin Gothic Book" w:hAnsi="Franklin Gothic Book"/>
          <w:sz w:val="22"/>
        </w:rPr>
        <w:t xml:space="preserve"> fusions than NGS on DNA, and two (out of 27) patients identified as having </w:t>
      </w:r>
      <w:r w:rsidRPr="00353AB8">
        <w:rPr>
          <w:rFonts w:ascii="Franklin Gothic Book" w:hAnsi="Franklin Gothic Book"/>
          <w:i/>
          <w:iCs/>
          <w:sz w:val="22"/>
        </w:rPr>
        <w:t>FGFR2</w:t>
      </w:r>
      <w:r w:rsidRPr="00353AB8">
        <w:rPr>
          <w:rFonts w:ascii="Franklin Gothic Book" w:hAnsi="Franklin Gothic Book"/>
          <w:sz w:val="22"/>
        </w:rPr>
        <w:t xml:space="preserve"> </w:t>
      </w:r>
      <w:r w:rsidR="002205E6" w:rsidRPr="00353AB8">
        <w:rPr>
          <w:rFonts w:ascii="Franklin Gothic Book" w:hAnsi="Franklin Gothic Book"/>
          <w:sz w:val="22"/>
        </w:rPr>
        <w:t>variant</w:t>
      </w:r>
      <w:r w:rsidRPr="00353AB8">
        <w:rPr>
          <w:rFonts w:ascii="Franklin Gothic Book" w:hAnsi="Franklin Gothic Book"/>
          <w:sz w:val="22"/>
        </w:rPr>
        <w:t xml:space="preserve"> using NGS on RNA were considered to be Wild Type </w:t>
      </w:r>
      <w:r w:rsidRPr="00353AB8">
        <w:rPr>
          <w:rFonts w:ascii="Franklin Gothic Book" w:hAnsi="Franklin Gothic Book"/>
          <w:i/>
          <w:iCs/>
          <w:sz w:val="22"/>
        </w:rPr>
        <w:t>FGFR2</w:t>
      </w:r>
      <w:r w:rsidRPr="00353AB8">
        <w:rPr>
          <w:rFonts w:ascii="Franklin Gothic Book" w:hAnsi="Franklin Gothic Book"/>
          <w:sz w:val="22"/>
        </w:rPr>
        <w:t xml:space="preserve"> using NGS on DNA. The submission considered that, given the results presented in the context of the treatment effect modification showing that the use of FGFR-directed therapy in patients with an </w:t>
      </w:r>
      <w:r w:rsidRPr="00353AB8">
        <w:rPr>
          <w:rFonts w:ascii="Franklin Gothic Book" w:hAnsi="Franklin Gothic Book"/>
          <w:i/>
          <w:iCs/>
          <w:sz w:val="22"/>
        </w:rPr>
        <w:t xml:space="preserve">FGFR2 </w:t>
      </w:r>
      <w:r w:rsidRPr="00353AB8">
        <w:rPr>
          <w:rFonts w:ascii="Franklin Gothic Book" w:hAnsi="Franklin Gothic Book"/>
          <w:sz w:val="22"/>
        </w:rPr>
        <w:t xml:space="preserve">alteration provides a substantial survival benefit over standard chemotherapy, this suggests that there is no negative impact of identifying additional patients with </w:t>
      </w:r>
      <w:r w:rsidRPr="00353AB8">
        <w:rPr>
          <w:rFonts w:ascii="Franklin Gothic Book" w:hAnsi="Franklin Gothic Book"/>
          <w:i/>
          <w:iCs/>
          <w:sz w:val="22"/>
        </w:rPr>
        <w:t xml:space="preserve">FGFR2 </w:t>
      </w:r>
      <w:r w:rsidRPr="00353AB8">
        <w:rPr>
          <w:rFonts w:ascii="Franklin Gothic Book" w:hAnsi="Franklin Gothic Book"/>
          <w:sz w:val="22"/>
        </w:rPr>
        <w:t xml:space="preserve">fusions using NGS on RNA rather than NGS on DNA. </w:t>
      </w:r>
      <w:r w:rsidR="008E5E12" w:rsidRPr="00353AB8">
        <w:rPr>
          <w:rFonts w:ascii="Franklin Gothic Book" w:hAnsi="Franklin Gothic Book"/>
          <w:sz w:val="22"/>
        </w:rPr>
        <w:t xml:space="preserve">The </w:t>
      </w:r>
      <w:r w:rsidR="005F4EBB" w:rsidRPr="00353AB8">
        <w:rPr>
          <w:rFonts w:ascii="Franklin Gothic Book" w:hAnsi="Franklin Gothic Book"/>
          <w:sz w:val="22"/>
        </w:rPr>
        <w:t>commentary</w:t>
      </w:r>
      <w:r w:rsidR="008E5E12" w:rsidRPr="00353AB8">
        <w:rPr>
          <w:rFonts w:ascii="Franklin Gothic Book" w:hAnsi="Franklin Gothic Book"/>
          <w:sz w:val="22"/>
        </w:rPr>
        <w:t xml:space="preserve"> considered that i</w:t>
      </w:r>
      <w:r w:rsidRPr="00353AB8">
        <w:rPr>
          <w:rFonts w:ascii="Franklin Gothic Book" w:hAnsi="Franklin Gothic Book"/>
          <w:sz w:val="22"/>
        </w:rPr>
        <w:t xml:space="preserve">t was unclear how any evidence presented in this submission supported the claim that there is no negative impact to (incorrectly) identifying additional patients with </w:t>
      </w:r>
      <w:r w:rsidRPr="00353AB8">
        <w:rPr>
          <w:rFonts w:ascii="Franklin Gothic Book" w:hAnsi="Franklin Gothic Book"/>
          <w:i/>
          <w:iCs/>
          <w:sz w:val="22"/>
        </w:rPr>
        <w:t>FGFR2</w:t>
      </w:r>
      <w:r w:rsidRPr="00353AB8">
        <w:rPr>
          <w:rFonts w:ascii="Franklin Gothic Book" w:hAnsi="Franklin Gothic Book"/>
          <w:sz w:val="22"/>
        </w:rPr>
        <w:t xml:space="preserve"> fusions using NGS on RNA. </w:t>
      </w:r>
      <w:r w:rsidR="00EB5BE5" w:rsidRPr="00353AB8">
        <w:rPr>
          <w:rFonts w:ascii="Franklin Gothic Book" w:hAnsi="Franklin Gothic Book"/>
          <w:sz w:val="22"/>
        </w:rPr>
        <w:t xml:space="preserve">FOENIX-CCA2 only enrolled patients who were found to be </w:t>
      </w:r>
      <w:r w:rsidR="00EB5BE5" w:rsidRPr="00353AB8">
        <w:rPr>
          <w:rFonts w:ascii="Franklin Gothic Book" w:hAnsi="Franklin Gothic Book"/>
          <w:i/>
          <w:iCs/>
          <w:sz w:val="22"/>
        </w:rPr>
        <w:t>FGFR2</w:t>
      </w:r>
      <w:r w:rsidR="00EB5BE5" w:rsidRPr="00353AB8">
        <w:rPr>
          <w:rFonts w:ascii="Franklin Gothic Book" w:hAnsi="Franklin Gothic Book"/>
          <w:sz w:val="22"/>
        </w:rPr>
        <w:t xml:space="preserve"> positive on NGS DNA. Therefore, this study does not provide any information regarding the efficacy of futibatinib in p</w:t>
      </w:r>
      <w:r w:rsidR="009E5FB6" w:rsidRPr="00353AB8">
        <w:rPr>
          <w:rFonts w:ascii="Franklin Gothic Book" w:hAnsi="Franklin Gothic Book"/>
          <w:sz w:val="22"/>
        </w:rPr>
        <w:t xml:space="preserve">atients who </w:t>
      </w:r>
      <w:r w:rsidR="00EB5BE5" w:rsidRPr="00353AB8">
        <w:rPr>
          <w:rFonts w:ascii="Franklin Gothic Book" w:hAnsi="Franklin Gothic Book"/>
          <w:sz w:val="22"/>
        </w:rPr>
        <w:t xml:space="preserve">would have been </w:t>
      </w:r>
      <w:r w:rsidR="009E5FB6" w:rsidRPr="00353AB8">
        <w:rPr>
          <w:rFonts w:ascii="Franklin Gothic Book" w:hAnsi="Franklin Gothic Book"/>
          <w:sz w:val="22"/>
        </w:rPr>
        <w:t>classified as FGFR2 positive on NGS on RNA</w:t>
      </w:r>
      <w:r w:rsidR="00EB5BE5" w:rsidRPr="00353AB8">
        <w:rPr>
          <w:rFonts w:ascii="Franklin Gothic Book" w:hAnsi="Franklin Gothic Book"/>
          <w:sz w:val="22"/>
        </w:rPr>
        <w:t xml:space="preserve"> if tested</w:t>
      </w:r>
      <w:r w:rsidR="009E5FB6" w:rsidRPr="00353AB8">
        <w:rPr>
          <w:rFonts w:ascii="Franklin Gothic Book" w:hAnsi="Franklin Gothic Book"/>
          <w:sz w:val="22"/>
        </w:rPr>
        <w:t xml:space="preserve"> but not NGS on DNA. </w:t>
      </w:r>
      <w:r w:rsidRPr="00353AB8">
        <w:rPr>
          <w:rFonts w:ascii="Franklin Gothic Book" w:hAnsi="Franklin Gothic Book"/>
          <w:sz w:val="22"/>
        </w:rPr>
        <w:t xml:space="preserve">Data to inform a discussion of the risks of treating patients without </w:t>
      </w:r>
      <w:r w:rsidRPr="00353AB8">
        <w:rPr>
          <w:rFonts w:ascii="Franklin Gothic Book" w:hAnsi="Franklin Gothic Book"/>
          <w:i/>
          <w:iCs/>
          <w:sz w:val="22"/>
        </w:rPr>
        <w:t>FGFR</w:t>
      </w:r>
      <w:r w:rsidRPr="00353AB8">
        <w:rPr>
          <w:rFonts w:ascii="Franklin Gothic Book" w:hAnsi="Franklin Gothic Book"/>
          <w:sz w:val="22"/>
        </w:rPr>
        <w:t xml:space="preserve"> </w:t>
      </w:r>
      <w:r w:rsidR="002205E6" w:rsidRPr="00353AB8">
        <w:rPr>
          <w:rFonts w:ascii="Franklin Gothic Book" w:hAnsi="Franklin Gothic Book"/>
          <w:sz w:val="22"/>
        </w:rPr>
        <w:t>variant</w:t>
      </w:r>
      <w:r w:rsidRPr="00353AB8">
        <w:rPr>
          <w:rFonts w:ascii="Franklin Gothic Book" w:hAnsi="Franklin Gothic Book"/>
          <w:sz w:val="22"/>
        </w:rPr>
        <w:t xml:space="preserve"> (due to false positives) has not been included in this submission as no data on futibatinib in Wild Type </w:t>
      </w:r>
      <w:r w:rsidRPr="00353AB8">
        <w:rPr>
          <w:rFonts w:ascii="Franklin Gothic Book" w:hAnsi="Franklin Gothic Book"/>
          <w:i/>
          <w:iCs/>
          <w:sz w:val="22"/>
        </w:rPr>
        <w:t>FGFR2</w:t>
      </w:r>
      <w:r w:rsidRPr="00353AB8">
        <w:rPr>
          <w:rFonts w:ascii="Franklin Gothic Book" w:hAnsi="Franklin Gothic Book"/>
          <w:sz w:val="22"/>
        </w:rPr>
        <w:t xml:space="preserve"> patients was provided</w:t>
      </w:r>
      <w:r w:rsidRPr="00353AB8">
        <w:rPr>
          <w:rFonts w:ascii="Franklin Gothic Book" w:hAnsi="Franklin Gothic Book"/>
          <w:i/>
          <w:iCs/>
          <w:sz w:val="22"/>
        </w:rPr>
        <w:t xml:space="preserve">. </w:t>
      </w:r>
    </w:p>
    <w:p w14:paraId="07233B06" w14:textId="20D2EA97" w:rsidR="00F21E64" w:rsidRPr="00353AB8" w:rsidRDefault="00F21E64" w:rsidP="00353AB8">
      <w:pPr>
        <w:jc w:val="left"/>
        <w:rPr>
          <w:rFonts w:ascii="Franklin Gothic Book" w:hAnsi="Franklin Gothic Book"/>
          <w:i/>
          <w:iCs/>
          <w:sz w:val="22"/>
        </w:rPr>
      </w:pPr>
      <w:r w:rsidRPr="00353AB8">
        <w:rPr>
          <w:rFonts w:ascii="Franklin Gothic Book" w:hAnsi="Franklin Gothic Book"/>
          <w:sz w:val="22"/>
        </w:rPr>
        <w:t xml:space="preserve">One of the 26 patients identified as having an </w:t>
      </w:r>
      <w:r w:rsidRPr="00353AB8">
        <w:rPr>
          <w:rFonts w:ascii="Franklin Gothic Book" w:hAnsi="Franklin Gothic Book"/>
          <w:i/>
          <w:iCs/>
          <w:sz w:val="22"/>
        </w:rPr>
        <w:t>FGFR2</w:t>
      </w:r>
      <w:r w:rsidRPr="00353AB8">
        <w:rPr>
          <w:rFonts w:ascii="Franklin Gothic Book" w:hAnsi="Franklin Gothic Book"/>
          <w:sz w:val="22"/>
        </w:rPr>
        <w:t xml:space="preserve"> alteration via NGS on DNA was not identified on NGS using RNA. The submission considered that, given the F1CDx assay was being validated against evNGS in this study, it is assumed this result is a true negative and, using NGS on RNA as testing, this patient would have avoided receiving an FGFR2 inhibitor unnecessarily. The</w:t>
      </w:r>
      <w:r w:rsidR="008E5E12" w:rsidRPr="00353AB8">
        <w:rPr>
          <w:rFonts w:ascii="Franklin Gothic Book" w:hAnsi="Franklin Gothic Book"/>
          <w:sz w:val="22"/>
        </w:rPr>
        <w:t xml:space="preserve"> </w:t>
      </w:r>
      <w:r w:rsidR="00DA411C" w:rsidRPr="00353AB8">
        <w:rPr>
          <w:rFonts w:ascii="Franklin Gothic Book" w:hAnsi="Franklin Gothic Book"/>
          <w:sz w:val="22"/>
        </w:rPr>
        <w:t>commentary</w:t>
      </w:r>
      <w:r w:rsidR="008E5E12" w:rsidRPr="00353AB8">
        <w:rPr>
          <w:rFonts w:ascii="Franklin Gothic Book" w:hAnsi="Franklin Gothic Book"/>
          <w:sz w:val="22"/>
        </w:rPr>
        <w:t xml:space="preserve"> considered the</w:t>
      </w:r>
      <w:r w:rsidRPr="00353AB8">
        <w:rPr>
          <w:rFonts w:ascii="Franklin Gothic Book" w:hAnsi="Franklin Gothic Book"/>
          <w:sz w:val="22"/>
        </w:rPr>
        <w:t xml:space="preserve"> submission’s assumption that the discordant result is a true negative </w:t>
      </w:r>
      <w:r w:rsidR="00387D03" w:rsidRPr="00353AB8">
        <w:rPr>
          <w:rFonts w:ascii="Franklin Gothic Book" w:hAnsi="Franklin Gothic Book"/>
          <w:sz w:val="22"/>
        </w:rPr>
        <w:t xml:space="preserve">was not reasonable and </w:t>
      </w:r>
      <w:r w:rsidRPr="00353AB8">
        <w:rPr>
          <w:rFonts w:ascii="Franklin Gothic Book" w:hAnsi="Franklin Gothic Book"/>
          <w:sz w:val="22"/>
        </w:rPr>
        <w:t>is inconsistent with the submission’s nomination of NGS on DNA as the clinical utility standard.</w:t>
      </w:r>
    </w:p>
    <w:p w14:paraId="2E8A7B35" w14:textId="21ABC3A3" w:rsidR="00F72DBF" w:rsidRPr="00353AB8" w:rsidRDefault="00F72DBF" w:rsidP="00353AB8">
      <w:pPr>
        <w:jc w:val="left"/>
        <w:rPr>
          <w:rFonts w:ascii="Franklin Gothic Book" w:hAnsi="Franklin Gothic Book"/>
          <w:i/>
          <w:iCs/>
          <w:sz w:val="22"/>
        </w:rPr>
      </w:pPr>
      <w:r w:rsidRPr="00353AB8">
        <w:rPr>
          <w:rFonts w:ascii="Franklin Gothic Book" w:hAnsi="Franklin Gothic Book"/>
          <w:sz w:val="22"/>
        </w:rPr>
        <w:t xml:space="preserve">The submission considered that the results of the two main concordance analyses presented in Silverman 2022 suggested that the NGS test on DNA and RNA are highly concordant and that the patient population identified by the methodology proposed for MBS listing (NGS on RNA) would find virtually identical patients to those identified in the futibatinib trial, resulting in no appreciable difference in drug effect between the trial population and the likely Australian population. </w:t>
      </w:r>
      <w:r w:rsidR="005F03DB" w:rsidRPr="00353AB8">
        <w:rPr>
          <w:rFonts w:ascii="Franklin Gothic Book" w:hAnsi="Franklin Gothic Book"/>
          <w:sz w:val="22"/>
        </w:rPr>
        <w:t xml:space="preserve">The </w:t>
      </w:r>
      <w:r w:rsidR="00DA411C" w:rsidRPr="00353AB8">
        <w:rPr>
          <w:rFonts w:ascii="Franklin Gothic Book" w:hAnsi="Franklin Gothic Book"/>
          <w:sz w:val="22"/>
        </w:rPr>
        <w:t>commentary</w:t>
      </w:r>
      <w:r w:rsidR="005F03DB" w:rsidRPr="00353AB8">
        <w:rPr>
          <w:rFonts w:ascii="Franklin Gothic Book" w:hAnsi="Franklin Gothic Book"/>
          <w:sz w:val="22"/>
        </w:rPr>
        <w:t xml:space="preserve"> considered that w</w:t>
      </w:r>
      <w:r w:rsidRPr="00353AB8">
        <w:rPr>
          <w:rFonts w:ascii="Franklin Gothic Book" w:hAnsi="Franklin Gothic Book"/>
          <w:sz w:val="22"/>
        </w:rPr>
        <w:t xml:space="preserve">hile the concordance between NGS on RNA </w:t>
      </w:r>
      <w:r w:rsidR="00621B9F" w:rsidRPr="00353AB8">
        <w:rPr>
          <w:rFonts w:ascii="Franklin Gothic Book" w:hAnsi="Franklin Gothic Book"/>
          <w:sz w:val="22"/>
        </w:rPr>
        <w:t xml:space="preserve">(an evNGS) </w:t>
      </w:r>
      <w:r w:rsidRPr="00353AB8">
        <w:rPr>
          <w:rFonts w:ascii="Franklin Gothic Book" w:hAnsi="Franklin Gothic Book"/>
          <w:sz w:val="22"/>
        </w:rPr>
        <w:t xml:space="preserve">and NGS on DNA was generally high, the tests would </w:t>
      </w:r>
      <w:r w:rsidR="00ED7C54" w:rsidRPr="00353AB8">
        <w:rPr>
          <w:rFonts w:ascii="Franklin Gothic Book" w:hAnsi="Franklin Gothic Book"/>
          <w:sz w:val="22"/>
        </w:rPr>
        <w:t xml:space="preserve">not identify </w:t>
      </w:r>
      <w:r w:rsidRPr="00353AB8">
        <w:rPr>
          <w:rFonts w:ascii="Franklin Gothic Book" w:hAnsi="Franklin Gothic Book"/>
          <w:sz w:val="22"/>
        </w:rPr>
        <w:t>‘virtually identical patients’ as claimed by the submission</w:t>
      </w:r>
      <w:r w:rsidR="00ED7C54" w:rsidRPr="00353AB8">
        <w:rPr>
          <w:rFonts w:ascii="Franklin Gothic Book" w:hAnsi="Franklin Gothic Book"/>
          <w:sz w:val="22"/>
        </w:rPr>
        <w:t xml:space="preserve"> given the PPA for </w:t>
      </w:r>
      <w:r w:rsidR="00ED7C54" w:rsidRPr="00353AB8">
        <w:rPr>
          <w:rFonts w:ascii="Franklin Gothic Book" w:hAnsi="Franklin Gothic Book"/>
          <w:i/>
          <w:iCs/>
          <w:sz w:val="22"/>
        </w:rPr>
        <w:t>FGFR2</w:t>
      </w:r>
      <w:r w:rsidR="00ED7C54" w:rsidRPr="00353AB8">
        <w:rPr>
          <w:rFonts w:ascii="Franklin Gothic Book" w:hAnsi="Franklin Gothic Book"/>
          <w:sz w:val="22"/>
        </w:rPr>
        <w:t xml:space="preserve"> variant positive patients was less than 100%</w:t>
      </w:r>
      <w:r w:rsidR="006D323A" w:rsidRPr="00353AB8">
        <w:rPr>
          <w:rFonts w:ascii="Franklin Gothic Book" w:hAnsi="Franklin Gothic Book"/>
          <w:sz w:val="22"/>
        </w:rPr>
        <w:t>. In Silverman 2022</w:t>
      </w:r>
      <w:r w:rsidRPr="00353AB8">
        <w:rPr>
          <w:rFonts w:ascii="Franklin Gothic Book" w:hAnsi="Franklin Gothic Book"/>
          <w:sz w:val="22"/>
        </w:rPr>
        <w:t xml:space="preserve"> NGS on RNA was more likely to identify patients as being </w:t>
      </w:r>
      <w:r w:rsidRPr="00353AB8">
        <w:rPr>
          <w:rFonts w:ascii="Franklin Gothic Book" w:hAnsi="Franklin Gothic Book"/>
          <w:i/>
          <w:iCs/>
          <w:sz w:val="22"/>
        </w:rPr>
        <w:t>FGFR2</w:t>
      </w:r>
      <w:r w:rsidRPr="00353AB8">
        <w:rPr>
          <w:rFonts w:ascii="Franklin Gothic Book" w:hAnsi="Franklin Gothic Book"/>
          <w:sz w:val="22"/>
        </w:rPr>
        <w:t xml:space="preserve"> fusion/rearrangement positive</w:t>
      </w:r>
      <w:r w:rsidR="00AF7BE0" w:rsidRPr="00353AB8">
        <w:rPr>
          <w:rFonts w:ascii="Franklin Gothic Book" w:hAnsi="Franklin Gothic Book"/>
          <w:sz w:val="22"/>
        </w:rPr>
        <w:t xml:space="preserve"> (n=27) compared to NGS on DNA (n=25)</w:t>
      </w:r>
      <w:r w:rsidR="006D323A" w:rsidRPr="00353AB8">
        <w:rPr>
          <w:rFonts w:ascii="Franklin Gothic Book" w:hAnsi="Franklin Gothic Book"/>
          <w:sz w:val="22"/>
        </w:rPr>
        <w:t xml:space="preserve"> and there may be a number of false positives</w:t>
      </w:r>
      <w:r w:rsidR="00FC4649" w:rsidRPr="00353AB8">
        <w:rPr>
          <w:rFonts w:ascii="Franklin Gothic Book" w:hAnsi="Franklin Gothic Book"/>
          <w:sz w:val="22"/>
        </w:rPr>
        <w:t xml:space="preserve"> (i.e. positive as per NGS on RNA, but negative as per NGS on DNA)</w:t>
      </w:r>
      <w:r w:rsidR="006D323A" w:rsidRPr="00353AB8">
        <w:rPr>
          <w:rFonts w:ascii="Franklin Gothic Book" w:hAnsi="Franklin Gothic Book"/>
          <w:sz w:val="22"/>
        </w:rPr>
        <w:t xml:space="preserve"> for whom the efficacy of futibatinib was unknown</w:t>
      </w:r>
      <w:r w:rsidRPr="00353AB8">
        <w:rPr>
          <w:rFonts w:ascii="Franklin Gothic Book" w:hAnsi="Franklin Gothic Book"/>
          <w:sz w:val="22"/>
        </w:rPr>
        <w:t>.</w:t>
      </w:r>
      <w:r w:rsidRPr="00353AB8">
        <w:rPr>
          <w:rFonts w:ascii="Franklin Gothic Book" w:hAnsi="Franklin Gothic Book"/>
          <w:i/>
          <w:iCs/>
          <w:sz w:val="22"/>
        </w:rPr>
        <w:t xml:space="preserve"> </w:t>
      </w:r>
    </w:p>
    <w:p w14:paraId="139DC262" w14:textId="2AD4DCF3"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Zou 2023 reported on a concordance analysis evaluating the agreement between NGS on DNA (using the SU-450 panel and Illumina platform) and FISH on DNA (10q26 gene break-apart probe set)</w:t>
      </w:r>
      <w:r w:rsidR="00FC4649" w:rsidRPr="00353AB8">
        <w:rPr>
          <w:rFonts w:ascii="Franklin Gothic Book" w:hAnsi="Franklin Gothic Book"/>
          <w:sz w:val="22"/>
        </w:rPr>
        <w:t xml:space="preserv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_Ref198447399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10</w:t>
      </w:r>
      <w:r w:rsidR="001F5863" w:rsidRPr="001F5863">
        <w:rPr>
          <w:rFonts w:ascii="Franklin Gothic Book" w:hAnsi="Franklin Gothic Book"/>
          <w:sz w:val="22"/>
        </w:rPr>
        <w:fldChar w:fldCharType="end"/>
      </w:r>
      <w:r w:rsidR="00FC4649" w:rsidRPr="00353AB8">
        <w:rPr>
          <w:rFonts w:ascii="Franklin Gothic Book" w:hAnsi="Franklin Gothic Book"/>
          <w:sz w:val="22"/>
        </w:rPr>
        <w:t>)</w:t>
      </w:r>
      <w:r w:rsidRPr="00353AB8">
        <w:rPr>
          <w:rFonts w:ascii="Franklin Gothic Book" w:hAnsi="Franklin Gothic Book"/>
          <w:sz w:val="22"/>
        </w:rPr>
        <w:t xml:space="preserve">. A total of 167 FFPE samples from patients who underwent surgical resection of </w:t>
      </w:r>
      <w:r w:rsidRPr="00353AB8">
        <w:rPr>
          <w:rFonts w:ascii="Franklin Gothic Book" w:hAnsi="Franklin Gothic Book"/>
          <w:sz w:val="22"/>
        </w:rPr>
        <w:lastRenderedPageBreak/>
        <w:t xml:space="preserve">iCCA in Zhongshan Hospital, Fudan University (China) were collected, and a total of 28 were tested with both NGS and FISH.  </w:t>
      </w:r>
    </w:p>
    <w:p w14:paraId="2636DC2E" w14:textId="77777777"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The authors considered that FISH on DNA was shown to be consistent with NGS on DNA, with the results showing a Kappa value of 0.696 (p&lt;0.001), with four cases being discordant.</w:t>
      </w:r>
    </w:p>
    <w:p w14:paraId="21A99B7E" w14:textId="43DB667D" w:rsidR="00F21E64" w:rsidRPr="00353AB8" w:rsidRDefault="00F21E64" w:rsidP="00353AB8">
      <w:pPr>
        <w:jc w:val="left"/>
        <w:rPr>
          <w:rFonts w:ascii="Franklin Gothic Book" w:hAnsi="Franklin Gothic Book"/>
          <w:i/>
          <w:iCs/>
          <w:sz w:val="22"/>
        </w:rPr>
      </w:pPr>
      <w:r w:rsidRPr="00353AB8">
        <w:rPr>
          <w:rFonts w:ascii="Franklin Gothic Book" w:hAnsi="Franklin Gothic Book"/>
          <w:sz w:val="22"/>
        </w:rPr>
        <w:t xml:space="preserve">Post hoc calculations of concordance/diagnostic accuracy conducted for this submission are presented in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_Ref198447399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10</w:t>
      </w:r>
      <w:r w:rsidR="001F5863" w:rsidRPr="001F5863">
        <w:rPr>
          <w:rFonts w:ascii="Franklin Gothic Book" w:hAnsi="Franklin Gothic Book"/>
          <w:sz w:val="22"/>
        </w:rPr>
        <w:fldChar w:fldCharType="end"/>
      </w:r>
      <w:r w:rsidRPr="00353AB8">
        <w:rPr>
          <w:rFonts w:ascii="Franklin Gothic Book" w:hAnsi="Franklin Gothic Book"/>
          <w:sz w:val="22"/>
        </w:rPr>
        <w:t xml:space="preserve">. The submission considered that these results show that FISH on DNA has a lower negative percent agreement than NGS on RNA when both are compared with NGS on </w:t>
      </w:r>
      <w:r w:rsidR="00544D8B" w:rsidRPr="00353AB8">
        <w:rPr>
          <w:rFonts w:ascii="Franklin Gothic Book" w:hAnsi="Franklin Gothic Book"/>
          <w:sz w:val="22"/>
        </w:rPr>
        <w:t>DNA and</w:t>
      </w:r>
      <w:r w:rsidRPr="00353AB8">
        <w:rPr>
          <w:rFonts w:ascii="Franklin Gothic Book" w:hAnsi="Franklin Gothic Book"/>
          <w:sz w:val="22"/>
        </w:rPr>
        <w:t xml:space="preserve"> highlighted why NGS is the preferred molecular testing method for identification on </w:t>
      </w:r>
      <w:r w:rsidRPr="00353AB8">
        <w:rPr>
          <w:rFonts w:ascii="Franklin Gothic Book" w:hAnsi="Franklin Gothic Book"/>
          <w:i/>
          <w:iCs/>
          <w:sz w:val="22"/>
        </w:rPr>
        <w:t>FGFR2</w:t>
      </w:r>
      <w:r w:rsidRPr="00353AB8">
        <w:rPr>
          <w:rFonts w:ascii="Franklin Gothic Book" w:hAnsi="Franklin Gothic Book"/>
          <w:sz w:val="22"/>
        </w:rPr>
        <w:t xml:space="preserve"> alterations in clinical practice guidelines. </w:t>
      </w:r>
    </w:p>
    <w:p w14:paraId="02BEEEE5" w14:textId="16ED0D79" w:rsidR="00F21E64" w:rsidRPr="00B27879" w:rsidRDefault="009D316D" w:rsidP="009D316D">
      <w:pPr>
        <w:pStyle w:val="Caption"/>
      </w:pPr>
      <w:bookmarkStart w:id="47" w:name="_Ref198447399"/>
      <w:bookmarkStart w:id="48" w:name="_Ref187683867"/>
      <w:r>
        <w:t xml:space="preserve">Table </w:t>
      </w:r>
      <w:r>
        <w:fldChar w:fldCharType="begin"/>
      </w:r>
      <w:r>
        <w:instrText>SEQ Table \* ARABIC</w:instrText>
      </w:r>
      <w:r>
        <w:fldChar w:fldCharType="separate"/>
      </w:r>
      <w:r w:rsidR="005B1C7E">
        <w:rPr>
          <w:noProof/>
        </w:rPr>
        <w:t>10</w:t>
      </w:r>
      <w:r>
        <w:fldChar w:fldCharType="end"/>
      </w:r>
      <w:bookmarkEnd w:id="47"/>
      <w:r>
        <w:tab/>
      </w:r>
      <w:bookmarkEnd w:id="48"/>
      <w:r w:rsidR="00F21E64" w:rsidRPr="00B27879">
        <w:t>Concordance between NGS on DNA and FISH on DNA in Zou 2023</w:t>
      </w:r>
    </w:p>
    <w:tbl>
      <w:tblPr>
        <w:tblStyle w:val="PBACTableStyle"/>
        <w:tblW w:w="5000" w:type="pct"/>
        <w:tblLook w:val="0020" w:firstRow="1" w:lastRow="0" w:firstColumn="0" w:lastColumn="0" w:noHBand="0" w:noVBand="0"/>
      </w:tblPr>
      <w:tblGrid>
        <w:gridCol w:w="717"/>
        <w:gridCol w:w="903"/>
        <w:gridCol w:w="2068"/>
        <w:gridCol w:w="2160"/>
        <w:gridCol w:w="876"/>
        <w:gridCol w:w="2292"/>
      </w:tblGrid>
      <w:tr w:rsidR="007900E9" w:rsidRPr="00B27879" w14:paraId="04AC55A5" w14:textId="77777777" w:rsidTr="0018507C">
        <w:trPr>
          <w:cnfStyle w:val="100000000000" w:firstRow="1" w:lastRow="0" w:firstColumn="0" w:lastColumn="0" w:oddVBand="0" w:evenVBand="0" w:oddHBand="0" w:evenHBand="0" w:firstRowFirstColumn="0" w:firstRowLastColumn="0" w:lastRowFirstColumn="0" w:lastRowLastColumn="0"/>
          <w:trHeight w:val="63"/>
        </w:trPr>
        <w:tc>
          <w:tcPr>
            <w:tcW w:w="897" w:type="pct"/>
            <w:gridSpan w:val="2"/>
            <w:vMerge w:val="restart"/>
          </w:tcPr>
          <w:p w14:paraId="71DF6A8E" w14:textId="77777777" w:rsidR="00F21E64" w:rsidRPr="00B27879" w:rsidRDefault="00F21E64" w:rsidP="00FE3A7F">
            <w:pPr>
              <w:pStyle w:val="TableText"/>
              <w:rPr>
                <w:color w:val="auto"/>
                <w:lang w:val="en-AU"/>
              </w:rPr>
            </w:pPr>
          </w:p>
        </w:tc>
        <w:tc>
          <w:tcPr>
            <w:tcW w:w="2831" w:type="pct"/>
            <w:gridSpan w:val="3"/>
          </w:tcPr>
          <w:p w14:paraId="2307BF9A" w14:textId="77777777" w:rsidR="00F21E64" w:rsidRPr="00B27879" w:rsidRDefault="00F21E64" w:rsidP="00FE3A7F">
            <w:pPr>
              <w:pStyle w:val="TableText"/>
              <w:jc w:val="center"/>
              <w:rPr>
                <w:b w:val="0"/>
                <w:bCs/>
                <w:color w:val="auto"/>
                <w:lang w:val="en-AU"/>
              </w:rPr>
            </w:pPr>
            <w:r w:rsidRPr="00B27879">
              <w:rPr>
                <w:bCs/>
                <w:color w:val="auto"/>
                <w:lang w:val="en-AU"/>
              </w:rPr>
              <w:t>NGS on DNA</w:t>
            </w:r>
          </w:p>
        </w:tc>
        <w:tc>
          <w:tcPr>
            <w:tcW w:w="1272" w:type="pct"/>
            <w:vMerge w:val="restart"/>
          </w:tcPr>
          <w:p w14:paraId="7B4E44A5" w14:textId="77777777" w:rsidR="00F21E64" w:rsidRPr="00B27879" w:rsidRDefault="00F21E64" w:rsidP="00FE3A7F">
            <w:pPr>
              <w:pStyle w:val="TableText"/>
              <w:rPr>
                <w:color w:val="auto"/>
                <w:lang w:val="en-AU"/>
              </w:rPr>
            </w:pPr>
          </w:p>
        </w:tc>
      </w:tr>
      <w:tr w:rsidR="007900E9" w:rsidRPr="00B27879" w14:paraId="37DF675A" w14:textId="77777777" w:rsidTr="0018507C">
        <w:trPr>
          <w:trHeight w:val="63"/>
        </w:trPr>
        <w:tc>
          <w:tcPr>
            <w:tcW w:w="897" w:type="pct"/>
            <w:gridSpan w:val="2"/>
            <w:vMerge/>
          </w:tcPr>
          <w:p w14:paraId="625E5D67" w14:textId="77777777" w:rsidR="00F21E64" w:rsidRPr="00B27879" w:rsidRDefault="00F21E64" w:rsidP="00FE3A7F">
            <w:pPr>
              <w:pStyle w:val="TableText"/>
              <w:rPr>
                <w:color w:val="auto"/>
                <w:lang w:val="en-AU"/>
              </w:rPr>
            </w:pPr>
          </w:p>
        </w:tc>
        <w:tc>
          <w:tcPr>
            <w:tcW w:w="1147" w:type="pct"/>
          </w:tcPr>
          <w:p w14:paraId="593216AD" w14:textId="77777777" w:rsidR="00F21E64" w:rsidRPr="00B27879" w:rsidRDefault="00F21E64" w:rsidP="00FE3A7F">
            <w:pPr>
              <w:pStyle w:val="TableText"/>
              <w:jc w:val="center"/>
              <w:rPr>
                <w:b/>
                <w:bCs/>
                <w:color w:val="auto"/>
                <w:lang w:val="en-AU"/>
              </w:rPr>
            </w:pPr>
            <w:r w:rsidRPr="00B27879">
              <w:rPr>
                <w:b/>
                <w:bCs/>
                <w:color w:val="auto"/>
                <w:lang w:val="en-AU"/>
              </w:rPr>
              <w:t>FGFR2 +</w:t>
            </w:r>
          </w:p>
        </w:tc>
        <w:tc>
          <w:tcPr>
            <w:tcW w:w="1198" w:type="pct"/>
          </w:tcPr>
          <w:p w14:paraId="719CD804" w14:textId="77777777" w:rsidR="00F21E64" w:rsidRPr="00B27879" w:rsidRDefault="00F21E64" w:rsidP="00FE3A7F">
            <w:pPr>
              <w:pStyle w:val="TableText"/>
              <w:jc w:val="center"/>
              <w:rPr>
                <w:b/>
                <w:bCs/>
                <w:color w:val="auto"/>
                <w:lang w:val="en-AU"/>
              </w:rPr>
            </w:pPr>
            <w:r w:rsidRPr="00B27879">
              <w:rPr>
                <w:b/>
                <w:bCs/>
                <w:color w:val="auto"/>
                <w:lang w:val="en-AU"/>
              </w:rPr>
              <w:t>FGFR2 –</w:t>
            </w:r>
          </w:p>
        </w:tc>
        <w:tc>
          <w:tcPr>
            <w:tcW w:w="486" w:type="pct"/>
          </w:tcPr>
          <w:p w14:paraId="2918043F" w14:textId="77777777" w:rsidR="00F21E64" w:rsidRPr="00B27879" w:rsidRDefault="00F21E64" w:rsidP="00FE3A7F">
            <w:pPr>
              <w:pStyle w:val="TableText"/>
              <w:jc w:val="center"/>
              <w:rPr>
                <w:b/>
                <w:bCs/>
                <w:color w:val="auto"/>
                <w:lang w:val="en-AU"/>
              </w:rPr>
            </w:pPr>
            <w:r w:rsidRPr="00B27879">
              <w:rPr>
                <w:b/>
                <w:bCs/>
                <w:color w:val="auto"/>
                <w:lang w:val="en-AU"/>
              </w:rPr>
              <w:t>Total</w:t>
            </w:r>
          </w:p>
        </w:tc>
        <w:tc>
          <w:tcPr>
            <w:tcW w:w="1272" w:type="pct"/>
            <w:vMerge/>
          </w:tcPr>
          <w:p w14:paraId="1967A2DB" w14:textId="77777777" w:rsidR="00F21E64" w:rsidRPr="00B27879" w:rsidRDefault="00F21E64" w:rsidP="00FE3A7F">
            <w:pPr>
              <w:pStyle w:val="TableText"/>
              <w:rPr>
                <w:color w:val="auto"/>
                <w:lang w:val="en-AU"/>
              </w:rPr>
            </w:pPr>
          </w:p>
        </w:tc>
      </w:tr>
      <w:tr w:rsidR="007900E9" w:rsidRPr="00B27879" w14:paraId="1D53B70B" w14:textId="77777777" w:rsidTr="0018507C">
        <w:trPr>
          <w:trHeight w:val="63"/>
        </w:trPr>
        <w:tc>
          <w:tcPr>
            <w:tcW w:w="397" w:type="pct"/>
            <w:vMerge w:val="restart"/>
          </w:tcPr>
          <w:p w14:paraId="108CBF97" w14:textId="77777777" w:rsidR="00F21E64" w:rsidRPr="00B27879" w:rsidRDefault="00F21E64" w:rsidP="00FE3A7F">
            <w:pPr>
              <w:pStyle w:val="TableText"/>
              <w:rPr>
                <w:color w:val="auto"/>
                <w:lang w:val="en-AU"/>
              </w:rPr>
            </w:pPr>
            <w:r w:rsidRPr="00B27879">
              <w:rPr>
                <w:color w:val="auto"/>
                <w:lang w:val="en-AU"/>
              </w:rPr>
              <w:t>FISH on DNA</w:t>
            </w:r>
          </w:p>
        </w:tc>
        <w:tc>
          <w:tcPr>
            <w:tcW w:w="501" w:type="pct"/>
          </w:tcPr>
          <w:p w14:paraId="029EB9CF" w14:textId="77777777" w:rsidR="00F21E64" w:rsidRPr="00B27879" w:rsidRDefault="00F21E64" w:rsidP="00FE3A7F">
            <w:pPr>
              <w:pStyle w:val="TableText"/>
              <w:rPr>
                <w:color w:val="auto"/>
                <w:lang w:val="en-AU"/>
              </w:rPr>
            </w:pPr>
            <w:r w:rsidRPr="00B27879">
              <w:rPr>
                <w:color w:val="auto"/>
                <w:lang w:val="en-AU"/>
              </w:rPr>
              <w:t>FGFR2 +</w:t>
            </w:r>
          </w:p>
        </w:tc>
        <w:tc>
          <w:tcPr>
            <w:tcW w:w="1147" w:type="pct"/>
          </w:tcPr>
          <w:p w14:paraId="1E4AE549" w14:textId="77777777" w:rsidR="00F21E64" w:rsidRPr="00B27879" w:rsidRDefault="00F21E64" w:rsidP="00FE3A7F">
            <w:pPr>
              <w:pStyle w:val="TableText"/>
              <w:jc w:val="center"/>
              <w:rPr>
                <w:color w:val="auto"/>
                <w:lang w:val="en-AU"/>
              </w:rPr>
            </w:pPr>
            <w:r w:rsidRPr="00B27879">
              <w:rPr>
                <w:color w:val="auto"/>
                <w:lang w:val="en-AU"/>
              </w:rPr>
              <w:t>16</w:t>
            </w:r>
          </w:p>
        </w:tc>
        <w:tc>
          <w:tcPr>
            <w:tcW w:w="1198" w:type="pct"/>
          </w:tcPr>
          <w:p w14:paraId="3A4AE602" w14:textId="77777777" w:rsidR="00F21E64" w:rsidRPr="00B27879" w:rsidRDefault="00F21E64" w:rsidP="00FE3A7F">
            <w:pPr>
              <w:pStyle w:val="TableText"/>
              <w:jc w:val="center"/>
              <w:rPr>
                <w:color w:val="auto"/>
                <w:lang w:val="en-AU"/>
              </w:rPr>
            </w:pPr>
            <w:r w:rsidRPr="00B27879">
              <w:rPr>
                <w:color w:val="auto"/>
                <w:lang w:val="en-AU"/>
              </w:rPr>
              <w:t>4</w:t>
            </w:r>
          </w:p>
        </w:tc>
        <w:tc>
          <w:tcPr>
            <w:tcW w:w="486" w:type="pct"/>
          </w:tcPr>
          <w:p w14:paraId="6666A5F4" w14:textId="77777777" w:rsidR="00F21E64" w:rsidRPr="00B27879" w:rsidRDefault="00F21E64" w:rsidP="00FE3A7F">
            <w:pPr>
              <w:pStyle w:val="TableText"/>
              <w:jc w:val="center"/>
              <w:rPr>
                <w:color w:val="auto"/>
                <w:lang w:val="en-AU"/>
              </w:rPr>
            </w:pPr>
            <w:r w:rsidRPr="00B27879">
              <w:rPr>
                <w:color w:val="auto"/>
                <w:lang w:val="en-AU"/>
              </w:rPr>
              <w:t>20</w:t>
            </w:r>
          </w:p>
        </w:tc>
        <w:tc>
          <w:tcPr>
            <w:tcW w:w="1272" w:type="pct"/>
          </w:tcPr>
          <w:p w14:paraId="0AF96992" w14:textId="77777777" w:rsidR="00F21E64" w:rsidRPr="00B27879" w:rsidRDefault="00F21E64" w:rsidP="00FE3A7F">
            <w:pPr>
              <w:pStyle w:val="TableText"/>
              <w:rPr>
                <w:color w:val="auto"/>
                <w:lang w:val="en-AU"/>
              </w:rPr>
            </w:pPr>
            <w:r w:rsidRPr="00B27879">
              <w:rPr>
                <w:color w:val="auto"/>
                <w:lang w:val="en-AU"/>
              </w:rPr>
              <w:t>PPV = 80% (64.3, 89.9)</w:t>
            </w:r>
          </w:p>
        </w:tc>
      </w:tr>
      <w:tr w:rsidR="007900E9" w:rsidRPr="00B27879" w14:paraId="429B90DD" w14:textId="77777777" w:rsidTr="0018507C">
        <w:trPr>
          <w:trHeight w:val="63"/>
        </w:trPr>
        <w:tc>
          <w:tcPr>
            <w:tcW w:w="397" w:type="pct"/>
            <w:vMerge/>
          </w:tcPr>
          <w:p w14:paraId="2FA1F2E5" w14:textId="77777777" w:rsidR="00F21E64" w:rsidRPr="00B27879" w:rsidRDefault="00F21E64" w:rsidP="00FE3A7F">
            <w:pPr>
              <w:pStyle w:val="TableText"/>
              <w:rPr>
                <w:color w:val="auto"/>
                <w:lang w:val="en-AU"/>
              </w:rPr>
            </w:pPr>
          </w:p>
        </w:tc>
        <w:tc>
          <w:tcPr>
            <w:tcW w:w="501" w:type="pct"/>
          </w:tcPr>
          <w:p w14:paraId="72F0031F" w14:textId="77777777" w:rsidR="00F21E64" w:rsidRPr="00B27879" w:rsidRDefault="00F21E64" w:rsidP="00FE3A7F">
            <w:pPr>
              <w:pStyle w:val="TableText"/>
              <w:rPr>
                <w:color w:val="auto"/>
                <w:lang w:val="en-AU"/>
              </w:rPr>
            </w:pPr>
            <w:r w:rsidRPr="00B27879">
              <w:rPr>
                <w:color w:val="auto"/>
                <w:lang w:val="en-AU"/>
              </w:rPr>
              <w:t>FGFR2 –</w:t>
            </w:r>
          </w:p>
        </w:tc>
        <w:tc>
          <w:tcPr>
            <w:tcW w:w="1147" w:type="pct"/>
          </w:tcPr>
          <w:p w14:paraId="7CB4A47C" w14:textId="77777777" w:rsidR="00F21E64" w:rsidRPr="00B27879" w:rsidRDefault="00F21E64" w:rsidP="00FE3A7F">
            <w:pPr>
              <w:pStyle w:val="TableText"/>
              <w:jc w:val="center"/>
              <w:rPr>
                <w:color w:val="auto"/>
                <w:lang w:val="en-AU"/>
              </w:rPr>
            </w:pPr>
            <w:r w:rsidRPr="00B27879">
              <w:rPr>
                <w:color w:val="auto"/>
                <w:lang w:val="en-AU"/>
              </w:rPr>
              <w:t>0</w:t>
            </w:r>
          </w:p>
        </w:tc>
        <w:tc>
          <w:tcPr>
            <w:tcW w:w="1198" w:type="pct"/>
          </w:tcPr>
          <w:p w14:paraId="39171C5D" w14:textId="77777777" w:rsidR="00F21E64" w:rsidRPr="00B27879" w:rsidRDefault="00F21E64" w:rsidP="00FE3A7F">
            <w:pPr>
              <w:pStyle w:val="TableText"/>
              <w:jc w:val="center"/>
              <w:rPr>
                <w:color w:val="auto"/>
                <w:lang w:val="en-AU"/>
              </w:rPr>
            </w:pPr>
            <w:r w:rsidRPr="00B27879">
              <w:rPr>
                <w:color w:val="auto"/>
                <w:lang w:val="en-AU"/>
              </w:rPr>
              <w:t>8</w:t>
            </w:r>
          </w:p>
        </w:tc>
        <w:tc>
          <w:tcPr>
            <w:tcW w:w="486" w:type="pct"/>
          </w:tcPr>
          <w:p w14:paraId="46A7E43E" w14:textId="77777777" w:rsidR="00F21E64" w:rsidRPr="00B27879" w:rsidRDefault="00F21E64" w:rsidP="00FE3A7F">
            <w:pPr>
              <w:pStyle w:val="TableText"/>
              <w:jc w:val="center"/>
              <w:rPr>
                <w:color w:val="auto"/>
                <w:lang w:val="en-AU"/>
              </w:rPr>
            </w:pPr>
            <w:r w:rsidRPr="00B27879">
              <w:rPr>
                <w:color w:val="auto"/>
                <w:lang w:val="en-AU"/>
              </w:rPr>
              <w:t>8</w:t>
            </w:r>
          </w:p>
        </w:tc>
        <w:tc>
          <w:tcPr>
            <w:tcW w:w="1272" w:type="pct"/>
          </w:tcPr>
          <w:p w14:paraId="31EBEACD" w14:textId="77777777" w:rsidR="00F21E64" w:rsidRPr="00B27879" w:rsidRDefault="00F21E64" w:rsidP="00FE3A7F">
            <w:pPr>
              <w:pStyle w:val="TableText"/>
              <w:rPr>
                <w:color w:val="auto"/>
                <w:lang w:val="en-AU"/>
              </w:rPr>
            </w:pPr>
            <w:r w:rsidRPr="00B27879">
              <w:rPr>
                <w:color w:val="auto"/>
                <w:lang w:val="en-AU"/>
              </w:rPr>
              <w:t>NPV = 100% (63.1, 100)</w:t>
            </w:r>
          </w:p>
        </w:tc>
      </w:tr>
      <w:tr w:rsidR="007900E9" w:rsidRPr="00B27879" w14:paraId="4EA6F581" w14:textId="77777777" w:rsidTr="0018507C">
        <w:trPr>
          <w:trHeight w:val="63"/>
        </w:trPr>
        <w:tc>
          <w:tcPr>
            <w:tcW w:w="397" w:type="pct"/>
            <w:vMerge/>
          </w:tcPr>
          <w:p w14:paraId="651158AE" w14:textId="77777777" w:rsidR="00F21E64" w:rsidRPr="00B27879" w:rsidRDefault="00F21E64" w:rsidP="00FE3A7F">
            <w:pPr>
              <w:pStyle w:val="TableText"/>
              <w:rPr>
                <w:color w:val="auto"/>
                <w:lang w:val="en-AU"/>
              </w:rPr>
            </w:pPr>
          </w:p>
        </w:tc>
        <w:tc>
          <w:tcPr>
            <w:tcW w:w="501" w:type="pct"/>
          </w:tcPr>
          <w:p w14:paraId="658408B7" w14:textId="77777777" w:rsidR="00F21E64" w:rsidRPr="00B27879" w:rsidRDefault="00F21E64" w:rsidP="00FE3A7F">
            <w:pPr>
              <w:pStyle w:val="TableText"/>
              <w:rPr>
                <w:color w:val="auto"/>
                <w:lang w:val="en-AU"/>
              </w:rPr>
            </w:pPr>
            <w:r w:rsidRPr="00B27879">
              <w:rPr>
                <w:color w:val="auto"/>
                <w:lang w:val="en-AU"/>
              </w:rPr>
              <w:t>Total</w:t>
            </w:r>
          </w:p>
        </w:tc>
        <w:tc>
          <w:tcPr>
            <w:tcW w:w="1147" w:type="pct"/>
          </w:tcPr>
          <w:p w14:paraId="154F37D7" w14:textId="77777777" w:rsidR="00F21E64" w:rsidRPr="00B27879" w:rsidRDefault="00F21E64" w:rsidP="00FE3A7F">
            <w:pPr>
              <w:pStyle w:val="TableText"/>
              <w:jc w:val="center"/>
              <w:rPr>
                <w:color w:val="auto"/>
                <w:lang w:val="en-AU"/>
              </w:rPr>
            </w:pPr>
            <w:r w:rsidRPr="00B27879">
              <w:rPr>
                <w:color w:val="auto"/>
                <w:lang w:val="en-AU"/>
              </w:rPr>
              <w:t>16</w:t>
            </w:r>
          </w:p>
        </w:tc>
        <w:tc>
          <w:tcPr>
            <w:tcW w:w="1198" w:type="pct"/>
          </w:tcPr>
          <w:p w14:paraId="1B1DE10A" w14:textId="77777777" w:rsidR="00F21E64" w:rsidRPr="00B27879" w:rsidRDefault="00F21E64" w:rsidP="00FE3A7F">
            <w:pPr>
              <w:pStyle w:val="TableText"/>
              <w:jc w:val="center"/>
              <w:rPr>
                <w:color w:val="auto"/>
                <w:lang w:val="en-AU"/>
              </w:rPr>
            </w:pPr>
            <w:r w:rsidRPr="00B27879">
              <w:rPr>
                <w:color w:val="auto"/>
                <w:lang w:val="en-AU"/>
              </w:rPr>
              <w:t>12</w:t>
            </w:r>
          </w:p>
        </w:tc>
        <w:tc>
          <w:tcPr>
            <w:tcW w:w="486" w:type="pct"/>
          </w:tcPr>
          <w:p w14:paraId="644EFD5E" w14:textId="77777777" w:rsidR="00F21E64" w:rsidRPr="00B27879" w:rsidRDefault="00F21E64" w:rsidP="00FE3A7F">
            <w:pPr>
              <w:pStyle w:val="TableText"/>
              <w:jc w:val="center"/>
              <w:rPr>
                <w:color w:val="auto"/>
                <w:lang w:val="en-AU"/>
              </w:rPr>
            </w:pPr>
            <w:r w:rsidRPr="00B27879">
              <w:rPr>
                <w:color w:val="auto"/>
                <w:lang w:val="en-AU"/>
              </w:rPr>
              <w:t>28</w:t>
            </w:r>
          </w:p>
        </w:tc>
        <w:tc>
          <w:tcPr>
            <w:tcW w:w="1272" w:type="pct"/>
          </w:tcPr>
          <w:p w14:paraId="455AFCF4" w14:textId="77777777" w:rsidR="00F21E64" w:rsidRPr="00B27879" w:rsidRDefault="00F21E64" w:rsidP="00FE3A7F">
            <w:pPr>
              <w:pStyle w:val="TableText"/>
              <w:rPr>
                <w:color w:val="auto"/>
                <w:lang w:val="en-AU"/>
              </w:rPr>
            </w:pPr>
          </w:p>
        </w:tc>
      </w:tr>
      <w:tr w:rsidR="007900E9" w:rsidRPr="00B27879" w14:paraId="543E4840" w14:textId="77777777" w:rsidTr="0018507C">
        <w:trPr>
          <w:trHeight w:val="149"/>
        </w:trPr>
        <w:tc>
          <w:tcPr>
            <w:tcW w:w="897" w:type="pct"/>
            <w:gridSpan w:val="2"/>
          </w:tcPr>
          <w:p w14:paraId="76254009" w14:textId="77777777" w:rsidR="00F21E64" w:rsidRPr="00B27879" w:rsidRDefault="00F21E64" w:rsidP="00FE3A7F">
            <w:pPr>
              <w:pStyle w:val="TableText"/>
              <w:rPr>
                <w:color w:val="auto"/>
                <w:lang w:val="en-AU"/>
              </w:rPr>
            </w:pPr>
          </w:p>
        </w:tc>
        <w:tc>
          <w:tcPr>
            <w:tcW w:w="1147" w:type="pct"/>
          </w:tcPr>
          <w:p w14:paraId="0E1681DF" w14:textId="77777777" w:rsidR="00F21E64" w:rsidRPr="00B27879" w:rsidRDefault="00F21E64" w:rsidP="00FE3A7F">
            <w:pPr>
              <w:pStyle w:val="TableText"/>
              <w:jc w:val="center"/>
              <w:rPr>
                <w:color w:val="auto"/>
                <w:lang w:val="en-AU"/>
              </w:rPr>
            </w:pPr>
            <w:r w:rsidRPr="00B27879">
              <w:rPr>
                <w:color w:val="auto"/>
                <w:lang w:val="en-AU"/>
              </w:rPr>
              <w:t>PPA = 100% (79.4, 100)</w:t>
            </w:r>
          </w:p>
        </w:tc>
        <w:tc>
          <w:tcPr>
            <w:tcW w:w="1198" w:type="pct"/>
          </w:tcPr>
          <w:p w14:paraId="1081115F" w14:textId="77777777" w:rsidR="00F21E64" w:rsidRPr="00B27879" w:rsidRDefault="00F21E64" w:rsidP="00FE3A7F">
            <w:pPr>
              <w:pStyle w:val="TableText"/>
              <w:jc w:val="center"/>
              <w:rPr>
                <w:color w:val="auto"/>
                <w:lang w:val="en-AU"/>
              </w:rPr>
            </w:pPr>
            <w:r w:rsidRPr="00B27879">
              <w:rPr>
                <w:color w:val="auto"/>
                <w:lang w:val="en-AU"/>
              </w:rPr>
              <w:t>NPA = 66.7% (34.9, 90.1)</w:t>
            </w:r>
          </w:p>
        </w:tc>
        <w:tc>
          <w:tcPr>
            <w:tcW w:w="486" w:type="pct"/>
          </w:tcPr>
          <w:p w14:paraId="42841652" w14:textId="77777777" w:rsidR="00F21E64" w:rsidRPr="00B27879" w:rsidRDefault="00F21E64" w:rsidP="00FE3A7F">
            <w:pPr>
              <w:pStyle w:val="TableText"/>
              <w:jc w:val="center"/>
              <w:rPr>
                <w:color w:val="auto"/>
                <w:lang w:val="en-AU"/>
              </w:rPr>
            </w:pPr>
          </w:p>
        </w:tc>
        <w:tc>
          <w:tcPr>
            <w:tcW w:w="1272" w:type="pct"/>
          </w:tcPr>
          <w:p w14:paraId="60591317" w14:textId="77777777" w:rsidR="00F21E64" w:rsidRPr="00B27879" w:rsidRDefault="00F21E64" w:rsidP="00FE3A7F">
            <w:pPr>
              <w:pStyle w:val="TableText"/>
              <w:rPr>
                <w:color w:val="auto"/>
                <w:lang w:val="en-AU"/>
              </w:rPr>
            </w:pPr>
            <w:r w:rsidRPr="00B27879">
              <w:rPr>
                <w:color w:val="auto"/>
                <w:lang w:val="en-AU"/>
              </w:rPr>
              <w:t>OPA = 85.7% (67.3, 96.0)</w:t>
            </w:r>
          </w:p>
        </w:tc>
      </w:tr>
    </w:tbl>
    <w:p w14:paraId="7466927E" w14:textId="77777777" w:rsidR="00F21E64" w:rsidRPr="00B27879" w:rsidRDefault="00F21E64" w:rsidP="00F21E64">
      <w:pPr>
        <w:pStyle w:val="TableFooter"/>
      </w:pPr>
      <w:r w:rsidRPr="00B27879">
        <w:t>Source: Table 2.20, p89 of the submission.</w:t>
      </w:r>
    </w:p>
    <w:p w14:paraId="1E0EE469" w14:textId="77777777" w:rsidR="00F21E64" w:rsidRPr="00B27879" w:rsidRDefault="00F21E64" w:rsidP="00F21E64">
      <w:pPr>
        <w:pStyle w:val="TableFooter"/>
      </w:pPr>
      <w:r w:rsidRPr="00B27879">
        <w:t xml:space="preserve"> DNA = deoxyribonucleic acid; FGFR = fibroblast growth factor receptor; FISH = fluorescence in situ hybridisation; NGS = next-generation sequencing; NPA = negative percent agreement; NPV = negative predictive value; OPA = overall percent agreement; PPA = positive percent agreement; PPV = positive predictive value</w:t>
      </w:r>
    </w:p>
    <w:p w14:paraId="63819F34" w14:textId="4D11B285" w:rsidR="00F21E64" w:rsidRPr="00B27879" w:rsidRDefault="00F21E64" w:rsidP="00F21E64">
      <w:pPr>
        <w:pStyle w:val="TableFooter"/>
      </w:pPr>
      <w:r w:rsidRPr="00B27879">
        <w:t>Note: All calculations conducted post hoc using https://www.medcalc.org/calc/diagnostic_test.php</w:t>
      </w:r>
    </w:p>
    <w:p w14:paraId="2F2EFEF7" w14:textId="008DC250" w:rsidR="00735846" w:rsidRPr="00353AB8" w:rsidRDefault="00F21E64" w:rsidP="00353AB8">
      <w:pPr>
        <w:jc w:val="left"/>
        <w:rPr>
          <w:rFonts w:ascii="Franklin Gothic Book" w:hAnsi="Franklin Gothic Book"/>
          <w:i/>
          <w:iCs/>
          <w:sz w:val="22"/>
        </w:rPr>
      </w:pPr>
      <w:r w:rsidRPr="00353AB8">
        <w:rPr>
          <w:rFonts w:ascii="Franklin Gothic Book" w:hAnsi="Franklin Gothic Book"/>
          <w:sz w:val="22"/>
        </w:rPr>
        <w:t xml:space="preserve">The submission noted that concordance between FISH on DNA and NGS on DNA (and by extension NGS on RNA) is less robust, which was consistent with recommendations in clinical practice guidelines that it only be used where NGS cannot. </w:t>
      </w:r>
      <w:r w:rsidR="00C35923" w:rsidRPr="00353AB8">
        <w:rPr>
          <w:rFonts w:ascii="Franklin Gothic Book" w:hAnsi="Franklin Gothic Book"/>
          <w:sz w:val="22"/>
        </w:rPr>
        <w:t xml:space="preserve">The </w:t>
      </w:r>
      <w:r w:rsidR="00DA411C" w:rsidRPr="00353AB8">
        <w:rPr>
          <w:rFonts w:ascii="Franklin Gothic Book" w:hAnsi="Franklin Gothic Book"/>
          <w:sz w:val="22"/>
        </w:rPr>
        <w:t xml:space="preserve">commentary </w:t>
      </w:r>
      <w:r w:rsidR="00B11B37" w:rsidRPr="00353AB8">
        <w:rPr>
          <w:rFonts w:ascii="Franklin Gothic Book" w:hAnsi="Franklin Gothic Book"/>
          <w:sz w:val="22"/>
        </w:rPr>
        <w:t>considered</w:t>
      </w:r>
      <w:r w:rsidR="00C35923" w:rsidRPr="00353AB8">
        <w:rPr>
          <w:rFonts w:ascii="Franklin Gothic Book" w:hAnsi="Franklin Gothic Book"/>
          <w:sz w:val="22"/>
        </w:rPr>
        <w:t xml:space="preserve"> that t</w:t>
      </w:r>
      <w:r w:rsidRPr="00353AB8">
        <w:rPr>
          <w:rFonts w:ascii="Franklin Gothic Book" w:hAnsi="Franklin Gothic Book"/>
          <w:sz w:val="22"/>
        </w:rPr>
        <w:t>his was reasonable.</w:t>
      </w:r>
    </w:p>
    <w:p w14:paraId="2547AAD0" w14:textId="1012B6C1" w:rsidR="001F5EE5" w:rsidRPr="00353AB8" w:rsidRDefault="001F5EE5" w:rsidP="00353AB8">
      <w:pPr>
        <w:jc w:val="left"/>
        <w:rPr>
          <w:rFonts w:ascii="Franklin Gothic Book" w:hAnsi="Franklin Gothic Book"/>
          <w:sz w:val="22"/>
          <w:u w:val="single"/>
        </w:rPr>
      </w:pPr>
      <w:r w:rsidRPr="00353AB8">
        <w:rPr>
          <w:rFonts w:ascii="Franklin Gothic Book" w:hAnsi="Franklin Gothic Book"/>
          <w:sz w:val="22"/>
          <w:u w:val="single"/>
        </w:rPr>
        <w:t>Reliability:</w:t>
      </w:r>
    </w:p>
    <w:p w14:paraId="38F9CD79" w14:textId="4630094E" w:rsidR="001F5EE5" w:rsidRPr="00353AB8" w:rsidRDefault="001F5EE5" w:rsidP="00353AB8">
      <w:pPr>
        <w:jc w:val="left"/>
        <w:rPr>
          <w:rFonts w:ascii="Franklin Gothic Book" w:hAnsi="Franklin Gothic Book"/>
          <w:i/>
          <w:iCs/>
          <w:sz w:val="22"/>
        </w:rPr>
      </w:pPr>
      <w:r w:rsidRPr="00353AB8">
        <w:rPr>
          <w:rFonts w:ascii="Franklin Gothic Book" w:hAnsi="Franklin Gothic Book"/>
          <w:sz w:val="22"/>
        </w:rPr>
        <w:t xml:space="preserve">The submission identified one study that provides data on the reliability of NGS on RNA and FISH on DNA for detection on </w:t>
      </w:r>
      <w:r w:rsidRPr="00353AB8">
        <w:rPr>
          <w:rFonts w:ascii="Franklin Gothic Book" w:hAnsi="Franklin Gothic Book"/>
          <w:i/>
          <w:iCs/>
          <w:sz w:val="22"/>
        </w:rPr>
        <w:t>FGFR2</w:t>
      </w:r>
      <w:r w:rsidRPr="00353AB8">
        <w:rPr>
          <w:rFonts w:ascii="Franklin Gothic Book" w:hAnsi="Franklin Gothic Book"/>
          <w:sz w:val="22"/>
        </w:rPr>
        <w:t xml:space="preserve"> fusions in patients with iCCA (Neumann 2023)</w:t>
      </w:r>
      <w:r w:rsidRPr="00353AB8">
        <w:rPr>
          <w:rFonts w:ascii="Franklin Gothic Book" w:hAnsi="Franklin Gothic Book"/>
          <w:i/>
          <w:iCs/>
          <w:sz w:val="22"/>
        </w:rPr>
        <w:t xml:space="preserve">. </w:t>
      </w:r>
    </w:p>
    <w:p w14:paraId="624C801C" w14:textId="69DE1CF5" w:rsidR="001F5EE5" w:rsidRPr="00353AB8" w:rsidRDefault="001F5EE5" w:rsidP="00353AB8">
      <w:pPr>
        <w:jc w:val="left"/>
        <w:rPr>
          <w:rFonts w:ascii="Franklin Gothic Book" w:hAnsi="Franklin Gothic Book"/>
          <w:sz w:val="22"/>
        </w:rPr>
      </w:pPr>
      <w:r w:rsidRPr="00353AB8">
        <w:rPr>
          <w:rFonts w:ascii="Franklin Gothic Book" w:hAnsi="Franklin Gothic Book"/>
          <w:sz w:val="22"/>
        </w:rPr>
        <w:t xml:space="preserve">Neumann 2023 reported the results of a study assessing the early real-world performance of NGS on RNA and FISH on DNA for the identification of </w:t>
      </w:r>
      <w:r w:rsidRPr="00353AB8">
        <w:rPr>
          <w:rFonts w:ascii="Franklin Gothic Book" w:hAnsi="Franklin Gothic Book"/>
          <w:i/>
          <w:iCs/>
          <w:sz w:val="22"/>
        </w:rPr>
        <w:t>FGFR2</w:t>
      </w:r>
      <w:r w:rsidRPr="00353AB8">
        <w:rPr>
          <w:rFonts w:ascii="Franklin Gothic Book" w:hAnsi="Franklin Gothic Book"/>
          <w:sz w:val="22"/>
        </w:rPr>
        <w:t xml:space="preserve"> alterations in patients with CCA in Germany. The study involved two steps: (Step 1) an internal validation of the results by different academic centres (panel institutes) and (Step 2) an external round robin test. In Step 1, a cohort of 10 CCAs with known </w:t>
      </w:r>
      <w:r w:rsidRPr="00353AB8">
        <w:rPr>
          <w:rFonts w:ascii="Franklin Gothic Book" w:hAnsi="Franklin Gothic Book"/>
          <w:i/>
          <w:iCs/>
          <w:sz w:val="22"/>
        </w:rPr>
        <w:t>FGFR2</w:t>
      </w:r>
      <w:r w:rsidRPr="00353AB8">
        <w:rPr>
          <w:rFonts w:ascii="Franklin Gothic Book" w:hAnsi="Franklin Gothic Book"/>
          <w:sz w:val="22"/>
        </w:rPr>
        <w:t xml:space="preserve"> status (four fusion positive and six fusion negative) was tested by the Institute of Pathology, University Hospital Heidelberg, Germany; data were validated by four academic pathology departments in Germany. In a second step, a round robin test involving 21 academic and non-academic centres testing with RNA-based NGS approaches was carried out</w:t>
      </w:r>
      <w:r w:rsidR="00C413D4" w:rsidRPr="00353AB8">
        <w:rPr>
          <w:rFonts w:ascii="Franklin Gothic Book" w:hAnsi="Franklin Gothic Book"/>
          <w:sz w:val="22"/>
        </w:rPr>
        <w:t>.</w:t>
      </w:r>
      <w:r w:rsidRPr="00353AB8">
        <w:rPr>
          <w:rFonts w:ascii="Franklin Gothic Book" w:hAnsi="Franklin Gothic Book"/>
          <w:sz w:val="22"/>
        </w:rPr>
        <w:t xml:space="preserve"> </w:t>
      </w:r>
      <w:r w:rsidR="00C413D4" w:rsidRPr="00353AB8">
        <w:rPr>
          <w:rFonts w:ascii="Franklin Gothic Book" w:hAnsi="Franklin Gothic Book"/>
          <w:sz w:val="22"/>
        </w:rPr>
        <w:t>F</w:t>
      </w:r>
      <w:r w:rsidRPr="00353AB8">
        <w:rPr>
          <w:rFonts w:ascii="Franklin Gothic Book" w:hAnsi="Franklin Gothic Book"/>
          <w:sz w:val="22"/>
        </w:rPr>
        <w:t xml:space="preserve">ive participant centres </w:t>
      </w:r>
      <w:r w:rsidR="00C413D4" w:rsidRPr="00353AB8">
        <w:rPr>
          <w:rFonts w:ascii="Franklin Gothic Book" w:hAnsi="Franklin Gothic Book"/>
          <w:sz w:val="22"/>
        </w:rPr>
        <w:t xml:space="preserve">also </w:t>
      </w:r>
      <w:r w:rsidRPr="00353AB8">
        <w:rPr>
          <w:rFonts w:ascii="Franklin Gothic Book" w:hAnsi="Franklin Gothic Book"/>
          <w:sz w:val="22"/>
        </w:rPr>
        <w:t>performed FISH testing</w:t>
      </w:r>
      <w:r w:rsidR="00C413D4" w:rsidRPr="00353AB8">
        <w:rPr>
          <w:rFonts w:ascii="Franklin Gothic Book" w:hAnsi="Franklin Gothic Book"/>
          <w:sz w:val="22"/>
        </w:rPr>
        <w:t xml:space="preserve"> (Group A) and the remaining 16 performed NGS only (Group B)</w:t>
      </w:r>
      <w:r w:rsidRPr="00353AB8">
        <w:rPr>
          <w:rFonts w:ascii="Franklin Gothic Book" w:hAnsi="Franklin Gothic Book"/>
          <w:sz w:val="22"/>
        </w:rPr>
        <w:t xml:space="preserve">. </w:t>
      </w:r>
    </w:p>
    <w:p w14:paraId="5A7FB587" w14:textId="3DD5B506" w:rsidR="001F5EE5" w:rsidRPr="00353AB8" w:rsidRDefault="001F5EE5" w:rsidP="00353AB8">
      <w:pPr>
        <w:jc w:val="left"/>
        <w:rPr>
          <w:rFonts w:ascii="Franklin Gothic Book" w:hAnsi="Franklin Gothic Book"/>
          <w:sz w:val="22"/>
        </w:rPr>
      </w:pPr>
      <w:r w:rsidRPr="00353AB8">
        <w:rPr>
          <w:rFonts w:ascii="Franklin Gothic Book" w:hAnsi="Franklin Gothic Book"/>
          <w:sz w:val="22"/>
        </w:rPr>
        <w:t xml:space="preserve">For the internal validation in the Neumann 2023 study (Step 1), each of the 10 cases selected and analysed by the lead panel institute was cross tested by four different academic centres (panel institutes) using a targeted RNA-based NGS assay. Additionally, two centres employed a FISH assay. All panel institutes successfully identified and annotated the fusion-positive and fusion-negative </w:t>
      </w:r>
      <w:r w:rsidR="00544D8B" w:rsidRPr="00353AB8">
        <w:rPr>
          <w:rFonts w:ascii="Franklin Gothic Book" w:hAnsi="Franklin Gothic Book"/>
          <w:sz w:val="22"/>
        </w:rPr>
        <w:t>cases.</w:t>
      </w:r>
    </w:p>
    <w:p w14:paraId="7063E431" w14:textId="16B7E084" w:rsidR="001F5EE5" w:rsidRPr="00353AB8" w:rsidRDefault="001F5EE5" w:rsidP="00353AB8">
      <w:pPr>
        <w:jc w:val="left"/>
        <w:rPr>
          <w:rFonts w:ascii="Franklin Gothic Book" w:hAnsi="Franklin Gothic Book"/>
          <w:sz w:val="22"/>
        </w:rPr>
      </w:pPr>
      <w:r w:rsidRPr="00353AB8">
        <w:rPr>
          <w:rFonts w:ascii="Franklin Gothic Book" w:hAnsi="Franklin Gothic Book"/>
          <w:sz w:val="22"/>
        </w:rPr>
        <w:t>The five centres in Group A submitted their results and were able to correctly detect the fusion-positive cases by FISH with the exception of Case 10.</w:t>
      </w:r>
    </w:p>
    <w:p w14:paraId="3D27F625" w14:textId="737688D9" w:rsidR="001F2B7A" w:rsidRPr="00353AB8" w:rsidRDefault="001F2B7A" w:rsidP="00353AB8">
      <w:pPr>
        <w:jc w:val="left"/>
        <w:rPr>
          <w:rFonts w:ascii="Franklin Gothic Book" w:hAnsi="Franklin Gothic Book"/>
          <w:sz w:val="22"/>
        </w:rPr>
      </w:pPr>
      <w:r w:rsidRPr="00353AB8">
        <w:rPr>
          <w:rFonts w:ascii="Franklin Gothic Book" w:hAnsi="Franklin Gothic Book"/>
          <w:sz w:val="22"/>
        </w:rPr>
        <w:t xml:space="preserve">The success rate of the centres in the NGS part of the NGS and FISH arm (Group A) was 60% (3/5). 40% (2/5) of the institutes failed to correctly identify fusions in Cases 4 and 7 when using amplicon-based panels because no primers for the partner gene were included. 60% (3/5) of the participating centres were not able to correctly analyse Case 10. Two out of the five centres participating in the combined NGS and FISH arm failed the NGS part due to using assays </w:t>
      </w:r>
      <w:r w:rsidRPr="00353AB8">
        <w:rPr>
          <w:rFonts w:ascii="Franklin Gothic Book" w:hAnsi="Franklin Gothic Book"/>
          <w:sz w:val="22"/>
        </w:rPr>
        <w:lastRenderedPageBreak/>
        <w:t xml:space="preserve">(Thermo Fisher OFA assay, AmoyDx HANDLE Classic Panel) that did not contain the primers to detect the </w:t>
      </w:r>
      <w:r w:rsidRPr="00353AB8">
        <w:rPr>
          <w:rFonts w:ascii="Franklin Gothic Book" w:hAnsi="Franklin Gothic Book"/>
          <w:i/>
          <w:iCs/>
          <w:sz w:val="22"/>
        </w:rPr>
        <w:t>FGFR2</w:t>
      </w:r>
      <w:r w:rsidRPr="00353AB8">
        <w:rPr>
          <w:rFonts w:ascii="Franklin Gothic Book" w:hAnsi="Franklin Gothic Book"/>
          <w:sz w:val="22"/>
        </w:rPr>
        <w:t>::</w:t>
      </w:r>
      <w:r w:rsidRPr="00353AB8">
        <w:rPr>
          <w:rFonts w:ascii="Franklin Gothic Book" w:hAnsi="Franklin Gothic Book"/>
          <w:i/>
          <w:iCs/>
          <w:sz w:val="22"/>
        </w:rPr>
        <w:t>DBP</w:t>
      </w:r>
      <w:r w:rsidRPr="00353AB8">
        <w:rPr>
          <w:rFonts w:ascii="Franklin Gothic Book" w:hAnsi="Franklin Gothic Book"/>
          <w:sz w:val="22"/>
        </w:rPr>
        <w:t xml:space="preserve"> and </w:t>
      </w:r>
      <w:r w:rsidRPr="00353AB8">
        <w:rPr>
          <w:rFonts w:ascii="Franklin Gothic Book" w:hAnsi="Franklin Gothic Book"/>
          <w:i/>
          <w:iCs/>
          <w:sz w:val="22"/>
        </w:rPr>
        <w:t>FGFR2</w:t>
      </w:r>
      <w:r w:rsidRPr="00353AB8">
        <w:rPr>
          <w:rFonts w:ascii="Franklin Gothic Book" w:hAnsi="Franklin Gothic Book"/>
          <w:sz w:val="22"/>
        </w:rPr>
        <w:t>::</w:t>
      </w:r>
      <w:r w:rsidRPr="00353AB8">
        <w:rPr>
          <w:rFonts w:ascii="Franklin Gothic Book" w:hAnsi="Franklin Gothic Book"/>
          <w:i/>
          <w:iCs/>
          <w:sz w:val="22"/>
        </w:rPr>
        <w:t>ATE1</w:t>
      </w:r>
      <w:r w:rsidRPr="00353AB8">
        <w:rPr>
          <w:rFonts w:ascii="Franklin Gothic Book" w:hAnsi="Franklin Gothic Book"/>
          <w:sz w:val="22"/>
        </w:rPr>
        <w:t xml:space="preserve"> fusions.</w:t>
      </w:r>
    </w:p>
    <w:p w14:paraId="477E8AB0" w14:textId="4182B6E0" w:rsidR="001F2B7A" w:rsidRPr="00353AB8" w:rsidRDefault="001F2B7A" w:rsidP="00353AB8">
      <w:pPr>
        <w:jc w:val="left"/>
        <w:rPr>
          <w:rFonts w:ascii="Franklin Gothic Book" w:hAnsi="Franklin Gothic Book"/>
          <w:sz w:val="22"/>
        </w:rPr>
      </w:pPr>
      <w:r w:rsidRPr="00353AB8">
        <w:rPr>
          <w:rFonts w:ascii="Franklin Gothic Book" w:hAnsi="Franklin Gothic Book"/>
          <w:sz w:val="22"/>
        </w:rPr>
        <w:t>The success rate of the centres in the NGS-only arm (Group B) was 81% (13/16). 62.5% (10/16) of the participating centres were not able to correctly analyse Case 10.</w:t>
      </w:r>
      <w:r w:rsidR="009B1B01" w:rsidRPr="00353AB8">
        <w:rPr>
          <w:rFonts w:ascii="Franklin Gothic Book" w:hAnsi="Franklin Gothic Book"/>
          <w:sz w:val="22"/>
        </w:rPr>
        <w:t xml:space="preserve"> The authors of Neumann 2023 stated that a</w:t>
      </w:r>
      <w:r w:rsidRPr="00353AB8">
        <w:rPr>
          <w:rFonts w:ascii="Franklin Gothic Book" w:hAnsi="Franklin Gothic Book"/>
          <w:sz w:val="22"/>
        </w:rPr>
        <w:t xml:space="preserve"> comprehensive re</w:t>
      </w:r>
      <w:r w:rsidR="00C14452" w:rsidRPr="00353AB8">
        <w:rPr>
          <w:rFonts w:ascii="Franklin Gothic Book" w:hAnsi="Franklin Gothic Book"/>
          <w:sz w:val="22"/>
        </w:rPr>
        <w:noBreakHyphen/>
      </w:r>
      <w:r w:rsidRPr="00353AB8">
        <w:rPr>
          <w:rFonts w:ascii="Franklin Gothic Book" w:hAnsi="Franklin Gothic Book"/>
          <w:sz w:val="22"/>
        </w:rPr>
        <w:t xml:space="preserve">analysis showed that the material was not the issue, but rather the NGS panels and technologies used. </w:t>
      </w:r>
      <w:r w:rsidR="008F7A49" w:rsidRPr="00353AB8">
        <w:rPr>
          <w:rFonts w:ascii="Franklin Gothic Book" w:hAnsi="Franklin Gothic Book"/>
          <w:sz w:val="22"/>
        </w:rPr>
        <w:t xml:space="preserve">For example, </w:t>
      </w:r>
      <w:r w:rsidRPr="00353AB8">
        <w:rPr>
          <w:rFonts w:ascii="Franklin Gothic Book" w:hAnsi="Franklin Gothic Book"/>
          <w:sz w:val="22"/>
        </w:rPr>
        <w:t xml:space="preserve">6.25% (1/16) and 12.5% (2/16) of the institutes, respectively, failed to correctly identify fusions in Cases 4 and 7 when using amplicon-based panels because no primers for the partner gene were included. </w:t>
      </w:r>
      <w:r w:rsidR="00E706EE" w:rsidRPr="00353AB8">
        <w:rPr>
          <w:rFonts w:ascii="Franklin Gothic Book" w:hAnsi="Franklin Gothic Book"/>
          <w:sz w:val="22"/>
        </w:rPr>
        <w:t xml:space="preserve">One of the assays used lacked a </w:t>
      </w:r>
      <w:r w:rsidR="00E706EE" w:rsidRPr="00353AB8">
        <w:rPr>
          <w:rFonts w:ascii="Franklin Gothic Book" w:hAnsi="Franklin Gothic Book"/>
          <w:i/>
          <w:iCs/>
          <w:sz w:val="22"/>
        </w:rPr>
        <w:t>FGFR2</w:t>
      </w:r>
      <w:r w:rsidR="00976E14" w:rsidRPr="00353AB8">
        <w:rPr>
          <w:rFonts w:ascii="Franklin Gothic Book" w:hAnsi="Franklin Gothic Book"/>
          <w:sz w:val="22"/>
        </w:rPr>
        <w:t xml:space="preserve"> imbalance test </w:t>
      </w:r>
      <w:r w:rsidR="007F6B70" w:rsidRPr="00353AB8">
        <w:rPr>
          <w:rFonts w:ascii="Franklin Gothic Book" w:hAnsi="Franklin Gothic Book"/>
          <w:sz w:val="22"/>
        </w:rPr>
        <w:t xml:space="preserve">(or the partner primers) </w:t>
      </w:r>
      <w:r w:rsidR="00E338D8" w:rsidRPr="00353AB8">
        <w:rPr>
          <w:rFonts w:ascii="Franklin Gothic Book" w:hAnsi="Franklin Gothic Book"/>
          <w:sz w:val="22"/>
        </w:rPr>
        <w:t xml:space="preserve">so it did not detect some variants, and another assay had an imbalance test </w:t>
      </w:r>
      <w:r w:rsidR="007F6B70" w:rsidRPr="00353AB8">
        <w:rPr>
          <w:rFonts w:ascii="Franklin Gothic Book" w:hAnsi="Franklin Gothic Book"/>
          <w:sz w:val="22"/>
        </w:rPr>
        <w:t xml:space="preserve">which did not identify the gene fusion event. </w:t>
      </w:r>
    </w:p>
    <w:p w14:paraId="3F4C62C4" w14:textId="7BE5458D" w:rsidR="00756CD8" w:rsidRPr="00353AB8" w:rsidRDefault="00756CD8" w:rsidP="00353AB8">
      <w:pPr>
        <w:jc w:val="left"/>
        <w:rPr>
          <w:rFonts w:ascii="Franklin Gothic Book" w:hAnsi="Franklin Gothic Book"/>
          <w:sz w:val="22"/>
        </w:rPr>
      </w:pPr>
      <w:r w:rsidRPr="00353AB8">
        <w:rPr>
          <w:rFonts w:ascii="Franklin Gothic Book" w:hAnsi="Franklin Gothic Book"/>
          <w:sz w:val="22"/>
        </w:rPr>
        <w:t xml:space="preserve">Specifically, Neuman 2023 noted that Case 10 contains a </w:t>
      </w:r>
      <w:r w:rsidRPr="00353AB8">
        <w:rPr>
          <w:rFonts w:ascii="Franklin Gothic Book" w:hAnsi="Franklin Gothic Book"/>
          <w:i/>
          <w:iCs/>
          <w:sz w:val="22"/>
        </w:rPr>
        <w:t>FGFR2</w:t>
      </w:r>
      <w:r w:rsidRPr="00353AB8">
        <w:rPr>
          <w:rFonts w:ascii="Franklin Gothic Book" w:hAnsi="Franklin Gothic Book"/>
          <w:sz w:val="22"/>
        </w:rPr>
        <w:t>:</w:t>
      </w:r>
      <w:r w:rsidRPr="00353AB8">
        <w:rPr>
          <w:rFonts w:ascii="Franklin Gothic Book" w:hAnsi="Franklin Gothic Book"/>
          <w:i/>
          <w:iCs/>
          <w:sz w:val="22"/>
        </w:rPr>
        <w:t>:ATE1</w:t>
      </w:r>
      <w:r w:rsidRPr="00353AB8">
        <w:rPr>
          <w:rFonts w:ascii="Franklin Gothic Book" w:hAnsi="Franklin Gothic Book"/>
          <w:sz w:val="22"/>
        </w:rPr>
        <w:t xml:space="preserve"> fusion, causing an out-of-frame fusion transcript containing only the 3’-untranslated region (UTR) of the </w:t>
      </w:r>
      <w:r w:rsidRPr="00353AB8">
        <w:rPr>
          <w:rFonts w:ascii="Franklin Gothic Book" w:hAnsi="Franklin Gothic Book"/>
          <w:i/>
          <w:iCs/>
          <w:sz w:val="22"/>
        </w:rPr>
        <w:t>ATE1</w:t>
      </w:r>
      <w:r w:rsidRPr="00353AB8">
        <w:rPr>
          <w:rFonts w:ascii="Franklin Gothic Book" w:hAnsi="Franklin Gothic Book"/>
          <w:sz w:val="22"/>
        </w:rPr>
        <w:t xml:space="preserve"> gene. This fusion is defined by the loss of the inhibitory domains/motifs in exon 18 of </w:t>
      </w:r>
      <w:r w:rsidRPr="00353AB8">
        <w:rPr>
          <w:rFonts w:ascii="Franklin Gothic Book" w:hAnsi="Franklin Gothic Book"/>
          <w:i/>
          <w:iCs/>
          <w:sz w:val="22"/>
        </w:rPr>
        <w:t>FGFR2</w:t>
      </w:r>
      <w:r w:rsidRPr="00353AB8">
        <w:rPr>
          <w:rFonts w:ascii="Franklin Gothic Book" w:hAnsi="Franklin Gothic Book"/>
          <w:sz w:val="22"/>
        </w:rPr>
        <w:t xml:space="preserve">. The gene locus of </w:t>
      </w:r>
      <w:r w:rsidRPr="00353AB8">
        <w:rPr>
          <w:rFonts w:ascii="Franklin Gothic Book" w:hAnsi="Franklin Gothic Book"/>
          <w:i/>
          <w:iCs/>
          <w:sz w:val="22"/>
        </w:rPr>
        <w:t>ATE1</w:t>
      </w:r>
      <w:r w:rsidRPr="00353AB8">
        <w:rPr>
          <w:rFonts w:ascii="Franklin Gothic Book" w:hAnsi="Franklin Gothic Book"/>
          <w:sz w:val="22"/>
        </w:rPr>
        <w:t xml:space="preserve"> is directly downstream of the </w:t>
      </w:r>
      <w:r w:rsidRPr="00353AB8">
        <w:rPr>
          <w:rFonts w:ascii="Franklin Gothic Book" w:hAnsi="Franklin Gothic Book"/>
          <w:i/>
          <w:iCs/>
          <w:sz w:val="22"/>
        </w:rPr>
        <w:t>FGFR2</w:t>
      </w:r>
      <w:r w:rsidRPr="00353AB8">
        <w:rPr>
          <w:rFonts w:ascii="Franklin Gothic Book" w:hAnsi="Franklin Gothic Book"/>
          <w:sz w:val="22"/>
        </w:rPr>
        <w:t xml:space="preserve"> gene locus. This rearrangement leads to a fusion of </w:t>
      </w:r>
      <w:r w:rsidRPr="00353AB8">
        <w:rPr>
          <w:rFonts w:ascii="Franklin Gothic Book" w:hAnsi="Franklin Gothic Book"/>
          <w:i/>
          <w:iCs/>
          <w:sz w:val="22"/>
        </w:rPr>
        <w:t>FGFR2</w:t>
      </w:r>
      <w:r w:rsidRPr="00353AB8">
        <w:rPr>
          <w:rFonts w:ascii="Franklin Gothic Book" w:hAnsi="Franklin Gothic Book"/>
          <w:sz w:val="22"/>
        </w:rPr>
        <w:t xml:space="preserve"> and </w:t>
      </w:r>
      <w:r w:rsidRPr="00353AB8">
        <w:rPr>
          <w:rFonts w:ascii="Franklin Gothic Book" w:hAnsi="Franklin Gothic Book"/>
          <w:i/>
          <w:iCs/>
          <w:sz w:val="22"/>
        </w:rPr>
        <w:t>ATE1</w:t>
      </w:r>
      <w:r w:rsidRPr="00353AB8">
        <w:rPr>
          <w:rFonts w:ascii="Franklin Gothic Book" w:hAnsi="Franklin Gothic Book"/>
          <w:sz w:val="22"/>
        </w:rPr>
        <w:t xml:space="preserve"> where the fluorochrome-labelled probes are located further upstream of both </w:t>
      </w:r>
      <w:r w:rsidRPr="00353AB8">
        <w:rPr>
          <w:rFonts w:ascii="Franklin Gothic Book" w:hAnsi="Franklin Gothic Book"/>
          <w:i/>
          <w:iCs/>
          <w:sz w:val="22"/>
        </w:rPr>
        <w:t>FGFR2</w:t>
      </w:r>
      <w:r w:rsidRPr="00353AB8">
        <w:rPr>
          <w:rFonts w:ascii="Franklin Gothic Book" w:hAnsi="Franklin Gothic Book"/>
          <w:sz w:val="22"/>
        </w:rPr>
        <w:t xml:space="preserve"> and </w:t>
      </w:r>
      <w:r w:rsidRPr="00353AB8">
        <w:rPr>
          <w:rFonts w:ascii="Franklin Gothic Book" w:hAnsi="Franklin Gothic Book"/>
          <w:i/>
          <w:iCs/>
          <w:sz w:val="22"/>
        </w:rPr>
        <w:t>ATE1</w:t>
      </w:r>
      <w:r w:rsidRPr="00353AB8">
        <w:rPr>
          <w:rFonts w:ascii="Franklin Gothic Book" w:hAnsi="Franklin Gothic Book"/>
          <w:sz w:val="22"/>
        </w:rPr>
        <w:t>. The authors considered this case is challenging because it can hardly be detected using a break-apart FISH and NGS-based detection requires specific settings of the bioinformatics pipeline.</w:t>
      </w:r>
    </w:p>
    <w:p w14:paraId="4E1F2FC1" w14:textId="77777777" w:rsidR="001F5EE5" w:rsidRPr="00353AB8" w:rsidRDefault="001F5EE5" w:rsidP="00353AB8">
      <w:pPr>
        <w:jc w:val="left"/>
        <w:rPr>
          <w:rFonts w:ascii="Franklin Gothic Book" w:hAnsi="Franklin Gothic Book"/>
          <w:sz w:val="22"/>
        </w:rPr>
      </w:pPr>
      <w:r w:rsidRPr="00353AB8">
        <w:rPr>
          <w:rFonts w:ascii="Franklin Gothic Book" w:hAnsi="Franklin Gothic Book"/>
          <w:sz w:val="22"/>
        </w:rPr>
        <w:t>The submission did not comment on the reliability of testing described in Neuman 2023 but considered that in terms of applying these results to the Australian setting, as noted in the MSAC Guidelines (p113), while inter-laboratory variability/agreement should be considered, “any variability between laboratories should be mitigated (or controlled) by an appropriate National Association of Testing Authority–approved quality assurance program.”</w:t>
      </w:r>
    </w:p>
    <w:p w14:paraId="3EA64998" w14:textId="2AE2897C" w:rsidR="001F5EE5" w:rsidRPr="00353AB8" w:rsidRDefault="001F5EE5" w:rsidP="00353AB8">
      <w:pPr>
        <w:jc w:val="left"/>
        <w:rPr>
          <w:rFonts w:ascii="Franklin Gothic Book" w:hAnsi="Franklin Gothic Book"/>
          <w:sz w:val="22"/>
        </w:rPr>
      </w:pPr>
      <w:r w:rsidRPr="00353AB8">
        <w:rPr>
          <w:rFonts w:ascii="Franklin Gothic Book" w:hAnsi="Franklin Gothic Book"/>
          <w:sz w:val="22"/>
        </w:rPr>
        <w:t>Overall,</w:t>
      </w:r>
      <w:r w:rsidR="005F03DB" w:rsidRPr="00353AB8">
        <w:rPr>
          <w:rFonts w:ascii="Franklin Gothic Book" w:hAnsi="Franklin Gothic Book"/>
          <w:sz w:val="22"/>
        </w:rPr>
        <w:t xml:space="preserve"> the </w:t>
      </w:r>
      <w:r w:rsidR="00DA411C" w:rsidRPr="00353AB8">
        <w:rPr>
          <w:rFonts w:ascii="Franklin Gothic Book" w:hAnsi="Franklin Gothic Book"/>
          <w:sz w:val="22"/>
        </w:rPr>
        <w:t>commentary</w:t>
      </w:r>
      <w:r w:rsidR="005F03DB" w:rsidRPr="00353AB8">
        <w:rPr>
          <w:rFonts w:ascii="Franklin Gothic Book" w:hAnsi="Franklin Gothic Book"/>
          <w:sz w:val="22"/>
        </w:rPr>
        <w:t xml:space="preserve"> considered that</w:t>
      </w:r>
      <w:r w:rsidRPr="00353AB8">
        <w:rPr>
          <w:rFonts w:ascii="Franklin Gothic Book" w:hAnsi="Franklin Gothic Book"/>
          <w:sz w:val="22"/>
        </w:rPr>
        <w:t xml:space="preserve"> it was unclear if the NGS testing reliability described in Neuman 2023, which was low, would be reflective of Australian practice. In particular, NGS testing appears to be able to correctly identify the negative results, but much less reliable when it comes to identifying positive results. </w:t>
      </w:r>
    </w:p>
    <w:p w14:paraId="38F8290A" w14:textId="77777777" w:rsidR="00D44F9D" w:rsidRPr="00353AB8" w:rsidRDefault="00D44F9D" w:rsidP="00565A06">
      <w:pPr>
        <w:pStyle w:val="Heading4"/>
        <w:rPr>
          <w:rFonts w:ascii="Franklin Gothic Book" w:hAnsi="Franklin Gothic Book"/>
          <w:color w:val="auto"/>
        </w:rPr>
      </w:pPr>
      <w:r w:rsidRPr="00353AB8">
        <w:rPr>
          <w:rFonts w:ascii="Franklin Gothic Book" w:hAnsi="Franklin Gothic Book"/>
          <w:color w:val="auto"/>
        </w:rPr>
        <w:t>Prognostic evidence</w:t>
      </w:r>
    </w:p>
    <w:p w14:paraId="3DD55F6E" w14:textId="6740D7BD"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The </w:t>
      </w:r>
      <w:r w:rsidR="002E2824" w:rsidRPr="00353AB8">
        <w:rPr>
          <w:rFonts w:ascii="Franklin Gothic Book" w:hAnsi="Franklin Gothic Book"/>
          <w:sz w:val="22"/>
        </w:rPr>
        <w:t>submission</w:t>
      </w:r>
      <w:r w:rsidRPr="00353AB8">
        <w:rPr>
          <w:rFonts w:ascii="Franklin Gothic Book" w:hAnsi="Franklin Gothic Book"/>
          <w:sz w:val="22"/>
        </w:rPr>
        <w:t xml:space="preserve"> identified seven citations providing data on the prognostic impact of </w:t>
      </w:r>
      <w:r w:rsidRPr="00353AB8">
        <w:rPr>
          <w:rFonts w:ascii="Franklin Gothic Book" w:hAnsi="Franklin Gothic Book"/>
          <w:i/>
          <w:iCs/>
          <w:sz w:val="22"/>
        </w:rPr>
        <w:t>FGFR2</w:t>
      </w:r>
      <w:r w:rsidRPr="00353AB8">
        <w:rPr>
          <w:rFonts w:ascii="Franklin Gothic Book" w:hAnsi="Franklin Gothic Book"/>
          <w:sz w:val="22"/>
        </w:rPr>
        <w:t xml:space="preserve"> alteration testing in patients with CCA. These included a meta-analysis by Niu et al (2024), and the six individual studies included in that meta-analysis (Abou Alfa 2022, Boerner 2021, Buckarma 2022, Javel 2016, Pu 2021, Rizzato 2022). </w:t>
      </w:r>
    </w:p>
    <w:p w14:paraId="3DBACAA4" w14:textId="0E11D3A7"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The meta-analysis was based on a comprehensive search to July 2023 conducted across the PubMed, Embase, Web of Science, and the Cochrane Library databases, with the objective being to identify relevant publications comparing the prognosis of </w:t>
      </w:r>
      <w:r w:rsidRPr="00353AB8">
        <w:rPr>
          <w:rFonts w:ascii="Franklin Gothic Book" w:hAnsi="Franklin Gothic Book"/>
          <w:i/>
          <w:iCs/>
          <w:sz w:val="22"/>
        </w:rPr>
        <w:t>FGFR2</w:t>
      </w:r>
      <w:r w:rsidRPr="00353AB8">
        <w:rPr>
          <w:rFonts w:ascii="Franklin Gothic Book" w:hAnsi="Franklin Gothic Book"/>
          <w:sz w:val="22"/>
        </w:rPr>
        <w:t xml:space="preserve"> alterations and no </w:t>
      </w:r>
      <w:r w:rsidRPr="00353AB8">
        <w:rPr>
          <w:rFonts w:ascii="Franklin Gothic Book" w:hAnsi="Franklin Gothic Book"/>
          <w:i/>
          <w:iCs/>
          <w:sz w:val="22"/>
        </w:rPr>
        <w:t>FGFR2</w:t>
      </w:r>
      <w:r w:rsidRPr="00353AB8">
        <w:rPr>
          <w:rFonts w:ascii="Franklin Gothic Book" w:hAnsi="Franklin Gothic Book"/>
          <w:sz w:val="22"/>
        </w:rPr>
        <w:t xml:space="preserve"> alterations groups among patients with CCA undergoing surgical resection or other systemic therapies. The primary outcome indicators were overall survival </w:t>
      </w:r>
      <w:r w:rsidR="00F377D1" w:rsidRPr="00353AB8">
        <w:rPr>
          <w:rFonts w:ascii="Franklin Gothic Book" w:hAnsi="Franklin Gothic Book"/>
          <w:sz w:val="22"/>
        </w:rPr>
        <w:t xml:space="preserve">(OS) </w:t>
      </w:r>
      <w:r w:rsidRPr="00353AB8">
        <w:rPr>
          <w:rFonts w:ascii="Franklin Gothic Book" w:hAnsi="Franklin Gothic Book"/>
          <w:sz w:val="22"/>
        </w:rPr>
        <w:t>and disease-free survival</w:t>
      </w:r>
      <w:r w:rsidR="00F745EF" w:rsidRPr="00353AB8">
        <w:rPr>
          <w:rFonts w:ascii="Franklin Gothic Book" w:hAnsi="Franklin Gothic Book"/>
          <w:sz w:val="22"/>
        </w:rPr>
        <w:t xml:space="preserve"> (DFS)</w:t>
      </w:r>
      <w:r w:rsidRPr="00353AB8">
        <w:rPr>
          <w:rFonts w:ascii="Franklin Gothic Book" w:hAnsi="Franklin Gothic Book"/>
          <w:sz w:val="22"/>
        </w:rPr>
        <w:t>. Quality of the individual included studies was assessed using the Newcastle-Ottawa Quality Assessment Scale (reported as the NOS score).</w:t>
      </w:r>
    </w:p>
    <w:p w14:paraId="41FCBA96" w14:textId="67045030"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A summary of the main characteristics of the studies as reported in the Niu 2024 meta-analysis is provided in</w:t>
      </w:r>
      <w:r w:rsidR="00D1701D" w:rsidRPr="00353AB8">
        <w:rPr>
          <w:rFonts w:ascii="Franklin Gothic Book" w:hAnsi="Franklin Gothic Book"/>
          <w:sz w:val="22"/>
        </w:rPr>
        <w:t xml:space="preserv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_Ref198447447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11</w:t>
      </w:r>
      <w:r w:rsidR="001F5863" w:rsidRPr="001F5863">
        <w:rPr>
          <w:rFonts w:ascii="Franklin Gothic Book" w:hAnsi="Franklin Gothic Book"/>
          <w:sz w:val="22"/>
        </w:rPr>
        <w:fldChar w:fldCharType="end"/>
      </w:r>
      <w:r w:rsidRPr="00353AB8">
        <w:rPr>
          <w:rFonts w:ascii="Franklin Gothic Book" w:hAnsi="Franklin Gothic Book"/>
          <w:sz w:val="22"/>
        </w:rPr>
        <w:t xml:space="preserve">. </w:t>
      </w:r>
    </w:p>
    <w:p w14:paraId="178EF180" w14:textId="22D8C08C" w:rsidR="00F21E64" w:rsidRPr="00B27879" w:rsidRDefault="009D316D" w:rsidP="009D316D">
      <w:pPr>
        <w:pStyle w:val="Caption"/>
      </w:pPr>
      <w:bookmarkStart w:id="49" w:name="_Ref198447447"/>
      <w:bookmarkStart w:id="50" w:name="_Ref187690860"/>
      <w:r>
        <w:lastRenderedPageBreak/>
        <w:t xml:space="preserve">Table </w:t>
      </w:r>
      <w:r>
        <w:fldChar w:fldCharType="begin"/>
      </w:r>
      <w:r>
        <w:instrText>SEQ Table \* ARABIC</w:instrText>
      </w:r>
      <w:r>
        <w:fldChar w:fldCharType="separate"/>
      </w:r>
      <w:r w:rsidR="005B1C7E">
        <w:rPr>
          <w:noProof/>
        </w:rPr>
        <w:t>11</w:t>
      </w:r>
      <w:r>
        <w:fldChar w:fldCharType="end"/>
      </w:r>
      <w:bookmarkEnd w:id="49"/>
      <w:r>
        <w:tab/>
      </w:r>
      <w:bookmarkEnd w:id="50"/>
      <w:r w:rsidR="00F21E64" w:rsidRPr="00B27879">
        <w:t>Characteristics of studies included in the Niu 2024 meta-analysis</w:t>
      </w:r>
    </w:p>
    <w:tbl>
      <w:tblPr>
        <w:tblStyle w:val="PBACTableStyle"/>
        <w:tblW w:w="5000" w:type="pct"/>
        <w:tblCellMar>
          <w:left w:w="29" w:type="dxa"/>
          <w:right w:w="29" w:type="dxa"/>
        </w:tblCellMar>
        <w:tblLook w:val="04A0" w:firstRow="1" w:lastRow="0" w:firstColumn="1" w:lastColumn="0" w:noHBand="0" w:noVBand="1"/>
      </w:tblPr>
      <w:tblGrid>
        <w:gridCol w:w="875"/>
        <w:gridCol w:w="1177"/>
        <w:gridCol w:w="970"/>
        <w:gridCol w:w="1067"/>
        <w:gridCol w:w="1037"/>
        <w:gridCol w:w="629"/>
        <w:gridCol w:w="811"/>
        <w:gridCol w:w="988"/>
        <w:gridCol w:w="844"/>
        <w:gridCol w:w="618"/>
      </w:tblGrid>
      <w:tr w:rsidR="007900E9" w:rsidRPr="00B27879" w14:paraId="7718CCD9"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1D36948" w14:textId="77777777" w:rsidR="00F21E64" w:rsidRPr="00B27879" w:rsidRDefault="00F21E64" w:rsidP="00E174B5">
            <w:pPr>
              <w:pStyle w:val="TableText"/>
              <w:keepNext/>
              <w:keepLines/>
              <w:rPr>
                <w:color w:val="auto"/>
                <w:lang w:val="en-AU" w:bidi="en-US"/>
              </w:rPr>
            </w:pPr>
            <w:r w:rsidRPr="00B27879">
              <w:rPr>
                <w:color w:val="auto"/>
                <w:lang w:val="en-AU" w:bidi="en-US"/>
              </w:rPr>
              <w:t>Citation</w:t>
            </w:r>
          </w:p>
        </w:tc>
        <w:tc>
          <w:tcPr>
            <w:tcW w:w="653" w:type="pct"/>
          </w:tcPr>
          <w:p w14:paraId="067AC853"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Study type</w:t>
            </w:r>
          </w:p>
          <w:p w14:paraId="2F63D179"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(location)</w:t>
            </w:r>
          </w:p>
        </w:tc>
        <w:tc>
          <w:tcPr>
            <w:tcW w:w="538" w:type="pct"/>
          </w:tcPr>
          <w:p w14:paraId="2367E713"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Study interval</w:t>
            </w:r>
          </w:p>
        </w:tc>
        <w:tc>
          <w:tcPr>
            <w:tcW w:w="592" w:type="pct"/>
          </w:tcPr>
          <w:p w14:paraId="64188EC1"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Tumour type: N</w:t>
            </w:r>
          </w:p>
        </w:tc>
        <w:tc>
          <w:tcPr>
            <w:tcW w:w="575" w:type="pct"/>
          </w:tcPr>
          <w:p w14:paraId="1D296D90"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Group: N</w:t>
            </w:r>
          </w:p>
        </w:tc>
        <w:tc>
          <w:tcPr>
            <w:tcW w:w="349" w:type="pct"/>
          </w:tcPr>
          <w:p w14:paraId="595CF2EB"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Mean age (y)</w:t>
            </w:r>
          </w:p>
        </w:tc>
        <w:tc>
          <w:tcPr>
            <w:tcW w:w="450" w:type="pct"/>
          </w:tcPr>
          <w:p w14:paraId="5DE017C2"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Sex (n)</w:t>
            </w:r>
          </w:p>
        </w:tc>
        <w:tc>
          <w:tcPr>
            <w:tcW w:w="548" w:type="pct"/>
          </w:tcPr>
          <w:p w14:paraId="78FC4703"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Therapy</w:t>
            </w:r>
          </w:p>
        </w:tc>
        <w:tc>
          <w:tcPr>
            <w:tcW w:w="468" w:type="pct"/>
          </w:tcPr>
          <w:p w14:paraId="013D409E"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FU</w:t>
            </w:r>
          </w:p>
          <w:p w14:paraId="25E4B0E9"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(months)</w:t>
            </w:r>
          </w:p>
        </w:tc>
        <w:tc>
          <w:tcPr>
            <w:tcW w:w="343" w:type="pct"/>
          </w:tcPr>
          <w:p w14:paraId="5163A75F" w14:textId="77777777" w:rsidR="00F21E64" w:rsidRPr="00B27879" w:rsidRDefault="00F21E64" w:rsidP="00E174B5">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NOS score</w:t>
            </w:r>
            <w:r w:rsidRPr="00B27879">
              <w:rPr>
                <w:color w:val="auto"/>
                <w:vertAlign w:val="superscript"/>
                <w:lang w:val="en-AU" w:bidi="en-US"/>
              </w:rPr>
              <w:t>d</w:t>
            </w:r>
          </w:p>
        </w:tc>
      </w:tr>
      <w:tr w:rsidR="007900E9" w:rsidRPr="00B27879" w14:paraId="74C0932B"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0D77A78E" w14:textId="77777777" w:rsidR="00F21E64" w:rsidRPr="00B27879" w:rsidRDefault="00F21E64" w:rsidP="00E174B5">
            <w:pPr>
              <w:pStyle w:val="TableText"/>
              <w:keepNext/>
              <w:keepLines/>
              <w:rPr>
                <w:color w:val="auto"/>
                <w:lang w:val="en-AU" w:bidi="en-US"/>
              </w:rPr>
            </w:pPr>
            <w:r w:rsidRPr="00B27879">
              <w:rPr>
                <w:color w:val="auto"/>
                <w:lang w:val="en-AU" w:bidi="en-US"/>
              </w:rPr>
              <w:t>Abou-Alfa 2022</w:t>
            </w:r>
          </w:p>
        </w:tc>
        <w:tc>
          <w:tcPr>
            <w:tcW w:w="653" w:type="pct"/>
          </w:tcPr>
          <w:p w14:paraId="4263BCB1"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w:t>
            </w:r>
          </w:p>
          <w:p w14:paraId="074A9E6F"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538" w:type="pct"/>
          </w:tcPr>
          <w:p w14:paraId="54ACAA6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2013-2019</w:t>
            </w:r>
          </w:p>
        </w:tc>
        <w:tc>
          <w:tcPr>
            <w:tcW w:w="592" w:type="pct"/>
          </w:tcPr>
          <w:p w14:paraId="7F129725"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124</w:t>
            </w:r>
          </w:p>
        </w:tc>
        <w:tc>
          <w:tcPr>
            <w:tcW w:w="575" w:type="pct"/>
          </w:tcPr>
          <w:p w14:paraId="073D633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15</w:t>
            </w:r>
          </w:p>
          <w:p w14:paraId="59135FA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109</w:t>
            </w:r>
          </w:p>
        </w:tc>
        <w:tc>
          <w:tcPr>
            <w:tcW w:w="349" w:type="pct"/>
          </w:tcPr>
          <w:p w14:paraId="5748CE5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58.0</w:t>
            </w:r>
          </w:p>
          <w:p w14:paraId="1F20256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64.0</w:t>
            </w:r>
          </w:p>
        </w:tc>
        <w:tc>
          <w:tcPr>
            <w:tcW w:w="450" w:type="pct"/>
          </w:tcPr>
          <w:p w14:paraId="2F471BA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M=6; F=9</w:t>
            </w:r>
          </w:p>
          <w:p w14:paraId="55FBF96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M=53; F=62</w:t>
            </w:r>
          </w:p>
        </w:tc>
        <w:tc>
          <w:tcPr>
            <w:tcW w:w="548" w:type="pct"/>
          </w:tcPr>
          <w:p w14:paraId="3E9CDA29"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Systemic</w:t>
            </w:r>
          </w:p>
        </w:tc>
        <w:tc>
          <w:tcPr>
            <w:tcW w:w="468" w:type="pct"/>
          </w:tcPr>
          <w:p w14:paraId="226A31A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160</w:t>
            </w:r>
          </w:p>
        </w:tc>
        <w:tc>
          <w:tcPr>
            <w:tcW w:w="343" w:type="pct"/>
          </w:tcPr>
          <w:p w14:paraId="5EFEEC6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8</w:t>
            </w:r>
          </w:p>
        </w:tc>
      </w:tr>
      <w:tr w:rsidR="007900E9" w:rsidRPr="00B27879" w14:paraId="20A7E92E"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1ADAD1B5" w14:textId="77777777" w:rsidR="00F21E64" w:rsidRPr="00B27879" w:rsidRDefault="00F21E64" w:rsidP="00E174B5">
            <w:pPr>
              <w:pStyle w:val="TableText"/>
              <w:keepNext/>
              <w:keepLines/>
              <w:rPr>
                <w:color w:val="auto"/>
                <w:lang w:val="en-AU" w:bidi="en-US"/>
              </w:rPr>
            </w:pPr>
            <w:r w:rsidRPr="00B27879">
              <w:rPr>
                <w:color w:val="auto"/>
                <w:lang w:val="en-AU" w:bidi="en-US"/>
              </w:rPr>
              <w:t>Boerner 2021</w:t>
            </w:r>
          </w:p>
        </w:tc>
        <w:tc>
          <w:tcPr>
            <w:tcW w:w="653" w:type="pct"/>
          </w:tcPr>
          <w:p w14:paraId="57ABD49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w:t>
            </w:r>
          </w:p>
          <w:p w14:paraId="760845ED"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538" w:type="pct"/>
          </w:tcPr>
          <w:p w14:paraId="366F8C76"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1993-2019</w:t>
            </w:r>
          </w:p>
        </w:tc>
        <w:tc>
          <w:tcPr>
            <w:tcW w:w="592" w:type="pct"/>
          </w:tcPr>
          <w:p w14:paraId="706C4BF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412</w:t>
            </w:r>
          </w:p>
        </w:tc>
        <w:tc>
          <w:tcPr>
            <w:tcW w:w="575" w:type="pct"/>
          </w:tcPr>
          <w:p w14:paraId="05ABB01B"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92</w:t>
            </w:r>
          </w:p>
          <w:p w14:paraId="268FC012"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320</w:t>
            </w:r>
          </w:p>
        </w:tc>
        <w:tc>
          <w:tcPr>
            <w:tcW w:w="349" w:type="pct"/>
          </w:tcPr>
          <w:p w14:paraId="73C83838"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NR</w:t>
            </w:r>
          </w:p>
        </w:tc>
        <w:tc>
          <w:tcPr>
            <w:tcW w:w="450" w:type="pct"/>
          </w:tcPr>
          <w:p w14:paraId="6321B9B2"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NR</w:t>
            </w:r>
          </w:p>
        </w:tc>
        <w:tc>
          <w:tcPr>
            <w:tcW w:w="548" w:type="pct"/>
          </w:tcPr>
          <w:p w14:paraId="1FDDDD86"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Resection</w:t>
            </w:r>
          </w:p>
        </w:tc>
        <w:tc>
          <w:tcPr>
            <w:tcW w:w="468" w:type="pct"/>
          </w:tcPr>
          <w:p w14:paraId="1D881AD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60</w:t>
            </w:r>
          </w:p>
        </w:tc>
        <w:tc>
          <w:tcPr>
            <w:tcW w:w="343" w:type="pct"/>
          </w:tcPr>
          <w:p w14:paraId="0979CC86"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7</w:t>
            </w:r>
          </w:p>
        </w:tc>
      </w:tr>
      <w:tr w:rsidR="007900E9" w:rsidRPr="00B27879" w14:paraId="38973EBA"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64A93B89" w14:textId="77777777" w:rsidR="00F21E64" w:rsidRPr="00B27879" w:rsidRDefault="00F21E64" w:rsidP="00E174B5">
            <w:pPr>
              <w:pStyle w:val="TableText"/>
              <w:keepNext/>
              <w:keepLines/>
              <w:rPr>
                <w:color w:val="auto"/>
                <w:lang w:val="en-AU" w:bidi="en-US"/>
              </w:rPr>
            </w:pPr>
            <w:r w:rsidRPr="00B27879">
              <w:rPr>
                <w:color w:val="auto"/>
                <w:lang w:val="en-AU" w:bidi="en-US"/>
              </w:rPr>
              <w:t>Buckarma 2022</w:t>
            </w:r>
          </w:p>
        </w:tc>
        <w:tc>
          <w:tcPr>
            <w:tcW w:w="653" w:type="pct"/>
          </w:tcPr>
          <w:p w14:paraId="4B5DEEF4"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w:t>
            </w:r>
          </w:p>
          <w:p w14:paraId="6DA4EDF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538" w:type="pct"/>
          </w:tcPr>
          <w:p w14:paraId="6B4A091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2008-2014</w:t>
            </w:r>
          </w:p>
        </w:tc>
        <w:tc>
          <w:tcPr>
            <w:tcW w:w="592" w:type="pct"/>
          </w:tcPr>
          <w:p w14:paraId="124B10C5"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95</w:t>
            </w:r>
          </w:p>
        </w:tc>
        <w:tc>
          <w:tcPr>
            <w:tcW w:w="575" w:type="pct"/>
          </w:tcPr>
          <w:p w14:paraId="64CF1A9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12</w:t>
            </w:r>
          </w:p>
          <w:p w14:paraId="783B5E6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83</w:t>
            </w:r>
          </w:p>
        </w:tc>
        <w:tc>
          <w:tcPr>
            <w:tcW w:w="349" w:type="pct"/>
          </w:tcPr>
          <w:p w14:paraId="18A18FE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62.3</w:t>
            </w:r>
          </w:p>
          <w:p w14:paraId="091B505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53.1</w:t>
            </w:r>
          </w:p>
        </w:tc>
        <w:tc>
          <w:tcPr>
            <w:tcW w:w="450" w:type="pct"/>
          </w:tcPr>
          <w:p w14:paraId="77E5D9E4"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M=42; F=41</w:t>
            </w:r>
          </w:p>
          <w:p w14:paraId="47E4FA30"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M=2; F=10</w:t>
            </w:r>
          </w:p>
        </w:tc>
        <w:tc>
          <w:tcPr>
            <w:tcW w:w="548" w:type="pct"/>
          </w:tcPr>
          <w:p w14:paraId="365ECEB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Systemic; resection</w:t>
            </w:r>
          </w:p>
        </w:tc>
        <w:tc>
          <w:tcPr>
            <w:tcW w:w="468" w:type="pct"/>
          </w:tcPr>
          <w:p w14:paraId="6E2E178D"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120</w:t>
            </w:r>
          </w:p>
        </w:tc>
        <w:tc>
          <w:tcPr>
            <w:tcW w:w="343" w:type="pct"/>
          </w:tcPr>
          <w:p w14:paraId="794A75D4"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8</w:t>
            </w:r>
          </w:p>
        </w:tc>
      </w:tr>
      <w:tr w:rsidR="007900E9" w:rsidRPr="00B27879" w14:paraId="752AFBC6"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1D4E3107" w14:textId="77777777" w:rsidR="00F21E64" w:rsidRPr="00B27879" w:rsidRDefault="00F21E64" w:rsidP="00E174B5">
            <w:pPr>
              <w:pStyle w:val="TableText"/>
              <w:keepNext/>
              <w:keepLines/>
              <w:rPr>
                <w:color w:val="auto"/>
                <w:lang w:val="en-AU" w:bidi="en-US"/>
              </w:rPr>
            </w:pPr>
            <w:r w:rsidRPr="00B27879">
              <w:rPr>
                <w:color w:val="auto"/>
                <w:lang w:val="en-AU" w:bidi="en-US"/>
              </w:rPr>
              <w:t>Javle 2016</w:t>
            </w:r>
          </w:p>
        </w:tc>
        <w:tc>
          <w:tcPr>
            <w:tcW w:w="653" w:type="pct"/>
          </w:tcPr>
          <w:p w14:paraId="5BBB89A5"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w:t>
            </w:r>
          </w:p>
          <w:p w14:paraId="449C704F"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(USA)</w:t>
            </w:r>
          </w:p>
        </w:tc>
        <w:tc>
          <w:tcPr>
            <w:tcW w:w="538" w:type="pct"/>
          </w:tcPr>
          <w:p w14:paraId="408D59B8"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NR</w:t>
            </w:r>
          </w:p>
        </w:tc>
        <w:tc>
          <w:tcPr>
            <w:tcW w:w="592" w:type="pct"/>
          </w:tcPr>
          <w:p w14:paraId="09B7CB94"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224</w:t>
            </w:r>
          </w:p>
        </w:tc>
        <w:tc>
          <w:tcPr>
            <w:tcW w:w="575" w:type="pct"/>
          </w:tcPr>
          <w:p w14:paraId="6B09972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30</w:t>
            </w:r>
          </w:p>
          <w:p w14:paraId="69F96BD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194</w:t>
            </w:r>
          </w:p>
        </w:tc>
        <w:tc>
          <w:tcPr>
            <w:tcW w:w="349" w:type="pct"/>
          </w:tcPr>
          <w:p w14:paraId="20AB16D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NR</w:t>
            </w:r>
          </w:p>
        </w:tc>
        <w:tc>
          <w:tcPr>
            <w:tcW w:w="450" w:type="pct"/>
          </w:tcPr>
          <w:p w14:paraId="5E98C425"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NR</w:t>
            </w:r>
          </w:p>
        </w:tc>
        <w:tc>
          <w:tcPr>
            <w:tcW w:w="548" w:type="pct"/>
          </w:tcPr>
          <w:p w14:paraId="25A9B18F"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Systemic; resection</w:t>
            </w:r>
          </w:p>
        </w:tc>
        <w:tc>
          <w:tcPr>
            <w:tcW w:w="468" w:type="pct"/>
          </w:tcPr>
          <w:p w14:paraId="7A0D86E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60</w:t>
            </w:r>
          </w:p>
        </w:tc>
        <w:tc>
          <w:tcPr>
            <w:tcW w:w="343" w:type="pct"/>
          </w:tcPr>
          <w:p w14:paraId="73FE12F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7</w:t>
            </w:r>
          </w:p>
        </w:tc>
      </w:tr>
      <w:tr w:rsidR="007900E9" w:rsidRPr="00B27879" w14:paraId="1F8F1875"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0D09DDFC" w14:textId="77777777" w:rsidR="00F21E64" w:rsidRPr="00B27879" w:rsidRDefault="00F21E64" w:rsidP="00E174B5">
            <w:pPr>
              <w:pStyle w:val="TableText"/>
              <w:keepNext/>
              <w:keepLines/>
              <w:rPr>
                <w:color w:val="auto"/>
                <w:lang w:val="en-AU" w:bidi="en-US"/>
              </w:rPr>
            </w:pPr>
            <w:r w:rsidRPr="00B27879">
              <w:rPr>
                <w:color w:val="auto"/>
                <w:lang w:val="en-AU" w:bidi="en-US"/>
              </w:rPr>
              <w:t>Pu 2021</w:t>
            </w:r>
          </w:p>
        </w:tc>
        <w:tc>
          <w:tcPr>
            <w:tcW w:w="653" w:type="pct"/>
          </w:tcPr>
          <w:p w14:paraId="4E95B42F"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w:t>
            </w:r>
          </w:p>
          <w:p w14:paraId="602E4C49"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(China)</w:t>
            </w:r>
          </w:p>
        </w:tc>
        <w:tc>
          <w:tcPr>
            <w:tcW w:w="538" w:type="pct"/>
          </w:tcPr>
          <w:p w14:paraId="6B3164D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2005-2017</w:t>
            </w:r>
          </w:p>
        </w:tc>
        <w:tc>
          <w:tcPr>
            <w:tcW w:w="592" w:type="pct"/>
          </w:tcPr>
          <w:p w14:paraId="60F72BA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173</w:t>
            </w:r>
          </w:p>
        </w:tc>
        <w:tc>
          <w:tcPr>
            <w:tcW w:w="575" w:type="pct"/>
          </w:tcPr>
          <w:p w14:paraId="0553914D"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9</w:t>
            </w:r>
          </w:p>
          <w:p w14:paraId="71F9D75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164</w:t>
            </w:r>
          </w:p>
        </w:tc>
        <w:tc>
          <w:tcPr>
            <w:tcW w:w="349" w:type="pct"/>
          </w:tcPr>
          <w:p w14:paraId="18C7106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57.0</w:t>
            </w:r>
          </w:p>
          <w:p w14:paraId="27CE0E20"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61.3</w:t>
            </w:r>
          </w:p>
        </w:tc>
        <w:tc>
          <w:tcPr>
            <w:tcW w:w="450" w:type="pct"/>
          </w:tcPr>
          <w:p w14:paraId="2700A403"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M=6; F=3</w:t>
            </w:r>
          </w:p>
          <w:p w14:paraId="5EA0DE61"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M=79; F=85</w:t>
            </w:r>
          </w:p>
        </w:tc>
        <w:tc>
          <w:tcPr>
            <w:tcW w:w="548" w:type="pct"/>
          </w:tcPr>
          <w:p w14:paraId="5C802087"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Resection</w:t>
            </w:r>
          </w:p>
        </w:tc>
        <w:tc>
          <w:tcPr>
            <w:tcW w:w="468" w:type="pct"/>
          </w:tcPr>
          <w:p w14:paraId="3A6CCD76"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120</w:t>
            </w:r>
          </w:p>
        </w:tc>
        <w:tc>
          <w:tcPr>
            <w:tcW w:w="343" w:type="pct"/>
          </w:tcPr>
          <w:p w14:paraId="7B12E95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8</w:t>
            </w:r>
          </w:p>
        </w:tc>
      </w:tr>
      <w:tr w:rsidR="007900E9" w:rsidRPr="00B27879" w14:paraId="0024C5D5" w14:textId="77777777" w:rsidTr="00FE3A7F">
        <w:tc>
          <w:tcPr>
            <w:cnfStyle w:val="001000000000" w:firstRow="0" w:lastRow="0" w:firstColumn="1" w:lastColumn="0" w:oddVBand="0" w:evenVBand="0" w:oddHBand="0" w:evenHBand="0" w:firstRowFirstColumn="0" w:firstRowLastColumn="0" w:lastRowFirstColumn="0" w:lastRowLastColumn="0"/>
            <w:tcW w:w="485" w:type="pct"/>
          </w:tcPr>
          <w:p w14:paraId="4FAA1699" w14:textId="77777777" w:rsidR="00F21E64" w:rsidRPr="00B27879" w:rsidRDefault="00F21E64" w:rsidP="00E174B5">
            <w:pPr>
              <w:pStyle w:val="TableText"/>
              <w:keepNext/>
              <w:keepLines/>
              <w:rPr>
                <w:color w:val="auto"/>
                <w:lang w:val="en-AU" w:bidi="en-US"/>
              </w:rPr>
            </w:pPr>
            <w:r w:rsidRPr="00B27879">
              <w:rPr>
                <w:color w:val="auto"/>
                <w:lang w:val="en-AU" w:bidi="en-US"/>
              </w:rPr>
              <w:t>Rizzato 2022</w:t>
            </w:r>
          </w:p>
        </w:tc>
        <w:tc>
          <w:tcPr>
            <w:tcW w:w="653" w:type="pct"/>
          </w:tcPr>
          <w:p w14:paraId="4B31BA1B"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Retrospective/ prospective</w:t>
            </w:r>
          </w:p>
          <w:p w14:paraId="4DBD856F"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(Italy)</w:t>
            </w:r>
          </w:p>
        </w:tc>
        <w:tc>
          <w:tcPr>
            <w:tcW w:w="538" w:type="pct"/>
          </w:tcPr>
          <w:p w14:paraId="7AB4D52D"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2008-2019/ prospective until 2020</w:t>
            </w:r>
          </w:p>
        </w:tc>
        <w:tc>
          <w:tcPr>
            <w:tcW w:w="592" w:type="pct"/>
          </w:tcPr>
          <w:p w14:paraId="06632818"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iCCA: 183</w:t>
            </w:r>
          </w:p>
          <w:p w14:paraId="2505E73A"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eCCA+GBC: 103</w:t>
            </w:r>
          </w:p>
        </w:tc>
        <w:tc>
          <w:tcPr>
            <w:tcW w:w="575" w:type="pct"/>
          </w:tcPr>
          <w:p w14:paraId="6E8472F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15</w:t>
            </w:r>
          </w:p>
          <w:p w14:paraId="6A3C225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271</w:t>
            </w:r>
          </w:p>
        </w:tc>
        <w:tc>
          <w:tcPr>
            <w:tcW w:w="349" w:type="pct"/>
          </w:tcPr>
          <w:p w14:paraId="1FFF0428"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60</w:t>
            </w:r>
          </w:p>
          <w:p w14:paraId="154F391E"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65</w:t>
            </w:r>
          </w:p>
        </w:tc>
        <w:tc>
          <w:tcPr>
            <w:tcW w:w="450" w:type="pct"/>
          </w:tcPr>
          <w:p w14:paraId="1B4EEB6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M=7; F=8</w:t>
            </w:r>
          </w:p>
          <w:p w14:paraId="3DAA5890"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M=142; F=129</w:t>
            </w:r>
          </w:p>
        </w:tc>
        <w:tc>
          <w:tcPr>
            <w:tcW w:w="548" w:type="pct"/>
          </w:tcPr>
          <w:p w14:paraId="4B146D58"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Systemic</w:t>
            </w:r>
          </w:p>
        </w:tc>
        <w:tc>
          <w:tcPr>
            <w:tcW w:w="468" w:type="pct"/>
          </w:tcPr>
          <w:p w14:paraId="69B3AB6C"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120</w:t>
            </w:r>
          </w:p>
        </w:tc>
        <w:tc>
          <w:tcPr>
            <w:tcW w:w="343" w:type="pct"/>
          </w:tcPr>
          <w:p w14:paraId="2CC44200" w14:textId="77777777" w:rsidR="00F21E64" w:rsidRPr="00B27879" w:rsidRDefault="00F21E64" w:rsidP="00E174B5">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8</w:t>
            </w:r>
          </w:p>
        </w:tc>
      </w:tr>
    </w:tbl>
    <w:p w14:paraId="1DC628F7" w14:textId="77777777" w:rsidR="00F21E64" w:rsidRPr="00B27879" w:rsidRDefault="00F21E64" w:rsidP="00E174B5">
      <w:pPr>
        <w:pStyle w:val="TableFooter"/>
        <w:keepNext/>
        <w:keepLines/>
      </w:pPr>
      <w:r w:rsidRPr="00B27879">
        <w:t>Source: Table 2.6, p69 of the submission.</w:t>
      </w:r>
    </w:p>
    <w:p w14:paraId="561E4221" w14:textId="0D7A508F" w:rsidR="00F21E64" w:rsidRPr="00B27879" w:rsidRDefault="00F21E64" w:rsidP="00E174B5">
      <w:pPr>
        <w:pStyle w:val="TableFooter"/>
        <w:keepNext/>
        <w:keepLines/>
      </w:pPr>
      <w:r w:rsidRPr="2914E55D">
        <w:t xml:space="preserve"> eCCA = extrahepatic cholangiocarcinoma; F = female; FU = follow-up; GBC = gallbladder cancer; iCCA = intrahepatic cholangiocarcinoma; M = male; NOS = Newcastle-Ottawa Scale; NR = not reported</w:t>
      </w:r>
    </w:p>
    <w:p w14:paraId="61DBCF44" w14:textId="5C811DF8" w:rsidR="00F21E64" w:rsidRPr="00B27879" w:rsidRDefault="00F21E64" w:rsidP="00E174B5">
      <w:pPr>
        <w:pStyle w:val="TableFooter"/>
        <w:keepNext/>
        <w:keepLines/>
      </w:pPr>
      <w:r w:rsidRPr="2914E55D">
        <w:rPr>
          <w:vertAlign w:val="superscript"/>
        </w:rPr>
        <w:t xml:space="preserve">d </w:t>
      </w:r>
      <w:r w:rsidRPr="2914E55D">
        <w:t>As reported in the Niu 2024 meta-analysis. The maximum score on the Newcastle-Ottawa Scale is 9, and a score 7 or higher indicates a high-quality study</w:t>
      </w:r>
    </w:p>
    <w:p w14:paraId="7044828C" w14:textId="618D2CE3"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The</w:t>
      </w:r>
      <w:r w:rsidR="00794486" w:rsidRPr="00353AB8">
        <w:rPr>
          <w:rFonts w:ascii="Franklin Gothic Book" w:hAnsi="Franklin Gothic Book"/>
          <w:sz w:val="22"/>
        </w:rPr>
        <w:t xml:space="preserve"> </w:t>
      </w:r>
      <w:r w:rsidR="00DA411C" w:rsidRPr="00353AB8">
        <w:rPr>
          <w:rFonts w:ascii="Franklin Gothic Book" w:hAnsi="Franklin Gothic Book"/>
          <w:sz w:val="22"/>
        </w:rPr>
        <w:t>commentary</w:t>
      </w:r>
      <w:r w:rsidR="00794486" w:rsidRPr="00353AB8">
        <w:rPr>
          <w:rFonts w:ascii="Franklin Gothic Book" w:hAnsi="Franklin Gothic Book"/>
          <w:sz w:val="22"/>
        </w:rPr>
        <w:t xml:space="preserve"> considered that the</w:t>
      </w:r>
      <w:r w:rsidRPr="00353AB8">
        <w:rPr>
          <w:rFonts w:ascii="Franklin Gothic Book" w:hAnsi="Franklin Gothic Book"/>
          <w:sz w:val="22"/>
        </w:rPr>
        <w:t xml:space="preserve"> submission’s inclusion of studies to determine prognostic impact was incomplete, as among the evidence used by the submission in other </w:t>
      </w:r>
      <w:r w:rsidR="004F5D64" w:rsidRPr="00353AB8">
        <w:rPr>
          <w:rFonts w:ascii="Franklin Gothic Book" w:hAnsi="Franklin Gothic Book"/>
          <w:sz w:val="22"/>
        </w:rPr>
        <w:t>parts of the submission</w:t>
      </w:r>
      <w:r w:rsidRPr="00353AB8">
        <w:rPr>
          <w:rFonts w:ascii="Franklin Gothic Book" w:hAnsi="Franklin Gothic Book"/>
          <w:sz w:val="22"/>
        </w:rPr>
        <w:t>, two studies were also relevant and should have been included:</w:t>
      </w:r>
    </w:p>
    <w:p w14:paraId="0F51324B" w14:textId="08F22A3B" w:rsidR="00F21E64" w:rsidRPr="00353AB8" w:rsidRDefault="00F21E64" w:rsidP="00353AB8">
      <w:pPr>
        <w:jc w:val="left"/>
        <w:rPr>
          <w:rFonts w:ascii="Franklin Gothic Book" w:hAnsi="Franklin Gothic Book"/>
          <w:sz w:val="22"/>
        </w:rPr>
      </w:pPr>
      <w:r w:rsidRPr="00353AB8">
        <w:rPr>
          <w:rFonts w:ascii="Franklin Gothic Book" w:hAnsi="Franklin Gothic Book"/>
          <w:sz w:val="22"/>
        </w:rPr>
        <w:t xml:space="preserve">Firstly, Jain 2018 was identified by the submission and used to support treatment effect modification (discussed below). Jain 2018 reported OS outcomes in 377 CCA patients, 95 with </w:t>
      </w:r>
      <w:r w:rsidRPr="00353AB8">
        <w:rPr>
          <w:rFonts w:ascii="Franklin Gothic Book" w:hAnsi="Franklin Gothic Book"/>
          <w:i/>
          <w:iCs/>
          <w:sz w:val="22"/>
        </w:rPr>
        <w:t>FGFR</w:t>
      </w:r>
      <w:r w:rsidRPr="00353AB8">
        <w:rPr>
          <w:rFonts w:ascii="Franklin Gothic Book" w:hAnsi="Franklin Gothic Book"/>
          <w:sz w:val="22"/>
        </w:rPr>
        <w:t xml:space="preserve"> (77 with </w:t>
      </w:r>
      <w:r w:rsidRPr="00353AB8">
        <w:rPr>
          <w:rFonts w:ascii="Franklin Gothic Book" w:hAnsi="Franklin Gothic Book"/>
          <w:i/>
          <w:iCs/>
          <w:sz w:val="22"/>
        </w:rPr>
        <w:t>FGFR2</w:t>
      </w:r>
      <w:r w:rsidRPr="00353AB8">
        <w:rPr>
          <w:rFonts w:ascii="Franklin Gothic Book" w:hAnsi="Franklin Gothic Book"/>
          <w:sz w:val="22"/>
        </w:rPr>
        <w:t xml:space="preserve">) </w:t>
      </w:r>
      <w:r w:rsidR="002205E6" w:rsidRPr="00353AB8">
        <w:rPr>
          <w:rFonts w:ascii="Franklin Gothic Book" w:hAnsi="Franklin Gothic Book"/>
          <w:sz w:val="22"/>
        </w:rPr>
        <w:t>variant</w:t>
      </w:r>
      <w:r w:rsidRPr="00353AB8">
        <w:rPr>
          <w:rFonts w:ascii="Franklin Gothic Book" w:hAnsi="Franklin Gothic Book"/>
          <w:sz w:val="22"/>
        </w:rPr>
        <w:t xml:space="preserve"> and 282 without </w:t>
      </w:r>
      <w:r w:rsidRPr="00353AB8">
        <w:rPr>
          <w:rFonts w:ascii="Franklin Gothic Book" w:hAnsi="Franklin Gothic Book"/>
          <w:i/>
          <w:iCs/>
          <w:sz w:val="22"/>
        </w:rPr>
        <w:t>FGFR</w:t>
      </w:r>
      <w:r w:rsidRPr="00353AB8">
        <w:rPr>
          <w:rFonts w:ascii="Franklin Gothic Book" w:hAnsi="Franklin Gothic Book"/>
          <w:sz w:val="22"/>
        </w:rPr>
        <w:t xml:space="preserve"> alterations. </w:t>
      </w:r>
      <w:r w:rsidR="00544D8B" w:rsidRPr="00353AB8">
        <w:rPr>
          <w:rFonts w:ascii="Franklin Gothic Book" w:hAnsi="Franklin Gothic Book"/>
          <w:sz w:val="22"/>
        </w:rPr>
        <w:t>Therefore,</w:t>
      </w:r>
      <w:r w:rsidRPr="00353AB8">
        <w:rPr>
          <w:rFonts w:ascii="Franklin Gothic Book" w:hAnsi="Franklin Gothic Book"/>
          <w:sz w:val="22"/>
        </w:rPr>
        <w:t xml:space="preserve"> results from Jain 2018 may be potentially used to inform the prognostic effect. </w:t>
      </w:r>
    </w:p>
    <w:p w14:paraId="07F8DFE2" w14:textId="68696304" w:rsidR="00F21E64" w:rsidRPr="00353AB8" w:rsidRDefault="00F21E64" w:rsidP="00353AB8">
      <w:pPr>
        <w:pStyle w:val="MSACESParagraph"/>
        <w:rPr>
          <w:rFonts w:ascii="Franklin Gothic Book" w:hAnsi="Franklin Gothic Book"/>
          <w:sz w:val="22"/>
        </w:rPr>
      </w:pPr>
      <w:r w:rsidRPr="00353AB8">
        <w:rPr>
          <w:rFonts w:ascii="Franklin Gothic Book" w:hAnsi="Franklin Gothic Book"/>
          <w:sz w:val="22"/>
        </w:rPr>
        <w:t xml:space="preserve">The submission also identified </w:t>
      </w:r>
      <w:r w:rsidR="00346C33" w:rsidRPr="00353AB8">
        <w:rPr>
          <w:rFonts w:ascii="Franklin Gothic Book" w:hAnsi="Franklin Gothic Book"/>
          <w:sz w:val="22"/>
        </w:rPr>
        <w:t xml:space="preserve">a conference abstract of </w:t>
      </w:r>
      <w:r w:rsidRPr="00353AB8">
        <w:rPr>
          <w:rFonts w:ascii="Franklin Gothic Book" w:hAnsi="Franklin Gothic Book"/>
          <w:sz w:val="22"/>
        </w:rPr>
        <w:t>Shroff 2022 (referred to as the Flatiron study in the submission</w:t>
      </w:r>
      <w:r w:rsidR="00AF3723" w:rsidRPr="00353AB8">
        <w:rPr>
          <w:rFonts w:ascii="Franklin Gothic Book" w:hAnsi="Franklin Gothic Book"/>
          <w:sz w:val="22"/>
        </w:rPr>
        <w:t xml:space="preserve">, </w:t>
      </w:r>
      <w:r w:rsidRPr="00353AB8">
        <w:rPr>
          <w:rFonts w:ascii="Franklin Gothic Book" w:hAnsi="Franklin Gothic Book"/>
          <w:sz w:val="22"/>
        </w:rPr>
        <w:t xml:space="preserve">this will be referred to as Shroff 2022 in the commentary) as part of the evidence of natural history of CCA patients. Shroff 2022 used the Flatiron Health-Foundation Medicine CCA database and identified 571 CCA patients, and reported the OS in 75 patients with </w:t>
      </w:r>
      <w:r w:rsidRPr="00353AB8">
        <w:rPr>
          <w:rFonts w:ascii="Franklin Gothic Book" w:hAnsi="Franklin Gothic Book"/>
          <w:i/>
          <w:iCs/>
          <w:sz w:val="22"/>
        </w:rPr>
        <w:t>FGFR2</w:t>
      </w:r>
      <w:r w:rsidRPr="00353AB8">
        <w:rPr>
          <w:rFonts w:ascii="Franklin Gothic Book" w:hAnsi="Franklin Gothic Book"/>
          <w:sz w:val="22"/>
        </w:rPr>
        <w:t xml:space="preserve"> fusions/rearrangements and 496 patients with </w:t>
      </w:r>
      <w:r w:rsidR="00FB6724" w:rsidRPr="00353AB8">
        <w:rPr>
          <w:rFonts w:ascii="Franklin Gothic Book" w:hAnsi="Franklin Gothic Book"/>
          <w:sz w:val="22"/>
        </w:rPr>
        <w:t>Wild Type</w:t>
      </w:r>
      <w:r w:rsidRPr="00353AB8">
        <w:rPr>
          <w:rFonts w:ascii="Franklin Gothic Book" w:hAnsi="Franklin Gothic Book"/>
          <w:sz w:val="22"/>
        </w:rPr>
        <w:t xml:space="preserve"> </w:t>
      </w:r>
      <w:r w:rsidRPr="00353AB8">
        <w:rPr>
          <w:rFonts w:ascii="Franklin Gothic Book" w:hAnsi="Franklin Gothic Book"/>
          <w:i/>
          <w:iCs/>
          <w:sz w:val="22"/>
        </w:rPr>
        <w:t>FGFR2</w:t>
      </w:r>
      <w:r w:rsidRPr="00353AB8">
        <w:rPr>
          <w:rFonts w:ascii="Franklin Gothic Book" w:hAnsi="Franklin Gothic Book"/>
          <w:sz w:val="22"/>
        </w:rPr>
        <w:t xml:space="preserve">. A key secondary objective was to evaluate the influence of </w:t>
      </w:r>
      <w:r w:rsidRPr="00353AB8">
        <w:rPr>
          <w:rFonts w:ascii="Franklin Gothic Book" w:hAnsi="Franklin Gothic Book"/>
          <w:i/>
          <w:iCs/>
          <w:sz w:val="22"/>
        </w:rPr>
        <w:t>FGFR</w:t>
      </w:r>
      <w:r w:rsidRPr="00353AB8">
        <w:rPr>
          <w:rFonts w:ascii="Franklin Gothic Book" w:hAnsi="Franklin Gothic Book"/>
          <w:sz w:val="22"/>
        </w:rPr>
        <w:t xml:space="preserve"> status on OS after adjusting for potential prognostic variables. Shroff 2022 was considered to be directly relevant to informing the prognostic impact of </w:t>
      </w:r>
      <w:r w:rsidRPr="00353AB8">
        <w:rPr>
          <w:rFonts w:ascii="Franklin Gothic Book" w:hAnsi="Franklin Gothic Book"/>
          <w:i/>
          <w:iCs/>
          <w:sz w:val="22"/>
        </w:rPr>
        <w:t>FGFR2</w:t>
      </w:r>
      <w:r w:rsidRPr="00353AB8">
        <w:rPr>
          <w:rFonts w:ascii="Franklin Gothic Book" w:hAnsi="Franklin Gothic Book"/>
          <w:sz w:val="22"/>
        </w:rPr>
        <w:t xml:space="preserve"> fusions/rearrangements.</w:t>
      </w:r>
      <w:r w:rsidR="00E17629" w:rsidRPr="00353AB8">
        <w:rPr>
          <w:rFonts w:ascii="Franklin Gothic Book" w:hAnsi="Franklin Gothic Book"/>
          <w:sz w:val="22"/>
        </w:rPr>
        <w:t xml:space="preserve"> However</w:t>
      </w:r>
      <w:r w:rsidR="003B6441" w:rsidRPr="00353AB8">
        <w:rPr>
          <w:rFonts w:ascii="Franklin Gothic Book" w:hAnsi="Franklin Gothic Book"/>
          <w:sz w:val="22"/>
        </w:rPr>
        <w:t>,</w:t>
      </w:r>
      <w:r w:rsidR="00E17629" w:rsidRPr="00353AB8">
        <w:rPr>
          <w:rFonts w:ascii="Franklin Gothic Book" w:hAnsi="Franklin Gothic Book"/>
          <w:sz w:val="22"/>
        </w:rPr>
        <w:t xml:space="preserve"> as it was only available as a conference abstract </w:t>
      </w:r>
      <w:r w:rsidR="00E9508A" w:rsidRPr="00353AB8">
        <w:rPr>
          <w:rFonts w:ascii="Franklin Gothic Book" w:hAnsi="Franklin Gothic Book"/>
          <w:sz w:val="22"/>
        </w:rPr>
        <w:t xml:space="preserve">and </w:t>
      </w:r>
      <w:r w:rsidR="00C606AA" w:rsidRPr="00353AB8">
        <w:rPr>
          <w:rFonts w:ascii="Franklin Gothic Book" w:hAnsi="Franklin Gothic Book"/>
          <w:sz w:val="22"/>
        </w:rPr>
        <w:t xml:space="preserve">details regarding </w:t>
      </w:r>
      <w:r w:rsidR="00B1560B" w:rsidRPr="00353AB8">
        <w:rPr>
          <w:rFonts w:ascii="Franklin Gothic Book" w:hAnsi="Franklin Gothic Book"/>
          <w:sz w:val="22"/>
        </w:rPr>
        <w:t xml:space="preserve">any </w:t>
      </w:r>
      <w:r w:rsidR="00C606AA" w:rsidRPr="00353AB8">
        <w:rPr>
          <w:rFonts w:ascii="Franklin Gothic Book" w:hAnsi="Franklin Gothic Book"/>
          <w:sz w:val="22"/>
        </w:rPr>
        <w:t xml:space="preserve">peer review processes was not apparent. </w:t>
      </w:r>
    </w:p>
    <w:p w14:paraId="7FFA5E38" w14:textId="52BCAAC9" w:rsidR="002E2824" w:rsidRPr="00B27879" w:rsidRDefault="009D316D" w:rsidP="009D316D">
      <w:pPr>
        <w:pStyle w:val="Caption"/>
      </w:pPr>
      <w:r>
        <w:lastRenderedPageBreak/>
        <w:t xml:space="preserve">Table </w:t>
      </w:r>
      <w:r>
        <w:fldChar w:fldCharType="begin"/>
      </w:r>
      <w:r>
        <w:instrText>SEQ Table \* ARABIC</w:instrText>
      </w:r>
      <w:r>
        <w:fldChar w:fldCharType="separate"/>
      </w:r>
      <w:r w:rsidR="005B1C7E">
        <w:rPr>
          <w:noProof/>
        </w:rPr>
        <w:t>12</w:t>
      </w:r>
      <w:r>
        <w:fldChar w:fldCharType="end"/>
      </w:r>
      <w:r>
        <w:tab/>
      </w:r>
      <w:r w:rsidR="002E2824" w:rsidRPr="00B27879">
        <w:t xml:space="preserve">Impact of </w:t>
      </w:r>
      <w:r w:rsidR="002E2824" w:rsidRPr="00F377D1">
        <w:rPr>
          <w:i/>
        </w:rPr>
        <w:t>FGFR2</w:t>
      </w:r>
      <w:r w:rsidR="002E2824" w:rsidRPr="00B27879">
        <w:t xml:space="preserve"> status on overall survival</w:t>
      </w:r>
    </w:p>
    <w:tbl>
      <w:tblPr>
        <w:tblStyle w:val="PBACTableStyle"/>
        <w:tblW w:w="4988" w:type="pct"/>
        <w:tblLayout w:type="fixed"/>
        <w:tblCellMar>
          <w:left w:w="29" w:type="dxa"/>
          <w:right w:w="29" w:type="dxa"/>
        </w:tblCellMar>
        <w:tblLook w:val="04A0" w:firstRow="1" w:lastRow="0" w:firstColumn="1" w:lastColumn="0" w:noHBand="0" w:noVBand="1"/>
      </w:tblPr>
      <w:tblGrid>
        <w:gridCol w:w="800"/>
        <w:gridCol w:w="953"/>
        <w:gridCol w:w="937"/>
        <w:gridCol w:w="1275"/>
        <w:gridCol w:w="1275"/>
        <w:gridCol w:w="966"/>
        <w:gridCol w:w="917"/>
        <w:gridCol w:w="1054"/>
        <w:gridCol w:w="817"/>
      </w:tblGrid>
      <w:tr w:rsidR="007900E9" w:rsidRPr="00B27879" w14:paraId="2009690E" w14:textId="77777777" w:rsidTr="00D50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tcPr>
          <w:p w14:paraId="42FD78A3" w14:textId="77777777" w:rsidR="002E2824" w:rsidRPr="00B27879" w:rsidRDefault="002E2824" w:rsidP="00E96DDB">
            <w:pPr>
              <w:pStyle w:val="TableText"/>
              <w:keepNext/>
              <w:keepLines/>
              <w:contextualSpacing w:val="0"/>
              <w:rPr>
                <w:color w:val="auto"/>
                <w:lang w:val="en-AU"/>
              </w:rPr>
            </w:pPr>
            <w:r w:rsidRPr="00B27879">
              <w:rPr>
                <w:color w:val="auto"/>
                <w:lang w:val="en-AU"/>
              </w:rPr>
              <w:t>Study author</w:t>
            </w:r>
          </w:p>
        </w:tc>
        <w:tc>
          <w:tcPr>
            <w:tcW w:w="530" w:type="pct"/>
          </w:tcPr>
          <w:p w14:paraId="1109ED71"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Testing population</w:t>
            </w:r>
          </w:p>
        </w:tc>
        <w:tc>
          <w:tcPr>
            <w:tcW w:w="521" w:type="pct"/>
          </w:tcPr>
          <w:p w14:paraId="44E6D4ED"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Method of detection</w:t>
            </w:r>
          </w:p>
        </w:tc>
        <w:tc>
          <w:tcPr>
            <w:tcW w:w="709" w:type="pct"/>
          </w:tcPr>
          <w:p w14:paraId="66836FDF"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Timing of outcome measurement</w:t>
            </w:r>
          </w:p>
        </w:tc>
        <w:tc>
          <w:tcPr>
            <w:tcW w:w="709" w:type="pct"/>
          </w:tcPr>
          <w:p w14:paraId="5B67ADCE" w14:textId="06E45580"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D505D2">
              <w:rPr>
                <w:i/>
                <w:iCs/>
                <w:color w:val="auto"/>
                <w:lang w:val="en-AU"/>
              </w:rPr>
              <w:t>FGFR2</w:t>
            </w:r>
            <w:r w:rsidR="00D505D2" w:rsidRPr="00D505D2">
              <w:rPr>
                <w:i/>
                <w:iCs/>
                <w:color w:val="auto"/>
                <w:lang w:val="en-AU"/>
              </w:rPr>
              <w:t xml:space="preserve"> </w:t>
            </w:r>
            <w:r w:rsidR="00D505D2">
              <w:rPr>
                <w:color w:val="auto"/>
                <w:lang w:val="en-AU"/>
              </w:rPr>
              <w:t>positive</w:t>
            </w:r>
          </w:p>
          <w:p w14:paraId="338391FA"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Median OS</w:t>
            </w:r>
          </w:p>
          <w:p w14:paraId="5983EB00"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(95% CI)</w:t>
            </w:r>
          </w:p>
        </w:tc>
        <w:tc>
          <w:tcPr>
            <w:tcW w:w="537" w:type="pct"/>
          </w:tcPr>
          <w:p w14:paraId="34DB4E45" w14:textId="00B0CDC5"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D505D2">
              <w:rPr>
                <w:i/>
                <w:iCs/>
                <w:color w:val="auto"/>
                <w:lang w:val="en-AU"/>
              </w:rPr>
              <w:t>FGFR2</w:t>
            </w:r>
            <w:r w:rsidR="00982194">
              <w:rPr>
                <w:i/>
                <w:iCs/>
                <w:color w:val="auto"/>
                <w:lang w:val="en-AU"/>
              </w:rPr>
              <w:t xml:space="preserve"> </w:t>
            </w:r>
            <w:r w:rsidR="00982194">
              <w:rPr>
                <w:color w:val="auto"/>
                <w:lang w:val="en-AU"/>
              </w:rPr>
              <w:t>WT</w:t>
            </w:r>
          </w:p>
          <w:p w14:paraId="5C567CCA"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Median OS</w:t>
            </w:r>
          </w:p>
          <w:p w14:paraId="7CFE3569"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(95% CI)</w:t>
            </w:r>
          </w:p>
        </w:tc>
        <w:tc>
          <w:tcPr>
            <w:tcW w:w="510" w:type="pct"/>
          </w:tcPr>
          <w:p w14:paraId="113CD2C3" w14:textId="38EF832F"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Difference</w:t>
            </w:r>
          </w:p>
        </w:tc>
        <w:tc>
          <w:tcPr>
            <w:tcW w:w="586" w:type="pct"/>
          </w:tcPr>
          <w:p w14:paraId="656E374A"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Publication-reported</w:t>
            </w:r>
          </w:p>
          <w:p w14:paraId="504BF16A"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HR </w:t>
            </w:r>
          </w:p>
          <w:p w14:paraId="0C79600E"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b w:val="0"/>
                <w:color w:val="auto"/>
                <w:lang w:val="en-AU"/>
              </w:rPr>
            </w:pPr>
            <w:r w:rsidRPr="00B27879">
              <w:rPr>
                <w:color w:val="auto"/>
                <w:lang w:val="en-AU"/>
              </w:rPr>
              <w:t>(95% CI)</w:t>
            </w:r>
          </w:p>
          <w:p w14:paraId="2766A5D2"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P value</w:t>
            </w:r>
          </w:p>
        </w:tc>
        <w:tc>
          <w:tcPr>
            <w:tcW w:w="454" w:type="pct"/>
          </w:tcPr>
          <w:p w14:paraId="27F42DA0"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Meta-analysis-reported</w:t>
            </w:r>
          </w:p>
          <w:p w14:paraId="5D871FC6"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HR </w:t>
            </w:r>
          </w:p>
          <w:p w14:paraId="23DAE82A" w14:textId="77777777" w:rsidR="002E2824" w:rsidRPr="00B27879" w:rsidRDefault="002E2824" w:rsidP="00E96DDB">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B27879">
              <w:rPr>
                <w:color w:val="auto"/>
                <w:lang w:val="en-AU"/>
              </w:rPr>
              <w:t>(95% CI)</w:t>
            </w:r>
          </w:p>
        </w:tc>
      </w:tr>
      <w:tr w:rsidR="007900E9" w:rsidRPr="00B27879" w14:paraId="0152D5EE" w14:textId="77777777" w:rsidTr="00D505D2">
        <w:tc>
          <w:tcPr>
            <w:cnfStyle w:val="001000000000" w:firstRow="0" w:lastRow="0" w:firstColumn="1" w:lastColumn="0" w:oddVBand="0" w:evenVBand="0" w:oddHBand="0" w:evenHBand="0" w:firstRowFirstColumn="0" w:firstRowLastColumn="0" w:lastRowFirstColumn="0" w:lastRowLastColumn="0"/>
            <w:tcW w:w="444" w:type="pct"/>
            <w:vMerge w:val="restart"/>
          </w:tcPr>
          <w:p w14:paraId="240FF0BD" w14:textId="77777777" w:rsidR="002E2824" w:rsidRPr="00B27879" w:rsidRDefault="002E2824" w:rsidP="00E96DDB">
            <w:pPr>
              <w:pStyle w:val="TableText"/>
              <w:keepNext/>
              <w:keepLines/>
              <w:contextualSpacing w:val="0"/>
              <w:rPr>
                <w:color w:val="auto"/>
                <w:lang w:val="en-AU"/>
              </w:rPr>
            </w:pPr>
            <w:r w:rsidRPr="00B27879">
              <w:rPr>
                <w:color w:val="auto"/>
                <w:lang w:val="en-AU"/>
              </w:rPr>
              <w:t xml:space="preserve">Abou-Alfa 2022 </w:t>
            </w:r>
          </w:p>
        </w:tc>
        <w:tc>
          <w:tcPr>
            <w:tcW w:w="530" w:type="pct"/>
            <w:vMerge w:val="restart"/>
          </w:tcPr>
          <w:p w14:paraId="1293546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iCCA </w:t>
            </w:r>
          </w:p>
          <w:p w14:paraId="3919FA2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(Stage IV – 60%)</w:t>
            </w:r>
          </w:p>
        </w:tc>
        <w:tc>
          <w:tcPr>
            <w:tcW w:w="521" w:type="pct"/>
            <w:vMerge w:val="restart"/>
          </w:tcPr>
          <w:p w14:paraId="349E012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NGS</w:t>
            </w:r>
          </w:p>
        </w:tc>
        <w:tc>
          <w:tcPr>
            <w:tcW w:w="709" w:type="pct"/>
          </w:tcPr>
          <w:p w14:paraId="2CA0343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diagnosis</w:t>
            </w:r>
          </w:p>
        </w:tc>
        <w:tc>
          <w:tcPr>
            <w:tcW w:w="709" w:type="pct"/>
          </w:tcPr>
          <w:p w14:paraId="18FF775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N=9</w:t>
            </w:r>
          </w:p>
          <w:p w14:paraId="1B925D9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31.3 months</w:t>
            </w:r>
          </w:p>
          <w:p w14:paraId="591E001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(5.8−NA)</w:t>
            </w:r>
          </w:p>
        </w:tc>
        <w:tc>
          <w:tcPr>
            <w:tcW w:w="537" w:type="pct"/>
          </w:tcPr>
          <w:p w14:paraId="6EF5503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N=109</w:t>
            </w:r>
          </w:p>
          <w:p w14:paraId="5412FEC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21.7 months </w:t>
            </w:r>
          </w:p>
          <w:p w14:paraId="77C43BE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(16.1−26.6)</w:t>
            </w:r>
          </w:p>
        </w:tc>
        <w:tc>
          <w:tcPr>
            <w:tcW w:w="510" w:type="pct"/>
          </w:tcPr>
          <w:p w14:paraId="3E3B0E8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9.8 months</w:t>
            </w:r>
          </w:p>
        </w:tc>
        <w:tc>
          <w:tcPr>
            <w:tcW w:w="586" w:type="pct"/>
          </w:tcPr>
          <w:p w14:paraId="7AA9CD7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p w14:paraId="5F3C992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tc>
        <w:tc>
          <w:tcPr>
            <w:tcW w:w="454" w:type="pct"/>
            <w:vMerge w:val="restart"/>
          </w:tcPr>
          <w:p w14:paraId="32CBA90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1.95</w:t>
            </w:r>
          </w:p>
          <w:p w14:paraId="4A217A0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(0.98, 3.89)</w:t>
            </w:r>
            <w:r w:rsidRPr="00B27879">
              <w:rPr>
                <w:color w:val="auto"/>
                <w:vertAlign w:val="superscript"/>
                <w:lang w:val="en-AU"/>
              </w:rPr>
              <w:t>a</w:t>
            </w:r>
          </w:p>
        </w:tc>
      </w:tr>
      <w:tr w:rsidR="007900E9" w:rsidRPr="00B27879" w14:paraId="2FAEFC14" w14:textId="77777777" w:rsidTr="00D505D2">
        <w:tc>
          <w:tcPr>
            <w:cnfStyle w:val="001000000000" w:firstRow="0" w:lastRow="0" w:firstColumn="1" w:lastColumn="0" w:oddVBand="0" w:evenVBand="0" w:oddHBand="0" w:evenHBand="0" w:firstRowFirstColumn="0" w:firstRowLastColumn="0" w:lastRowFirstColumn="0" w:lastRowLastColumn="0"/>
            <w:tcW w:w="444" w:type="pct"/>
            <w:vMerge/>
          </w:tcPr>
          <w:p w14:paraId="61E5C335" w14:textId="77777777" w:rsidR="002E2824" w:rsidRPr="00B27879" w:rsidRDefault="002E2824" w:rsidP="00E96DDB">
            <w:pPr>
              <w:pStyle w:val="TableText"/>
              <w:keepNext/>
              <w:keepLines/>
              <w:contextualSpacing w:val="0"/>
              <w:rPr>
                <w:color w:val="auto"/>
                <w:lang w:val="en-AU"/>
              </w:rPr>
            </w:pPr>
          </w:p>
        </w:tc>
        <w:tc>
          <w:tcPr>
            <w:tcW w:w="530" w:type="pct"/>
            <w:vMerge/>
          </w:tcPr>
          <w:p w14:paraId="467EA77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21" w:type="pct"/>
            <w:vMerge/>
          </w:tcPr>
          <w:p w14:paraId="03EC468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709" w:type="pct"/>
          </w:tcPr>
          <w:p w14:paraId="1A5B1E1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first-line therapy</w:t>
            </w:r>
          </w:p>
        </w:tc>
        <w:tc>
          <w:tcPr>
            <w:tcW w:w="709" w:type="pct"/>
          </w:tcPr>
          <w:p w14:paraId="349CFDF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N=9</w:t>
            </w:r>
          </w:p>
          <w:p w14:paraId="05C6CDE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24.8 months</w:t>
            </w:r>
          </w:p>
          <w:p w14:paraId="36D52DF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(3.4, NE)</w:t>
            </w:r>
          </w:p>
        </w:tc>
        <w:tc>
          <w:tcPr>
            <w:tcW w:w="537" w:type="pct"/>
          </w:tcPr>
          <w:p w14:paraId="2B50646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N=90</w:t>
            </w:r>
          </w:p>
          <w:p w14:paraId="46285B7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14.5 months</w:t>
            </w:r>
          </w:p>
          <w:p w14:paraId="1549F03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(12.2, 20.2)</w:t>
            </w:r>
          </w:p>
        </w:tc>
        <w:tc>
          <w:tcPr>
            <w:tcW w:w="510" w:type="pct"/>
          </w:tcPr>
          <w:p w14:paraId="509093B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10.3 months</w:t>
            </w:r>
          </w:p>
        </w:tc>
        <w:tc>
          <w:tcPr>
            <w:tcW w:w="586" w:type="pct"/>
          </w:tcPr>
          <w:p w14:paraId="557ECBD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p w14:paraId="7C5F999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tc>
        <w:tc>
          <w:tcPr>
            <w:tcW w:w="454" w:type="pct"/>
            <w:vMerge/>
          </w:tcPr>
          <w:p w14:paraId="7A948B3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B27879" w14:paraId="678D14B3" w14:textId="77777777" w:rsidTr="00D505D2">
        <w:tc>
          <w:tcPr>
            <w:cnfStyle w:val="001000000000" w:firstRow="0" w:lastRow="0" w:firstColumn="1" w:lastColumn="0" w:oddVBand="0" w:evenVBand="0" w:oddHBand="0" w:evenHBand="0" w:firstRowFirstColumn="0" w:firstRowLastColumn="0" w:lastRowFirstColumn="0" w:lastRowLastColumn="0"/>
            <w:tcW w:w="444" w:type="pct"/>
            <w:vMerge/>
          </w:tcPr>
          <w:p w14:paraId="67095F68" w14:textId="77777777" w:rsidR="002E2824" w:rsidRPr="00B27879" w:rsidRDefault="002E2824" w:rsidP="00E96DDB">
            <w:pPr>
              <w:pStyle w:val="TableText"/>
              <w:keepNext/>
              <w:keepLines/>
              <w:contextualSpacing w:val="0"/>
              <w:rPr>
                <w:color w:val="auto"/>
                <w:lang w:val="en-AU"/>
              </w:rPr>
            </w:pPr>
          </w:p>
        </w:tc>
        <w:tc>
          <w:tcPr>
            <w:tcW w:w="530" w:type="pct"/>
            <w:vMerge/>
          </w:tcPr>
          <w:p w14:paraId="6D9E184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21" w:type="pct"/>
            <w:vMerge/>
          </w:tcPr>
          <w:p w14:paraId="65176E6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709" w:type="pct"/>
          </w:tcPr>
          <w:p w14:paraId="4EF27DC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second-line therapy</w:t>
            </w:r>
          </w:p>
        </w:tc>
        <w:tc>
          <w:tcPr>
            <w:tcW w:w="709" w:type="pct"/>
          </w:tcPr>
          <w:p w14:paraId="47D0A69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N=4</w:t>
            </w:r>
          </w:p>
          <w:p w14:paraId="2A92F00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23.2 months</w:t>
            </w:r>
          </w:p>
          <w:p w14:paraId="620E1C5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(10.8, NE)</w:t>
            </w:r>
          </w:p>
        </w:tc>
        <w:tc>
          <w:tcPr>
            <w:tcW w:w="537" w:type="pct"/>
          </w:tcPr>
          <w:p w14:paraId="52624ED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N=70</w:t>
            </w:r>
          </w:p>
          <w:p w14:paraId="20772CA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8.2 months</w:t>
            </w:r>
          </w:p>
          <w:p w14:paraId="16F9C6E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(6.5, 14.6)</w:t>
            </w:r>
          </w:p>
        </w:tc>
        <w:tc>
          <w:tcPr>
            <w:tcW w:w="510" w:type="pct"/>
          </w:tcPr>
          <w:p w14:paraId="074FA45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15.0 months</w:t>
            </w:r>
          </w:p>
        </w:tc>
        <w:tc>
          <w:tcPr>
            <w:tcW w:w="586" w:type="pct"/>
          </w:tcPr>
          <w:p w14:paraId="156182F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p w14:paraId="58E9146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tc>
        <w:tc>
          <w:tcPr>
            <w:tcW w:w="454" w:type="pct"/>
            <w:vMerge/>
          </w:tcPr>
          <w:p w14:paraId="00C02D0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B27879" w14:paraId="0F646E0A" w14:textId="77777777" w:rsidTr="00D505D2">
        <w:tc>
          <w:tcPr>
            <w:cnfStyle w:val="001000000000" w:firstRow="0" w:lastRow="0" w:firstColumn="1" w:lastColumn="0" w:oddVBand="0" w:evenVBand="0" w:oddHBand="0" w:evenHBand="0" w:firstRowFirstColumn="0" w:firstRowLastColumn="0" w:lastRowFirstColumn="0" w:lastRowLastColumn="0"/>
            <w:tcW w:w="444" w:type="pct"/>
          </w:tcPr>
          <w:p w14:paraId="2A601416" w14:textId="77777777" w:rsidR="002E2824" w:rsidRPr="00B27879" w:rsidRDefault="002E2824" w:rsidP="00E96DDB">
            <w:pPr>
              <w:pStyle w:val="TableText"/>
              <w:keepNext/>
              <w:keepLines/>
              <w:contextualSpacing w:val="0"/>
              <w:rPr>
                <w:color w:val="auto"/>
                <w:lang w:val="en-AU"/>
              </w:rPr>
            </w:pPr>
            <w:r w:rsidRPr="00B27879">
              <w:rPr>
                <w:color w:val="auto"/>
                <w:lang w:val="en-AU"/>
              </w:rPr>
              <w:t>Buckarma 2022</w:t>
            </w:r>
          </w:p>
        </w:tc>
        <w:tc>
          <w:tcPr>
            <w:tcW w:w="530" w:type="pct"/>
          </w:tcPr>
          <w:p w14:paraId="42EF550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Resected iCCA</w:t>
            </w:r>
          </w:p>
          <w:p w14:paraId="729CC60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(Stage NR)</w:t>
            </w:r>
          </w:p>
        </w:tc>
        <w:tc>
          <w:tcPr>
            <w:tcW w:w="521" w:type="pct"/>
          </w:tcPr>
          <w:p w14:paraId="0364E88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FISH</w:t>
            </w:r>
          </w:p>
        </w:tc>
        <w:tc>
          <w:tcPr>
            <w:tcW w:w="709" w:type="pct"/>
          </w:tcPr>
          <w:p w14:paraId="51389C7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diagnosis</w:t>
            </w:r>
          </w:p>
        </w:tc>
        <w:tc>
          <w:tcPr>
            <w:tcW w:w="709" w:type="pct"/>
          </w:tcPr>
          <w:p w14:paraId="03D767E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N=12</w:t>
            </w:r>
          </w:p>
          <w:p w14:paraId="79B91D1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5-year OS: 83%</w:t>
            </w:r>
          </w:p>
          <w:p w14:paraId="4D9E134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10-year OS: 46%</w:t>
            </w:r>
          </w:p>
        </w:tc>
        <w:tc>
          <w:tcPr>
            <w:tcW w:w="537" w:type="pct"/>
          </w:tcPr>
          <w:p w14:paraId="4457A5A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N=83</w:t>
            </w:r>
          </w:p>
          <w:p w14:paraId="7179C27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5-year OS: 32%</w:t>
            </w:r>
          </w:p>
          <w:p w14:paraId="67272DA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10-year OS: 22%</w:t>
            </w:r>
          </w:p>
        </w:tc>
        <w:tc>
          <w:tcPr>
            <w:tcW w:w="510" w:type="pct"/>
          </w:tcPr>
          <w:p w14:paraId="650FE77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5-year OS: 51%</w:t>
            </w:r>
          </w:p>
          <w:p w14:paraId="2E30959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10-year OS: 24%</w:t>
            </w:r>
          </w:p>
        </w:tc>
        <w:tc>
          <w:tcPr>
            <w:tcW w:w="586" w:type="pct"/>
          </w:tcPr>
          <w:p w14:paraId="18E8241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2.33</w:t>
            </w:r>
          </w:p>
          <w:p w14:paraId="1CBC61F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(1.01, 5.56</w:t>
            </w:r>
            <w:r w:rsidRPr="00B27879">
              <w:rPr>
                <w:color w:val="auto"/>
                <w:vertAlign w:val="superscript"/>
                <w:lang w:val="en-AU"/>
              </w:rPr>
              <w:t>b)</w:t>
            </w:r>
          </w:p>
          <w:p w14:paraId="020706A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P=0.01</w:t>
            </w:r>
          </w:p>
          <w:p w14:paraId="6296871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P=0.04</w:t>
            </w:r>
          </w:p>
        </w:tc>
        <w:tc>
          <w:tcPr>
            <w:tcW w:w="454" w:type="pct"/>
          </w:tcPr>
          <w:p w14:paraId="43CA2C9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1.91</w:t>
            </w:r>
          </w:p>
          <w:p w14:paraId="3E1D918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(0.50, 7.23)</w:t>
            </w:r>
            <w:r w:rsidRPr="00B27879">
              <w:rPr>
                <w:color w:val="auto"/>
                <w:vertAlign w:val="superscript"/>
                <w:lang w:val="en-AU"/>
              </w:rPr>
              <w:t>a</w:t>
            </w:r>
          </w:p>
        </w:tc>
      </w:tr>
      <w:tr w:rsidR="007900E9" w:rsidRPr="00B27879" w14:paraId="6B638A1D" w14:textId="77777777" w:rsidTr="00D505D2">
        <w:tc>
          <w:tcPr>
            <w:cnfStyle w:val="001000000000" w:firstRow="0" w:lastRow="0" w:firstColumn="1" w:lastColumn="0" w:oddVBand="0" w:evenVBand="0" w:oddHBand="0" w:evenHBand="0" w:firstRowFirstColumn="0" w:firstRowLastColumn="0" w:lastRowFirstColumn="0" w:lastRowLastColumn="0"/>
            <w:tcW w:w="444" w:type="pct"/>
            <w:vMerge w:val="restart"/>
          </w:tcPr>
          <w:p w14:paraId="1ADE3D7E" w14:textId="77777777" w:rsidR="002E2824" w:rsidRPr="00B27879" w:rsidRDefault="002E2824" w:rsidP="00E96DDB">
            <w:pPr>
              <w:pStyle w:val="TableText"/>
              <w:keepNext/>
              <w:keepLines/>
              <w:contextualSpacing w:val="0"/>
              <w:rPr>
                <w:color w:val="auto"/>
                <w:lang w:val="en-AU"/>
              </w:rPr>
            </w:pPr>
            <w:r w:rsidRPr="00B27879">
              <w:rPr>
                <w:color w:val="auto"/>
                <w:lang w:val="en-AU"/>
              </w:rPr>
              <w:t>Rizzato 2022</w:t>
            </w:r>
          </w:p>
        </w:tc>
        <w:tc>
          <w:tcPr>
            <w:tcW w:w="530" w:type="pct"/>
            <w:vMerge w:val="restart"/>
          </w:tcPr>
          <w:p w14:paraId="5AE9C5A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Surgically resected, advanced iCCA</w:t>
            </w:r>
          </w:p>
        </w:tc>
        <w:tc>
          <w:tcPr>
            <w:tcW w:w="521" w:type="pct"/>
            <w:vMerge w:val="restart"/>
          </w:tcPr>
          <w:p w14:paraId="5551021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NGS</w:t>
            </w:r>
          </w:p>
        </w:tc>
        <w:tc>
          <w:tcPr>
            <w:tcW w:w="709" w:type="pct"/>
          </w:tcPr>
          <w:p w14:paraId="1FCB204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diagnosis</w:t>
            </w:r>
          </w:p>
        </w:tc>
        <w:tc>
          <w:tcPr>
            <w:tcW w:w="709" w:type="pct"/>
          </w:tcPr>
          <w:p w14:paraId="4EA2F6E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N=15</w:t>
            </w:r>
          </w:p>
          <w:p w14:paraId="5CE7AA7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29.2 months</w:t>
            </w:r>
          </w:p>
          <w:p w14:paraId="3E83F5F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tc>
        <w:tc>
          <w:tcPr>
            <w:tcW w:w="537" w:type="pct"/>
          </w:tcPr>
          <w:p w14:paraId="6780EBC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N=271</w:t>
            </w:r>
          </w:p>
          <w:p w14:paraId="57E2680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14.8 months</w:t>
            </w:r>
          </w:p>
          <w:p w14:paraId="23BE48A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tc>
        <w:tc>
          <w:tcPr>
            <w:tcW w:w="510" w:type="pct"/>
          </w:tcPr>
          <w:p w14:paraId="55F64CF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14.4 months</w:t>
            </w:r>
          </w:p>
        </w:tc>
        <w:tc>
          <w:tcPr>
            <w:tcW w:w="586" w:type="pct"/>
          </w:tcPr>
          <w:p w14:paraId="64F47EB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2.50 </w:t>
            </w:r>
          </w:p>
          <w:p w14:paraId="12AD450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(1.19, 5.26)</w:t>
            </w:r>
            <w:r w:rsidRPr="00B27879">
              <w:rPr>
                <w:color w:val="auto"/>
                <w:vertAlign w:val="superscript"/>
                <w:lang w:val="en-AU"/>
              </w:rPr>
              <w:t>c</w:t>
            </w:r>
          </w:p>
          <w:p w14:paraId="1C3D4F7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P=0.01</w:t>
            </w:r>
          </w:p>
        </w:tc>
        <w:tc>
          <w:tcPr>
            <w:tcW w:w="454" w:type="pct"/>
            <w:vMerge w:val="restart"/>
          </w:tcPr>
          <w:p w14:paraId="771E7E1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1.31</w:t>
            </w:r>
          </w:p>
          <w:p w14:paraId="67D82DD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bidi="en-US"/>
              </w:rPr>
              <w:t>(0.53, 3.22)</w:t>
            </w:r>
            <w:r w:rsidRPr="00B27879">
              <w:rPr>
                <w:color w:val="auto"/>
                <w:lang w:val="en-AU"/>
              </w:rPr>
              <w:t xml:space="preserve"> </w:t>
            </w:r>
          </w:p>
        </w:tc>
      </w:tr>
      <w:tr w:rsidR="007900E9" w:rsidRPr="00B27879" w14:paraId="4B09C388" w14:textId="77777777" w:rsidTr="00D505D2">
        <w:tc>
          <w:tcPr>
            <w:cnfStyle w:val="001000000000" w:firstRow="0" w:lastRow="0" w:firstColumn="1" w:lastColumn="0" w:oddVBand="0" w:evenVBand="0" w:oddHBand="0" w:evenHBand="0" w:firstRowFirstColumn="0" w:firstRowLastColumn="0" w:lastRowFirstColumn="0" w:lastRowLastColumn="0"/>
            <w:tcW w:w="444" w:type="pct"/>
            <w:vMerge/>
          </w:tcPr>
          <w:p w14:paraId="64B661C9" w14:textId="77777777" w:rsidR="002E2824" w:rsidRPr="00B27879" w:rsidRDefault="002E2824" w:rsidP="00E96DDB">
            <w:pPr>
              <w:pStyle w:val="TableText"/>
              <w:keepNext/>
              <w:keepLines/>
              <w:contextualSpacing w:val="0"/>
              <w:rPr>
                <w:color w:val="auto"/>
                <w:lang w:val="en-AU"/>
              </w:rPr>
            </w:pPr>
          </w:p>
        </w:tc>
        <w:tc>
          <w:tcPr>
            <w:tcW w:w="530" w:type="pct"/>
            <w:vMerge/>
          </w:tcPr>
          <w:p w14:paraId="43D2416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21" w:type="pct"/>
            <w:vMerge/>
          </w:tcPr>
          <w:p w14:paraId="7423B6A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709" w:type="pct"/>
          </w:tcPr>
          <w:p w14:paraId="1923F5C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first-line therapy</w:t>
            </w:r>
          </w:p>
        </w:tc>
        <w:tc>
          <w:tcPr>
            <w:tcW w:w="709" w:type="pct"/>
          </w:tcPr>
          <w:p w14:paraId="1398683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N=11</w:t>
            </w:r>
          </w:p>
          <w:p w14:paraId="58E23A0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29.2 months</w:t>
            </w:r>
          </w:p>
          <w:p w14:paraId="79D80B2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(16.0, NA)</w:t>
            </w:r>
          </w:p>
        </w:tc>
        <w:tc>
          <w:tcPr>
            <w:tcW w:w="537" w:type="pct"/>
          </w:tcPr>
          <w:p w14:paraId="7030F2B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N=151</w:t>
            </w:r>
          </w:p>
          <w:p w14:paraId="20DC59F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15.0 months</w:t>
            </w:r>
          </w:p>
          <w:p w14:paraId="4074C3A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(12.2, 17.8)</w:t>
            </w:r>
          </w:p>
        </w:tc>
        <w:tc>
          <w:tcPr>
            <w:tcW w:w="510" w:type="pct"/>
          </w:tcPr>
          <w:p w14:paraId="5A81E25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14.2 months</w:t>
            </w:r>
          </w:p>
        </w:tc>
        <w:tc>
          <w:tcPr>
            <w:tcW w:w="586" w:type="pct"/>
          </w:tcPr>
          <w:p w14:paraId="43D4D7D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2.94 </w:t>
            </w:r>
          </w:p>
          <w:p w14:paraId="5768D10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(1.09, 7.69)</w:t>
            </w:r>
            <w:r w:rsidRPr="00B27879">
              <w:rPr>
                <w:color w:val="auto"/>
                <w:vertAlign w:val="superscript"/>
                <w:lang w:val="en-AU"/>
              </w:rPr>
              <w:t>d</w:t>
            </w:r>
          </w:p>
          <w:p w14:paraId="6B27104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P=0.03</w:t>
            </w:r>
          </w:p>
        </w:tc>
        <w:tc>
          <w:tcPr>
            <w:tcW w:w="454" w:type="pct"/>
            <w:vMerge/>
          </w:tcPr>
          <w:p w14:paraId="54A7F90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B27879" w14:paraId="2A8215E6" w14:textId="77777777" w:rsidTr="00D505D2">
        <w:tc>
          <w:tcPr>
            <w:cnfStyle w:val="001000000000" w:firstRow="0" w:lastRow="0" w:firstColumn="1" w:lastColumn="0" w:oddVBand="0" w:evenVBand="0" w:oddHBand="0" w:evenHBand="0" w:firstRowFirstColumn="0" w:firstRowLastColumn="0" w:lastRowFirstColumn="0" w:lastRowLastColumn="0"/>
            <w:tcW w:w="444" w:type="pct"/>
            <w:vMerge/>
          </w:tcPr>
          <w:p w14:paraId="509F1C82" w14:textId="77777777" w:rsidR="002E2824" w:rsidRPr="00B27879" w:rsidRDefault="002E2824" w:rsidP="00E96DDB">
            <w:pPr>
              <w:pStyle w:val="TableText"/>
              <w:keepNext/>
              <w:keepLines/>
              <w:contextualSpacing w:val="0"/>
              <w:rPr>
                <w:color w:val="auto"/>
                <w:lang w:val="en-AU"/>
              </w:rPr>
            </w:pPr>
          </w:p>
        </w:tc>
        <w:tc>
          <w:tcPr>
            <w:tcW w:w="530" w:type="pct"/>
            <w:vMerge/>
          </w:tcPr>
          <w:p w14:paraId="03159AD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21" w:type="pct"/>
            <w:vMerge/>
          </w:tcPr>
          <w:p w14:paraId="6EE20E5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709" w:type="pct"/>
          </w:tcPr>
          <w:p w14:paraId="714DBA9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second-line therapy</w:t>
            </w:r>
          </w:p>
        </w:tc>
        <w:tc>
          <w:tcPr>
            <w:tcW w:w="709" w:type="pct"/>
          </w:tcPr>
          <w:p w14:paraId="4DFCE5B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N=7</w:t>
            </w:r>
          </w:p>
          <w:p w14:paraId="7A0463E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24.7 months</w:t>
            </w:r>
          </w:p>
          <w:p w14:paraId="1578B1D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(9.2, NA)</w:t>
            </w:r>
          </w:p>
        </w:tc>
        <w:tc>
          <w:tcPr>
            <w:tcW w:w="537" w:type="pct"/>
          </w:tcPr>
          <w:p w14:paraId="524C402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N=83</w:t>
            </w:r>
          </w:p>
          <w:p w14:paraId="5246F6D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10.0 months</w:t>
            </w:r>
          </w:p>
          <w:p w14:paraId="0778263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(8.1, 14.1)</w:t>
            </w:r>
          </w:p>
        </w:tc>
        <w:tc>
          <w:tcPr>
            <w:tcW w:w="510" w:type="pct"/>
          </w:tcPr>
          <w:p w14:paraId="275EE7D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14.7 months</w:t>
            </w:r>
          </w:p>
        </w:tc>
        <w:tc>
          <w:tcPr>
            <w:tcW w:w="586" w:type="pct"/>
          </w:tcPr>
          <w:p w14:paraId="7EF1177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2.70</w:t>
            </w:r>
          </w:p>
          <w:p w14:paraId="021E33C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(0.84, 8.33)</w:t>
            </w:r>
            <w:r w:rsidRPr="00B27879">
              <w:rPr>
                <w:color w:val="auto"/>
                <w:vertAlign w:val="superscript"/>
                <w:lang w:val="en-AU"/>
              </w:rPr>
              <w:t>e</w:t>
            </w:r>
          </w:p>
          <w:p w14:paraId="5BB63E2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P=0.08</w:t>
            </w:r>
          </w:p>
        </w:tc>
        <w:tc>
          <w:tcPr>
            <w:tcW w:w="454" w:type="pct"/>
            <w:vMerge/>
          </w:tcPr>
          <w:p w14:paraId="797C241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B27879" w14:paraId="33B6F457" w14:textId="77777777" w:rsidTr="00D505D2">
        <w:tc>
          <w:tcPr>
            <w:cnfStyle w:val="001000000000" w:firstRow="0" w:lastRow="0" w:firstColumn="1" w:lastColumn="0" w:oddVBand="0" w:evenVBand="0" w:oddHBand="0" w:evenHBand="0" w:firstRowFirstColumn="0" w:firstRowLastColumn="0" w:lastRowFirstColumn="0" w:lastRowLastColumn="0"/>
            <w:tcW w:w="444" w:type="pct"/>
            <w:vMerge/>
          </w:tcPr>
          <w:p w14:paraId="5B8ED638" w14:textId="77777777" w:rsidR="002E2824" w:rsidRPr="00B27879" w:rsidRDefault="002E2824" w:rsidP="00E96DDB">
            <w:pPr>
              <w:pStyle w:val="TableText"/>
              <w:keepNext/>
              <w:keepLines/>
              <w:contextualSpacing w:val="0"/>
              <w:rPr>
                <w:color w:val="auto"/>
                <w:lang w:val="en-AU"/>
              </w:rPr>
            </w:pPr>
          </w:p>
        </w:tc>
        <w:tc>
          <w:tcPr>
            <w:tcW w:w="530" w:type="pct"/>
            <w:vMerge/>
          </w:tcPr>
          <w:p w14:paraId="11BD0EF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21" w:type="pct"/>
            <w:vMerge/>
          </w:tcPr>
          <w:p w14:paraId="1CF4E84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709" w:type="pct"/>
          </w:tcPr>
          <w:p w14:paraId="7A80135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first-line therapy</w:t>
            </w:r>
          </w:p>
        </w:tc>
        <w:tc>
          <w:tcPr>
            <w:tcW w:w="709" w:type="pct"/>
          </w:tcPr>
          <w:p w14:paraId="1E72836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N=17</w:t>
            </w:r>
          </w:p>
          <w:p w14:paraId="2A2843C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24.9 months</w:t>
            </w:r>
          </w:p>
          <w:p w14:paraId="65BC69E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(17.7, NA)</w:t>
            </w:r>
          </w:p>
        </w:tc>
        <w:tc>
          <w:tcPr>
            <w:tcW w:w="537" w:type="pct"/>
          </w:tcPr>
          <w:p w14:paraId="0837A98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N=145</w:t>
            </w:r>
          </w:p>
          <w:p w14:paraId="5A6E3A2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14.8 months</w:t>
            </w:r>
          </w:p>
          <w:p w14:paraId="51BA2C9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 (12.2−17.8)</w:t>
            </w:r>
          </w:p>
        </w:tc>
        <w:tc>
          <w:tcPr>
            <w:tcW w:w="510" w:type="pct"/>
          </w:tcPr>
          <w:p w14:paraId="6E4E1DD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10.1 months</w:t>
            </w:r>
          </w:p>
        </w:tc>
        <w:tc>
          <w:tcPr>
            <w:tcW w:w="586" w:type="pct"/>
          </w:tcPr>
          <w:p w14:paraId="45DC5BC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3.13</w:t>
            </w:r>
          </w:p>
          <w:p w14:paraId="31BAFAC7"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(1.18, 8.33)</w:t>
            </w:r>
            <w:r w:rsidRPr="00B27879">
              <w:rPr>
                <w:color w:val="auto"/>
                <w:vertAlign w:val="superscript"/>
                <w:lang w:val="en-AU"/>
              </w:rPr>
              <w:t>f</w:t>
            </w:r>
          </w:p>
          <w:p w14:paraId="6D33715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P=0.02</w:t>
            </w:r>
          </w:p>
        </w:tc>
        <w:tc>
          <w:tcPr>
            <w:tcW w:w="454" w:type="pct"/>
            <w:vMerge/>
          </w:tcPr>
          <w:p w14:paraId="698F262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B27879" w14:paraId="30FDEC32" w14:textId="77777777" w:rsidTr="00D505D2">
        <w:tc>
          <w:tcPr>
            <w:cnfStyle w:val="001000000000" w:firstRow="0" w:lastRow="0" w:firstColumn="1" w:lastColumn="0" w:oddVBand="0" w:evenVBand="0" w:oddHBand="0" w:evenHBand="0" w:firstRowFirstColumn="0" w:firstRowLastColumn="0" w:lastRowFirstColumn="0" w:lastRowLastColumn="0"/>
            <w:tcW w:w="444" w:type="pct"/>
          </w:tcPr>
          <w:p w14:paraId="0CC88F77" w14:textId="77777777" w:rsidR="002E2824" w:rsidRPr="00B27879" w:rsidRDefault="002E2824" w:rsidP="00E96DDB">
            <w:pPr>
              <w:pStyle w:val="TableText"/>
              <w:keepNext/>
              <w:keepLines/>
              <w:contextualSpacing w:val="0"/>
              <w:rPr>
                <w:color w:val="auto"/>
                <w:lang w:val="en-AU"/>
              </w:rPr>
            </w:pPr>
            <w:r w:rsidRPr="00B27879">
              <w:rPr>
                <w:color w:val="auto"/>
                <w:lang w:val="en-AU"/>
              </w:rPr>
              <w:t>Boerner 2021</w:t>
            </w:r>
          </w:p>
        </w:tc>
        <w:tc>
          <w:tcPr>
            <w:tcW w:w="530" w:type="pct"/>
          </w:tcPr>
          <w:p w14:paraId="0534844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iCCA</w:t>
            </w:r>
          </w:p>
          <w:p w14:paraId="4AC251A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(Stage IV – 43%)</w:t>
            </w:r>
          </w:p>
        </w:tc>
        <w:tc>
          <w:tcPr>
            <w:tcW w:w="521" w:type="pct"/>
          </w:tcPr>
          <w:p w14:paraId="1BC47686" w14:textId="194F2E4C"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NGS (fusions)</w:t>
            </w:r>
          </w:p>
        </w:tc>
        <w:tc>
          <w:tcPr>
            <w:tcW w:w="709" w:type="pct"/>
          </w:tcPr>
          <w:p w14:paraId="5B03C54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resection</w:t>
            </w:r>
          </w:p>
        </w:tc>
        <w:tc>
          <w:tcPr>
            <w:tcW w:w="709" w:type="pct"/>
          </w:tcPr>
          <w:p w14:paraId="3AB3088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N=46</w:t>
            </w:r>
          </w:p>
          <w:p w14:paraId="015B32E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46.8 months</w:t>
            </w:r>
          </w:p>
          <w:p w14:paraId="22BCBE8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(24.7, 74.8)</w:t>
            </w:r>
          </w:p>
        </w:tc>
        <w:tc>
          <w:tcPr>
            <w:tcW w:w="537" w:type="pct"/>
          </w:tcPr>
          <w:p w14:paraId="3DE62F7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N=264</w:t>
            </w:r>
            <w:r w:rsidRPr="00B27879">
              <w:rPr>
                <w:color w:val="auto"/>
                <w:vertAlign w:val="superscript"/>
                <w:lang w:val="en-AU"/>
              </w:rPr>
              <w:t>g</w:t>
            </w:r>
          </w:p>
          <w:p w14:paraId="42B8A9B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29.6 months</w:t>
            </w:r>
          </w:p>
          <w:p w14:paraId="41537E7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(24.5, 33.8)</w:t>
            </w:r>
          </w:p>
        </w:tc>
        <w:tc>
          <w:tcPr>
            <w:tcW w:w="510" w:type="pct"/>
          </w:tcPr>
          <w:p w14:paraId="3B2667E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17.2 months</w:t>
            </w:r>
          </w:p>
        </w:tc>
        <w:tc>
          <w:tcPr>
            <w:tcW w:w="586" w:type="pct"/>
          </w:tcPr>
          <w:p w14:paraId="4B6DD5C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1.12</w:t>
            </w:r>
          </w:p>
          <w:p w14:paraId="4FADFABE"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vertAlign w:val="superscript"/>
                <w:lang w:val="en-AU"/>
              </w:rPr>
            </w:pPr>
            <w:r w:rsidRPr="00B27879">
              <w:rPr>
                <w:color w:val="auto"/>
                <w:lang w:val="en-AU"/>
              </w:rPr>
              <w:t>(0.76, 1.67)</w:t>
            </w:r>
            <w:r w:rsidRPr="00B27879">
              <w:rPr>
                <w:color w:val="auto"/>
                <w:vertAlign w:val="superscript"/>
                <w:lang w:val="en-AU"/>
              </w:rPr>
              <w:t>h</w:t>
            </w:r>
          </w:p>
          <w:p w14:paraId="60793C9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P=0.20</w:t>
            </w:r>
          </w:p>
        </w:tc>
        <w:tc>
          <w:tcPr>
            <w:tcW w:w="454" w:type="pct"/>
          </w:tcPr>
          <w:p w14:paraId="26173AF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1.17</w:t>
            </w:r>
          </w:p>
          <w:p w14:paraId="643DC6B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(0.80, 1.70) </w:t>
            </w:r>
          </w:p>
        </w:tc>
      </w:tr>
      <w:tr w:rsidR="007900E9" w:rsidRPr="00B27879" w14:paraId="472A0F87" w14:textId="77777777" w:rsidTr="00D505D2">
        <w:tc>
          <w:tcPr>
            <w:cnfStyle w:val="001000000000" w:firstRow="0" w:lastRow="0" w:firstColumn="1" w:lastColumn="0" w:oddVBand="0" w:evenVBand="0" w:oddHBand="0" w:evenHBand="0" w:firstRowFirstColumn="0" w:firstRowLastColumn="0" w:lastRowFirstColumn="0" w:lastRowLastColumn="0"/>
            <w:tcW w:w="444" w:type="pct"/>
          </w:tcPr>
          <w:p w14:paraId="185B0219" w14:textId="77777777" w:rsidR="002E2824" w:rsidRPr="00B27879" w:rsidRDefault="002E2824" w:rsidP="00E96DDB">
            <w:pPr>
              <w:pStyle w:val="TableText"/>
              <w:keepNext/>
              <w:keepLines/>
              <w:contextualSpacing w:val="0"/>
              <w:rPr>
                <w:color w:val="auto"/>
                <w:lang w:val="en-AU"/>
              </w:rPr>
            </w:pPr>
            <w:r w:rsidRPr="00B27879">
              <w:rPr>
                <w:color w:val="auto"/>
                <w:lang w:val="en-AU"/>
              </w:rPr>
              <w:t>Pu 2021</w:t>
            </w:r>
          </w:p>
        </w:tc>
        <w:tc>
          <w:tcPr>
            <w:tcW w:w="530" w:type="pct"/>
          </w:tcPr>
          <w:p w14:paraId="766C3AF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Resected iCCA</w:t>
            </w:r>
          </w:p>
          <w:p w14:paraId="311E22C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(Stage IV – 24.2%)</w:t>
            </w:r>
          </w:p>
        </w:tc>
        <w:tc>
          <w:tcPr>
            <w:tcW w:w="521" w:type="pct"/>
          </w:tcPr>
          <w:p w14:paraId="6C29872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FISH</w:t>
            </w:r>
          </w:p>
        </w:tc>
        <w:tc>
          <w:tcPr>
            <w:tcW w:w="709" w:type="pct"/>
          </w:tcPr>
          <w:p w14:paraId="1032F95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resection</w:t>
            </w:r>
          </w:p>
        </w:tc>
        <w:tc>
          <w:tcPr>
            <w:tcW w:w="709" w:type="pct"/>
          </w:tcPr>
          <w:p w14:paraId="0E93BF4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N=9</w:t>
            </w:r>
          </w:p>
          <w:p w14:paraId="551E676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28.3 months</w:t>
            </w:r>
          </w:p>
          <w:p w14:paraId="0A72AFD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(4, 53)</w:t>
            </w:r>
          </w:p>
        </w:tc>
        <w:tc>
          <w:tcPr>
            <w:tcW w:w="537" w:type="pct"/>
          </w:tcPr>
          <w:p w14:paraId="6CD1A75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N=164</w:t>
            </w:r>
          </w:p>
          <w:p w14:paraId="420ECB8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45.1 months</w:t>
            </w:r>
          </w:p>
          <w:p w14:paraId="4CA359D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(3, 82)</w:t>
            </w:r>
          </w:p>
        </w:tc>
        <w:tc>
          <w:tcPr>
            <w:tcW w:w="510" w:type="pct"/>
          </w:tcPr>
          <w:p w14:paraId="31BAEF8A"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-16.7 months</w:t>
            </w:r>
          </w:p>
          <w:p w14:paraId="6B8457D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tc>
        <w:tc>
          <w:tcPr>
            <w:tcW w:w="586" w:type="pct"/>
          </w:tcPr>
          <w:p w14:paraId="4F2A198F"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p w14:paraId="1D236FF9"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P=0.98</w:t>
            </w:r>
          </w:p>
        </w:tc>
        <w:tc>
          <w:tcPr>
            <w:tcW w:w="454" w:type="pct"/>
          </w:tcPr>
          <w:p w14:paraId="738B61F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1.48 </w:t>
            </w:r>
          </w:p>
          <w:p w14:paraId="45396D7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(0.70, 3.15) </w:t>
            </w:r>
          </w:p>
        </w:tc>
      </w:tr>
      <w:tr w:rsidR="007900E9" w:rsidRPr="00B27879" w14:paraId="3EA17DB4" w14:textId="77777777" w:rsidTr="00D505D2">
        <w:tc>
          <w:tcPr>
            <w:cnfStyle w:val="001000000000" w:firstRow="0" w:lastRow="0" w:firstColumn="1" w:lastColumn="0" w:oddVBand="0" w:evenVBand="0" w:oddHBand="0" w:evenHBand="0" w:firstRowFirstColumn="0" w:firstRowLastColumn="0" w:lastRowFirstColumn="0" w:lastRowLastColumn="0"/>
            <w:tcW w:w="444" w:type="pct"/>
          </w:tcPr>
          <w:p w14:paraId="33A293F2" w14:textId="77777777" w:rsidR="002E2824" w:rsidRPr="00B27879" w:rsidRDefault="002E2824" w:rsidP="00E96DDB">
            <w:pPr>
              <w:pStyle w:val="TableText"/>
              <w:keepNext/>
              <w:keepLines/>
              <w:contextualSpacing w:val="0"/>
              <w:rPr>
                <w:color w:val="auto"/>
                <w:lang w:val="en-AU"/>
              </w:rPr>
            </w:pPr>
            <w:r w:rsidRPr="00B27879">
              <w:rPr>
                <w:color w:val="auto"/>
                <w:lang w:val="en-AU"/>
              </w:rPr>
              <w:t>Javle 2016</w:t>
            </w:r>
          </w:p>
        </w:tc>
        <w:tc>
          <w:tcPr>
            <w:tcW w:w="530" w:type="pct"/>
          </w:tcPr>
          <w:p w14:paraId="7F1285F3"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iCCA</w:t>
            </w:r>
          </w:p>
          <w:p w14:paraId="04A9AFB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(Stage IV – 18%)</w:t>
            </w:r>
          </w:p>
        </w:tc>
        <w:tc>
          <w:tcPr>
            <w:tcW w:w="521" w:type="pct"/>
          </w:tcPr>
          <w:p w14:paraId="7CC6E3A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NGS</w:t>
            </w:r>
          </w:p>
        </w:tc>
        <w:tc>
          <w:tcPr>
            <w:tcW w:w="709" w:type="pct"/>
          </w:tcPr>
          <w:p w14:paraId="75189E9C"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From diagnosis</w:t>
            </w:r>
          </w:p>
        </w:tc>
        <w:tc>
          <w:tcPr>
            <w:tcW w:w="709" w:type="pct"/>
          </w:tcPr>
          <w:p w14:paraId="4C89CD2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N=30</w:t>
            </w:r>
          </w:p>
          <w:p w14:paraId="5D90C642"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NA</w:t>
            </w:r>
          </w:p>
        </w:tc>
        <w:tc>
          <w:tcPr>
            <w:tcW w:w="537" w:type="pct"/>
          </w:tcPr>
          <w:p w14:paraId="1612B170"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N=194</w:t>
            </w:r>
          </w:p>
          <w:p w14:paraId="662DD8E5"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 xml:space="preserve">187 weeks </w:t>
            </w:r>
          </w:p>
          <w:p w14:paraId="07E6C6C6"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(172, 226)</w:t>
            </w:r>
          </w:p>
        </w:tc>
        <w:tc>
          <w:tcPr>
            <w:tcW w:w="510" w:type="pct"/>
          </w:tcPr>
          <w:p w14:paraId="3B645DE4"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NA</w:t>
            </w:r>
          </w:p>
        </w:tc>
        <w:tc>
          <w:tcPr>
            <w:tcW w:w="586" w:type="pct"/>
          </w:tcPr>
          <w:p w14:paraId="1472C401"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NR</w:t>
            </w:r>
          </w:p>
          <w:p w14:paraId="11D61B7B"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P=0.001</w:t>
            </w:r>
            <w:r w:rsidRPr="00B27879">
              <w:rPr>
                <w:color w:val="auto"/>
                <w:vertAlign w:val="superscript"/>
                <w:lang w:val="en-AU"/>
              </w:rPr>
              <w:t>i</w:t>
            </w:r>
          </w:p>
        </w:tc>
        <w:tc>
          <w:tcPr>
            <w:tcW w:w="454" w:type="pct"/>
          </w:tcPr>
          <w:p w14:paraId="5DE8EB3D"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0.84</w:t>
            </w:r>
          </w:p>
          <w:p w14:paraId="4B956DC8" w14:textId="77777777" w:rsidR="002E2824" w:rsidRPr="00B27879" w:rsidRDefault="002E2824" w:rsidP="00E96DDB">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B27879">
              <w:rPr>
                <w:color w:val="auto"/>
                <w:lang w:val="en-AU"/>
              </w:rPr>
              <w:t>(0.31, 2.24)</w:t>
            </w:r>
            <w:r w:rsidRPr="00B27879">
              <w:rPr>
                <w:color w:val="auto"/>
                <w:vertAlign w:val="superscript"/>
                <w:lang w:val="en-AU"/>
              </w:rPr>
              <w:t>j</w:t>
            </w:r>
          </w:p>
        </w:tc>
      </w:tr>
    </w:tbl>
    <w:p w14:paraId="54603962" w14:textId="77777777" w:rsidR="002E2824" w:rsidRPr="00E96DDB" w:rsidRDefault="002E2824" w:rsidP="00ED2100">
      <w:pPr>
        <w:pStyle w:val="TableFooter"/>
        <w:keepNext/>
        <w:keepLines/>
        <w:rPr>
          <w:sz w:val="17"/>
          <w:szCs w:val="17"/>
        </w:rPr>
      </w:pPr>
      <w:r w:rsidRPr="00E96DDB">
        <w:rPr>
          <w:sz w:val="17"/>
          <w:szCs w:val="17"/>
        </w:rPr>
        <w:t xml:space="preserve">Source: Table 2.7, p71 of the submission. </w:t>
      </w:r>
    </w:p>
    <w:p w14:paraId="0A863A06" w14:textId="79E2BD41" w:rsidR="002E2824" w:rsidRPr="00E96DDB" w:rsidRDefault="002E2824" w:rsidP="00ED2100">
      <w:pPr>
        <w:pStyle w:val="TableFooter"/>
        <w:keepNext/>
        <w:keepLines/>
        <w:rPr>
          <w:sz w:val="17"/>
          <w:szCs w:val="17"/>
        </w:rPr>
      </w:pPr>
      <w:r w:rsidRPr="00E96DDB">
        <w:rPr>
          <w:sz w:val="17"/>
          <w:szCs w:val="17"/>
        </w:rPr>
        <w:t xml:space="preserve">CI = confidence interval; iCCA = intrahepatic cholangiocarcinoma; </w:t>
      </w:r>
      <w:r w:rsidR="00400D74" w:rsidRPr="00E96DDB">
        <w:rPr>
          <w:i/>
          <w:iCs/>
          <w:sz w:val="17"/>
          <w:szCs w:val="17"/>
        </w:rPr>
        <w:t>FGFR</w:t>
      </w:r>
      <w:r w:rsidR="00D505D2" w:rsidRPr="00E96DDB">
        <w:rPr>
          <w:i/>
          <w:iCs/>
          <w:sz w:val="17"/>
          <w:szCs w:val="17"/>
        </w:rPr>
        <w:t xml:space="preserve">2 = </w:t>
      </w:r>
      <w:r w:rsidR="00D505D2" w:rsidRPr="00E96DDB">
        <w:rPr>
          <w:sz w:val="17"/>
          <w:szCs w:val="17"/>
        </w:rPr>
        <w:t>fibroblast growth factor 2;</w:t>
      </w:r>
      <w:r w:rsidR="00D505D2" w:rsidRPr="00E96DDB">
        <w:rPr>
          <w:i/>
          <w:iCs/>
          <w:sz w:val="17"/>
          <w:szCs w:val="17"/>
        </w:rPr>
        <w:t xml:space="preserve"> </w:t>
      </w:r>
      <w:r w:rsidRPr="00E96DDB">
        <w:rPr>
          <w:sz w:val="17"/>
          <w:szCs w:val="17"/>
        </w:rPr>
        <w:t xml:space="preserve">FISH = fluorescence in situ hybridization; </w:t>
      </w:r>
      <w:r w:rsidR="00CF780E" w:rsidRPr="00E96DDB">
        <w:rPr>
          <w:sz w:val="17"/>
          <w:szCs w:val="17"/>
        </w:rPr>
        <w:t xml:space="preserve">HR = hazard ratio; </w:t>
      </w:r>
      <w:r w:rsidRPr="00E96DDB">
        <w:rPr>
          <w:sz w:val="17"/>
          <w:szCs w:val="17"/>
        </w:rPr>
        <w:t>OS = overall survival; NGS = next generation sequencing; NA = not applicable; NE = not evaluable; NR = not reported</w:t>
      </w:r>
      <w:r w:rsidR="00D505D2" w:rsidRPr="00E96DDB">
        <w:rPr>
          <w:sz w:val="17"/>
          <w:szCs w:val="17"/>
        </w:rPr>
        <w:t xml:space="preserve">; WT = </w:t>
      </w:r>
      <w:r w:rsidR="00FB6724" w:rsidRPr="00E96DDB">
        <w:rPr>
          <w:sz w:val="17"/>
          <w:szCs w:val="17"/>
        </w:rPr>
        <w:t>Wild Type</w:t>
      </w:r>
    </w:p>
    <w:p w14:paraId="5A6CAE5A" w14:textId="294EC9FC" w:rsidR="002E2824" w:rsidRPr="00E96DDB" w:rsidRDefault="002E2824" w:rsidP="00ED2100">
      <w:pPr>
        <w:pStyle w:val="TableFooter"/>
        <w:keepNext/>
        <w:keepLines/>
        <w:rPr>
          <w:sz w:val="17"/>
          <w:szCs w:val="17"/>
        </w:rPr>
      </w:pPr>
      <w:r w:rsidRPr="00E96DDB">
        <w:rPr>
          <w:rStyle w:val="FootnoteReference"/>
          <w:sz w:val="17"/>
          <w:szCs w:val="17"/>
        </w:rPr>
        <w:t>a</w:t>
      </w:r>
      <w:r w:rsidRPr="00E96DDB">
        <w:rPr>
          <w:sz w:val="17"/>
          <w:szCs w:val="17"/>
        </w:rPr>
        <w:t xml:space="preserve"> Unclear timing of outcome measurement. </w:t>
      </w:r>
    </w:p>
    <w:p w14:paraId="1669990D" w14:textId="77777777" w:rsidR="002E2824" w:rsidRPr="00E96DDB" w:rsidRDefault="002E2824" w:rsidP="00ED2100">
      <w:pPr>
        <w:pStyle w:val="TableFooter"/>
        <w:keepNext/>
        <w:keepLines/>
        <w:rPr>
          <w:sz w:val="17"/>
          <w:szCs w:val="17"/>
        </w:rPr>
      </w:pPr>
      <w:r w:rsidRPr="00E96DDB">
        <w:rPr>
          <w:rStyle w:val="FootnoteReference"/>
          <w:sz w:val="17"/>
          <w:szCs w:val="17"/>
        </w:rPr>
        <w:t>b</w:t>
      </w:r>
      <w:r w:rsidRPr="00E96DDB">
        <w:rPr>
          <w:sz w:val="17"/>
          <w:szCs w:val="17"/>
        </w:rPr>
        <w:t xml:space="preserve"> Based on univariate analysis. Recalculated from the reported death HR 0.43 (0.18, 0.99); Note that for the multivariable analysis the death HR was 0.23 (0.09, 0.62). </w:t>
      </w:r>
    </w:p>
    <w:p w14:paraId="6C213FD7" w14:textId="77777777" w:rsidR="002E2824" w:rsidRPr="00E96DDB" w:rsidRDefault="002E2824" w:rsidP="00ED2100">
      <w:pPr>
        <w:pStyle w:val="TableFooter"/>
        <w:keepNext/>
        <w:keepLines/>
        <w:rPr>
          <w:sz w:val="17"/>
          <w:szCs w:val="17"/>
        </w:rPr>
      </w:pPr>
      <w:r w:rsidRPr="00E96DDB">
        <w:rPr>
          <w:rStyle w:val="FootnoteReference"/>
          <w:sz w:val="17"/>
          <w:szCs w:val="17"/>
        </w:rPr>
        <w:t>c</w:t>
      </w:r>
      <w:r w:rsidRPr="00E96DDB">
        <w:rPr>
          <w:sz w:val="17"/>
          <w:szCs w:val="17"/>
        </w:rPr>
        <w:t xml:space="preserve"> Based on univariate analysis – relates to FGFR2 aberrations only. Recalculated from the reported death HR 0.40 (0.19, 0.84). Includes patients who received FGFR2 inhibitors.</w:t>
      </w:r>
    </w:p>
    <w:p w14:paraId="529B1D2E" w14:textId="77777777" w:rsidR="002E2824" w:rsidRPr="00E96DDB" w:rsidRDefault="002E2824" w:rsidP="00ED2100">
      <w:pPr>
        <w:pStyle w:val="TableFooter"/>
        <w:keepNext/>
        <w:keepLines/>
        <w:rPr>
          <w:sz w:val="17"/>
          <w:szCs w:val="17"/>
        </w:rPr>
      </w:pPr>
      <w:r w:rsidRPr="00E96DDB">
        <w:rPr>
          <w:rStyle w:val="FootnoteReference"/>
          <w:sz w:val="17"/>
          <w:szCs w:val="17"/>
        </w:rPr>
        <w:t>d</w:t>
      </w:r>
      <w:r w:rsidRPr="00E96DDB">
        <w:rPr>
          <w:sz w:val="17"/>
          <w:szCs w:val="17"/>
        </w:rPr>
        <w:t xml:space="preserve"> Based on univariate analysis – relates to FGFR2 aberrations only. Recalculated from the reported death HR 0.34 (0.13, 0.92). Includes patients who received FGFR2 inhibitors. </w:t>
      </w:r>
    </w:p>
    <w:p w14:paraId="23BB5424" w14:textId="77777777" w:rsidR="002E2824" w:rsidRPr="00E96DDB" w:rsidRDefault="002E2824" w:rsidP="00ED2100">
      <w:pPr>
        <w:pStyle w:val="TableFooter"/>
        <w:keepNext/>
        <w:keepLines/>
        <w:rPr>
          <w:sz w:val="17"/>
          <w:szCs w:val="17"/>
        </w:rPr>
      </w:pPr>
      <w:r w:rsidRPr="00E96DDB">
        <w:rPr>
          <w:rStyle w:val="FootnoteReference"/>
          <w:sz w:val="17"/>
          <w:szCs w:val="17"/>
        </w:rPr>
        <w:t>e</w:t>
      </w:r>
      <w:r w:rsidRPr="00E96DDB">
        <w:rPr>
          <w:sz w:val="17"/>
          <w:szCs w:val="17"/>
        </w:rPr>
        <w:t xml:space="preserve"> Based on univariate analysis – relates to FGFR2 aberrations only. Recalculated from the reported death HR 0.37 (0.12, 1.19). Includes patients who received FGFR2 inhibitors. </w:t>
      </w:r>
    </w:p>
    <w:p w14:paraId="6497A82A" w14:textId="77777777" w:rsidR="002E2824" w:rsidRPr="00E96DDB" w:rsidRDefault="002E2824" w:rsidP="00ED2100">
      <w:pPr>
        <w:pStyle w:val="TableFooter"/>
        <w:keepNext/>
        <w:keepLines/>
        <w:rPr>
          <w:sz w:val="17"/>
          <w:szCs w:val="17"/>
        </w:rPr>
      </w:pPr>
      <w:r w:rsidRPr="00E96DDB">
        <w:rPr>
          <w:rStyle w:val="FootnoteReference"/>
          <w:sz w:val="17"/>
          <w:szCs w:val="17"/>
        </w:rPr>
        <w:t>f</w:t>
      </w:r>
      <w:r w:rsidRPr="00E96DDB">
        <w:rPr>
          <w:sz w:val="17"/>
          <w:szCs w:val="17"/>
        </w:rPr>
        <w:t xml:space="preserve"> Based on univariate analysis – relates to FGFR2/3 aberrations. Recalculated from the reported death HR 0.32 (0.12, 0.85). Excludes 8 patients who received FGFR2 inhibitors. </w:t>
      </w:r>
    </w:p>
    <w:p w14:paraId="291B5137" w14:textId="77777777" w:rsidR="002E2824" w:rsidRPr="00E96DDB" w:rsidRDefault="002E2824" w:rsidP="00ED2100">
      <w:pPr>
        <w:pStyle w:val="TableFooter"/>
        <w:keepNext/>
        <w:keepLines/>
        <w:rPr>
          <w:sz w:val="17"/>
          <w:szCs w:val="17"/>
        </w:rPr>
      </w:pPr>
      <w:r w:rsidRPr="00E96DDB">
        <w:rPr>
          <w:rStyle w:val="FootnoteReference"/>
          <w:sz w:val="17"/>
          <w:szCs w:val="17"/>
        </w:rPr>
        <w:t>g</w:t>
      </w:r>
      <w:r w:rsidRPr="00E96DDB">
        <w:rPr>
          <w:sz w:val="17"/>
          <w:szCs w:val="17"/>
        </w:rPr>
        <w:t xml:space="preserve"> Excludes patients with IDH1 alterations. </w:t>
      </w:r>
    </w:p>
    <w:p w14:paraId="18076B6C" w14:textId="77777777" w:rsidR="002E2824" w:rsidRPr="00E96DDB" w:rsidRDefault="002E2824" w:rsidP="00ED2100">
      <w:pPr>
        <w:pStyle w:val="TableFooter"/>
        <w:keepNext/>
        <w:keepLines/>
        <w:rPr>
          <w:sz w:val="17"/>
          <w:szCs w:val="17"/>
        </w:rPr>
      </w:pPr>
      <w:r w:rsidRPr="00E96DDB">
        <w:rPr>
          <w:rStyle w:val="FootnoteReference"/>
          <w:sz w:val="17"/>
          <w:szCs w:val="17"/>
        </w:rPr>
        <w:t>h</w:t>
      </w:r>
      <w:r w:rsidRPr="00E96DDB">
        <w:rPr>
          <w:sz w:val="17"/>
          <w:szCs w:val="17"/>
        </w:rPr>
        <w:t xml:space="preserve"> Based on univariate analysis. Recalculated from the reported OS HR 0.89 (0.60, 1.31) – given OS is higher in the FGFR2+, and the HR should be &gt;1, the result was inverted.</w:t>
      </w:r>
    </w:p>
    <w:p w14:paraId="6FB0C9CD" w14:textId="77777777" w:rsidR="002E2824" w:rsidRPr="00E96DDB" w:rsidRDefault="002E2824" w:rsidP="00ED2100">
      <w:pPr>
        <w:pStyle w:val="TableFooter"/>
        <w:keepNext/>
        <w:keepLines/>
        <w:rPr>
          <w:sz w:val="17"/>
          <w:szCs w:val="17"/>
        </w:rPr>
      </w:pPr>
      <w:r w:rsidRPr="00E96DDB">
        <w:rPr>
          <w:sz w:val="17"/>
          <w:szCs w:val="17"/>
          <w:vertAlign w:val="superscript"/>
        </w:rPr>
        <w:t>I</w:t>
      </w:r>
      <w:r w:rsidRPr="00E96DDB">
        <w:rPr>
          <w:sz w:val="17"/>
          <w:szCs w:val="17"/>
        </w:rPr>
        <w:t xml:space="preserve"> On multivariate analysis, FGFR alteration was significantly associated with increased OS (P=0.03). </w:t>
      </w:r>
    </w:p>
    <w:p w14:paraId="6C3AA6D2" w14:textId="558EE61D" w:rsidR="002E2824" w:rsidRPr="00E96DDB" w:rsidRDefault="002E2824" w:rsidP="00ED2100">
      <w:pPr>
        <w:pStyle w:val="TableFooter"/>
        <w:keepNext/>
        <w:keepLines/>
        <w:rPr>
          <w:sz w:val="17"/>
          <w:szCs w:val="17"/>
        </w:rPr>
      </w:pPr>
      <w:r w:rsidRPr="00E96DDB">
        <w:rPr>
          <w:rStyle w:val="FootnoteReference"/>
          <w:sz w:val="17"/>
          <w:szCs w:val="17"/>
        </w:rPr>
        <w:t>j</w:t>
      </w:r>
      <w:r w:rsidRPr="00E96DDB">
        <w:rPr>
          <w:sz w:val="17"/>
          <w:szCs w:val="17"/>
        </w:rPr>
        <w:t xml:space="preserve"> Based on the survival curve (Figure 4 of the publication), the HR should be &gt;1</w:t>
      </w:r>
    </w:p>
    <w:p w14:paraId="312B0A21" w14:textId="2339BFEA" w:rsidR="002E2824" w:rsidRPr="00353AB8" w:rsidRDefault="001F5863" w:rsidP="00353AB8">
      <w:pPr>
        <w:jc w:val="left"/>
        <w:rPr>
          <w:rFonts w:ascii="Franklin Gothic Book" w:hAnsi="Franklin Gothic Book"/>
          <w:sz w:val="22"/>
        </w:rPr>
      </w:pPr>
      <w:r w:rsidRPr="001F5863">
        <w:rPr>
          <w:rFonts w:ascii="Franklin Gothic Book" w:hAnsi="Franklin Gothic Book"/>
          <w:sz w:val="22"/>
        </w:rPr>
        <w:lastRenderedPageBreak/>
        <w:fldChar w:fldCharType="begin"/>
      </w:r>
      <w:r w:rsidRPr="001F5863">
        <w:rPr>
          <w:rFonts w:ascii="Franklin Gothic Book" w:hAnsi="Franklin Gothic Book"/>
          <w:sz w:val="22"/>
        </w:rPr>
        <w:instrText xml:space="preserve"> REF _Ref198447862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Figure </w:t>
      </w:r>
      <w:r w:rsidRPr="001F5863">
        <w:rPr>
          <w:rFonts w:ascii="Franklin Gothic Book" w:hAnsi="Franklin Gothic Book"/>
          <w:noProof/>
          <w:sz w:val="22"/>
        </w:rPr>
        <w:t>1</w:t>
      </w:r>
      <w:r w:rsidRPr="001F5863">
        <w:rPr>
          <w:rFonts w:ascii="Franklin Gothic Book" w:hAnsi="Franklin Gothic Book"/>
          <w:sz w:val="22"/>
        </w:rPr>
        <w:fldChar w:fldCharType="end"/>
      </w:r>
      <w:r>
        <w:rPr>
          <w:rFonts w:ascii="Franklin Gothic Book" w:hAnsi="Franklin Gothic Book"/>
          <w:sz w:val="22"/>
        </w:rPr>
        <w:t xml:space="preserve"> </w:t>
      </w:r>
      <w:r w:rsidR="002E2824" w:rsidRPr="00353AB8">
        <w:rPr>
          <w:rFonts w:ascii="Franklin Gothic Book" w:hAnsi="Franklin Gothic Book"/>
          <w:sz w:val="22"/>
        </w:rPr>
        <w:t xml:space="preserve">presents forest plots of the association between </w:t>
      </w:r>
      <w:r w:rsidR="002E2824" w:rsidRPr="00353AB8">
        <w:rPr>
          <w:rFonts w:ascii="Franklin Gothic Book" w:hAnsi="Franklin Gothic Book"/>
          <w:i/>
          <w:iCs/>
          <w:sz w:val="22"/>
        </w:rPr>
        <w:t>FGFR2</w:t>
      </w:r>
      <w:r w:rsidR="002E2824" w:rsidRPr="00353AB8">
        <w:rPr>
          <w:rFonts w:ascii="Franklin Gothic Book" w:hAnsi="Franklin Gothic Book"/>
          <w:sz w:val="22"/>
        </w:rPr>
        <w:t xml:space="preserve"> alterations and OS and DFS in CCA patients</w:t>
      </w:r>
      <w:r w:rsidR="00B67486" w:rsidRPr="00353AB8">
        <w:rPr>
          <w:rFonts w:ascii="Franklin Gothic Book" w:hAnsi="Franklin Gothic Book"/>
          <w:sz w:val="22"/>
        </w:rPr>
        <w:t xml:space="preserve"> as reported in </w:t>
      </w:r>
      <w:r w:rsidR="00F745EF" w:rsidRPr="00353AB8">
        <w:rPr>
          <w:rFonts w:ascii="Franklin Gothic Book" w:hAnsi="Franklin Gothic Book"/>
          <w:sz w:val="22"/>
        </w:rPr>
        <w:t xml:space="preserve">the meta-analysis by </w:t>
      </w:r>
      <w:r w:rsidR="00B67486" w:rsidRPr="00353AB8">
        <w:rPr>
          <w:rFonts w:ascii="Franklin Gothic Book" w:hAnsi="Franklin Gothic Book"/>
          <w:sz w:val="22"/>
        </w:rPr>
        <w:t>Niu 2024</w:t>
      </w:r>
      <w:r w:rsidR="002E2824" w:rsidRPr="00353AB8">
        <w:rPr>
          <w:rFonts w:ascii="Franklin Gothic Book" w:hAnsi="Franklin Gothic Book"/>
          <w:sz w:val="22"/>
        </w:rPr>
        <w:t>.</w:t>
      </w:r>
    </w:p>
    <w:p w14:paraId="5B306A01" w14:textId="03A67CCE" w:rsidR="002E2824" w:rsidRPr="00B27879" w:rsidRDefault="009D316D" w:rsidP="009D316D">
      <w:pPr>
        <w:pStyle w:val="Caption"/>
      </w:pPr>
      <w:bookmarkStart w:id="51" w:name="_Ref198447862"/>
      <w:bookmarkStart w:id="52" w:name="_Ref187692637"/>
      <w:r>
        <w:t xml:space="preserve">Figure </w:t>
      </w:r>
      <w:r>
        <w:fldChar w:fldCharType="begin"/>
      </w:r>
      <w:r>
        <w:instrText>SEQ Figure \* ARABIC</w:instrText>
      </w:r>
      <w:r>
        <w:fldChar w:fldCharType="separate"/>
      </w:r>
      <w:r w:rsidR="005B1C7E">
        <w:rPr>
          <w:noProof/>
        </w:rPr>
        <w:t>1</w:t>
      </w:r>
      <w:r>
        <w:fldChar w:fldCharType="end"/>
      </w:r>
      <w:bookmarkEnd w:id="51"/>
      <w:r>
        <w:tab/>
      </w:r>
      <w:bookmarkEnd w:id="52"/>
      <w:r w:rsidR="002E2824" w:rsidRPr="2914E55D">
        <w:t>Forest plot for the association for OS (A) and DFS (B) between FGFR2 alterations and iCCA patients – Niu 2024</w:t>
      </w:r>
    </w:p>
    <w:p w14:paraId="6B5F9648" w14:textId="77777777" w:rsidR="002E2824" w:rsidRPr="00B27879" w:rsidRDefault="002E2824" w:rsidP="002E2824">
      <w:r w:rsidRPr="00B27879">
        <w:rPr>
          <w:noProof/>
        </w:rPr>
        <w:drawing>
          <wp:inline distT="0" distB="0" distL="0" distR="0" wp14:anchorId="65FA9787" wp14:editId="6DC0EE07">
            <wp:extent cx="6120130" cy="3139440"/>
            <wp:effectExtent l="0" t="0" r="0" b="0"/>
            <wp:docPr id="1307832394" name="Picture 1" descr="Figure 1 Forest plot for the association for OS (A) and DFS (B) between FGFR2 alterations and iCCA patients – Niu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32394" name="Picture 1" descr="Figure 1 Forest plot for the association for OS (A) and DFS (B) between FGFR2 alterations and iCCA patients – Niu 2024"/>
                    <pic:cNvPicPr/>
                  </pic:nvPicPr>
                  <pic:blipFill>
                    <a:blip r:embed="rId10"/>
                    <a:stretch>
                      <a:fillRect/>
                    </a:stretch>
                  </pic:blipFill>
                  <pic:spPr>
                    <a:xfrm>
                      <a:off x="0" y="0"/>
                      <a:ext cx="6120130" cy="3139440"/>
                    </a:xfrm>
                    <a:prstGeom prst="rect">
                      <a:avLst/>
                    </a:prstGeom>
                  </pic:spPr>
                </pic:pic>
              </a:graphicData>
            </a:graphic>
          </wp:inline>
        </w:drawing>
      </w:r>
    </w:p>
    <w:p w14:paraId="4D1533E7" w14:textId="77777777" w:rsidR="002E2824" w:rsidRPr="00B27879" w:rsidRDefault="002E2824" w:rsidP="002E2824">
      <w:pPr>
        <w:pStyle w:val="TableFooter"/>
      </w:pPr>
      <w:r w:rsidRPr="00B27879">
        <w:t xml:space="preserve">Source: Figure 2.2, p73 of the submission. </w:t>
      </w:r>
    </w:p>
    <w:p w14:paraId="41750666" w14:textId="77777777" w:rsidR="002E2824" w:rsidRPr="00B27879" w:rsidRDefault="002E2824" w:rsidP="002E2824">
      <w:pPr>
        <w:pStyle w:val="TableFooter"/>
      </w:pPr>
      <w:r w:rsidRPr="00B27879">
        <w:t>Abbreviations: CI = confidence interval; SE = standard error</w:t>
      </w:r>
    </w:p>
    <w:p w14:paraId="41835CF5" w14:textId="207CD63D" w:rsidR="002E2824" w:rsidRPr="00B27879" w:rsidRDefault="002E2824" w:rsidP="002E2824">
      <w:pPr>
        <w:pStyle w:val="TableFooter"/>
      </w:pPr>
      <w:r w:rsidRPr="2914E55D">
        <w:t>Notes: A: Forest plot for the association between FGFR2 alterations and OS in iCCA patients; B: Forest plot for the association between FGFR2 alterations and DFS in iCCA patients.</w:t>
      </w:r>
    </w:p>
    <w:p w14:paraId="66CBBA12" w14:textId="7D522837" w:rsidR="002E2824" w:rsidRPr="00353AB8" w:rsidRDefault="002E2824" w:rsidP="00353AB8">
      <w:pPr>
        <w:jc w:val="left"/>
        <w:rPr>
          <w:rFonts w:ascii="Franklin Gothic Book" w:hAnsi="Franklin Gothic Book"/>
          <w:sz w:val="22"/>
        </w:rPr>
      </w:pPr>
      <w:r w:rsidRPr="00353AB8">
        <w:rPr>
          <w:rFonts w:ascii="Franklin Gothic Book" w:hAnsi="Franklin Gothic Book"/>
          <w:sz w:val="22"/>
        </w:rPr>
        <w:t xml:space="preserve">The results suggest a better prognosis in terms of OS for patients with CCA with an </w:t>
      </w:r>
      <w:r w:rsidRPr="00353AB8">
        <w:rPr>
          <w:rFonts w:ascii="Franklin Gothic Book" w:hAnsi="Franklin Gothic Book"/>
          <w:i/>
          <w:iCs/>
          <w:sz w:val="22"/>
        </w:rPr>
        <w:t xml:space="preserve">FGFR2 </w:t>
      </w:r>
      <w:r w:rsidRPr="00353AB8">
        <w:rPr>
          <w:rFonts w:ascii="Franklin Gothic Book" w:hAnsi="Franklin Gothic Book"/>
          <w:sz w:val="22"/>
        </w:rPr>
        <w:t>alteration compared with those without (HR 1.31; 95% CI 1.00, 1.72; p=0.049), and no difference in prognosis in terms of DFS HR 0.97; 0.59, 1.59; p=0.90). The submission, however noted that there are a number of limitations with the meta-analysis and individual included studies:</w:t>
      </w:r>
    </w:p>
    <w:p w14:paraId="30AE28B8" w14:textId="4686313E" w:rsidR="002E2824" w:rsidRPr="00353AB8" w:rsidRDefault="002E2824" w:rsidP="00353AB8">
      <w:pPr>
        <w:numPr>
          <w:ilvl w:val="0"/>
          <w:numId w:val="20"/>
        </w:numPr>
        <w:jc w:val="left"/>
        <w:rPr>
          <w:rFonts w:ascii="Franklin Gothic Book" w:hAnsi="Franklin Gothic Book"/>
          <w:i/>
          <w:iCs/>
          <w:sz w:val="22"/>
        </w:rPr>
      </w:pPr>
      <w:r w:rsidRPr="00353AB8">
        <w:rPr>
          <w:rFonts w:ascii="Franklin Gothic Book" w:hAnsi="Franklin Gothic Book"/>
          <w:sz w:val="22"/>
        </w:rPr>
        <w:t>The</w:t>
      </w:r>
      <w:r w:rsidR="009E00E0" w:rsidRPr="00353AB8">
        <w:rPr>
          <w:rFonts w:ascii="Franklin Gothic Book" w:hAnsi="Franklin Gothic Book"/>
          <w:sz w:val="22"/>
        </w:rPr>
        <w:t>re were</w:t>
      </w:r>
      <w:r w:rsidRPr="00353AB8">
        <w:rPr>
          <w:rFonts w:ascii="Franklin Gothic Book" w:hAnsi="Franklin Gothic Book"/>
          <w:sz w:val="22"/>
        </w:rPr>
        <w:t xml:space="preserve"> discrepancies between the HRs used in the meta-analysis and those extracted from the individual study publications for this submission. The submission identified three studies (Buckarma 2022, Rizzato 2022 and Boemer 2021) in which the OS HR used in the Niu 2024 meta-analysis differed to the respective publications.</w:t>
      </w:r>
      <w:r w:rsidRPr="00353AB8">
        <w:rPr>
          <w:rFonts w:ascii="Franklin Gothic Book" w:hAnsi="Franklin Gothic Book"/>
          <w:i/>
          <w:iCs/>
          <w:sz w:val="22"/>
        </w:rPr>
        <w:t xml:space="preserve"> </w:t>
      </w:r>
      <w:r w:rsidRPr="00353AB8">
        <w:rPr>
          <w:rFonts w:ascii="Franklin Gothic Book" w:hAnsi="Franklin Gothic Book"/>
          <w:sz w:val="22"/>
        </w:rPr>
        <w:t xml:space="preserve">However, </w:t>
      </w:r>
      <w:r w:rsidR="004864B8" w:rsidRPr="00353AB8">
        <w:rPr>
          <w:rFonts w:ascii="Franklin Gothic Book" w:hAnsi="Franklin Gothic Book"/>
          <w:sz w:val="22"/>
        </w:rPr>
        <w:t xml:space="preserve">the </w:t>
      </w:r>
      <w:r w:rsidR="00DA411C" w:rsidRPr="00353AB8">
        <w:rPr>
          <w:rFonts w:ascii="Franklin Gothic Book" w:hAnsi="Franklin Gothic Book"/>
          <w:sz w:val="22"/>
        </w:rPr>
        <w:t>commentary</w:t>
      </w:r>
      <w:r w:rsidR="004864B8" w:rsidRPr="00353AB8">
        <w:rPr>
          <w:rFonts w:ascii="Franklin Gothic Book" w:hAnsi="Franklin Gothic Book"/>
          <w:sz w:val="22"/>
        </w:rPr>
        <w:t xml:space="preserve"> note</w:t>
      </w:r>
      <w:r w:rsidR="00DA411C" w:rsidRPr="00353AB8">
        <w:rPr>
          <w:rFonts w:ascii="Franklin Gothic Book" w:hAnsi="Franklin Gothic Book"/>
          <w:sz w:val="22"/>
        </w:rPr>
        <w:t>d</w:t>
      </w:r>
      <w:r w:rsidR="004864B8" w:rsidRPr="00353AB8">
        <w:rPr>
          <w:rFonts w:ascii="Franklin Gothic Book" w:hAnsi="Franklin Gothic Book"/>
          <w:sz w:val="22"/>
        </w:rPr>
        <w:t xml:space="preserve"> </w:t>
      </w:r>
      <w:r w:rsidR="00855DED" w:rsidRPr="00353AB8">
        <w:rPr>
          <w:rFonts w:ascii="Franklin Gothic Book" w:hAnsi="Franklin Gothic Book"/>
          <w:sz w:val="22"/>
        </w:rPr>
        <w:t xml:space="preserve">that </w:t>
      </w:r>
      <w:r w:rsidRPr="00353AB8">
        <w:rPr>
          <w:rFonts w:ascii="Franklin Gothic Book" w:hAnsi="Franklin Gothic Book"/>
          <w:sz w:val="22"/>
        </w:rPr>
        <w:t xml:space="preserve">it appears that the point estimates of the meta-analysis reported OS HR were more conservative (i.e. lower in magnitude of difference between </w:t>
      </w:r>
      <w:r w:rsidRPr="00353AB8">
        <w:rPr>
          <w:rFonts w:ascii="Franklin Gothic Book" w:hAnsi="Franklin Gothic Book"/>
          <w:i/>
          <w:iCs/>
          <w:sz w:val="22"/>
        </w:rPr>
        <w:t>FGFR2</w:t>
      </w:r>
      <w:r w:rsidRPr="00353AB8">
        <w:rPr>
          <w:rFonts w:ascii="Franklin Gothic Book" w:hAnsi="Franklin Gothic Book"/>
          <w:sz w:val="22"/>
        </w:rPr>
        <w:t xml:space="preserve"> positive and </w:t>
      </w:r>
      <w:r w:rsidRPr="00353AB8">
        <w:rPr>
          <w:rFonts w:ascii="Franklin Gothic Book" w:hAnsi="Franklin Gothic Book"/>
          <w:i/>
          <w:iCs/>
          <w:sz w:val="22"/>
        </w:rPr>
        <w:t>FGFR2</w:t>
      </w:r>
      <w:r w:rsidRPr="00353AB8">
        <w:rPr>
          <w:rFonts w:ascii="Franklin Gothic Book" w:hAnsi="Franklin Gothic Book"/>
          <w:sz w:val="22"/>
        </w:rPr>
        <w:t xml:space="preserve"> </w:t>
      </w:r>
      <w:r w:rsidR="00FB6724" w:rsidRPr="00353AB8">
        <w:rPr>
          <w:rFonts w:ascii="Franklin Gothic Book" w:hAnsi="Franklin Gothic Book"/>
          <w:sz w:val="22"/>
        </w:rPr>
        <w:t>Wild Type</w:t>
      </w:r>
      <w:r w:rsidRPr="00353AB8">
        <w:rPr>
          <w:rFonts w:ascii="Franklin Gothic Book" w:hAnsi="Franklin Gothic Book"/>
          <w:sz w:val="22"/>
        </w:rPr>
        <w:t xml:space="preserve">) than the publication reported HR in both Buckarma 2022 (1.91 vs 2.33) and Rizzato 2022 (1.31 vs 2.50-3.13) and only slightly higher in Boemer 2021 (1.17 vs 1.21). As such, in as much as there was any bias in the use of HR derived from digitising of graphs, it may actually have underestimated the difference in OS between patients with </w:t>
      </w:r>
      <w:r w:rsidRPr="00353AB8">
        <w:rPr>
          <w:rFonts w:ascii="Franklin Gothic Book" w:hAnsi="Franklin Gothic Book"/>
          <w:i/>
          <w:iCs/>
          <w:sz w:val="22"/>
        </w:rPr>
        <w:t>FGFR2</w:t>
      </w:r>
      <w:r w:rsidRPr="00353AB8">
        <w:rPr>
          <w:rFonts w:ascii="Franklin Gothic Book" w:hAnsi="Franklin Gothic Book"/>
          <w:sz w:val="22"/>
        </w:rPr>
        <w:t xml:space="preserve"> </w:t>
      </w:r>
      <w:r w:rsidR="00253F36" w:rsidRPr="00353AB8">
        <w:rPr>
          <w:rFonts w:ascii="Franklin Gothic Book" w:hAnsi="Franklin Gothic Book"/>
          <w:sz w:val="22"/>
        </w:rPr>
        <w:t xml:space="preserve">variants </w:t>
      </w:r>
      <w:r w:rsidRPr="00353AB8">
        <w:rPr>
          <w:rFonts w:ascii="Franklin Gothic Book" w:hAnsi="Franklin Gothic Book"/>
          <w:sz w:val="22"/>
        </w:rPr>
        <w:t xml:space="preserve">and Wild Type </w:t>
      </w:r>
      <w:r w:rsidRPr="00353AB8">
        <w:rPr>
          <w:rFonts w:ascii="Franklin Gothic Book" w:hAnsi="Franklin Gothic Book"/>
          <w:i/>
          <w:iCs/>
          <w:sz w:val="22"/>
        </w:rPr>
        <w:t>FGFR2</w:t>
      </w:r>
      <w:r w:rsidRPr="00353AB8">
        <w:rPr>
          <w:rFonts w:ascii="Franklin Gothic Book" w:hAnsi="Franklin Gothic Book"/>
          <w:sz w:val="22"/>
        </w:rPr>
        <w:t>.</w:t>
      </w:r>
      <w:r w:rsidRPr="00353AB8">
        <w:rPr>
          <w:rFonts w:ascii="Franklin Gothic Book" w:hAnsi="Franklin Gothic Book"/>
          <w:i/>
          <w:iCs/>
          <w:sz w:val="22"/>
        </w:rPr>
        <w:t xml:space="preserve">  </w:t>
      </w:r>
    </w:p>
    <w:p w14:paraId="245CEF11" w14:textId="77777777" w:rsidR="002E2824" w:rsidRPr="00353AB8" w:rsidRDefault="002E2824" w:rsidP="00353AB8">
      <w:pPr>
        <w:numPr>
          <w:ilvl w:val="0"/>
          <w:numId w:val="20"/>
        </w:numPr>
        <w:jc w:val="left"/>
        <w:rPr>
          <w:rFonts w:ascii="Franklin Gothic Book" w:hAnsi="Franklin Gothic Book"/>
          <w:sz w:val="22"/>
        </w:rPr>
      </w:pPr>
      <w:r w:rsidRPr="00353AB8">
        <w:rPr>
          <w:rFonts w:ascii="Franklin Gothic Book" w:hAnsi="Franklin Gothic Book"/>
          <w:sz w:val="22"/>
        </w:rPr>
        <w:t xml:space="preserve">The lack of clarity from most studies on whether the </w:t>
      </w:r>
      <w:r w:rsidRPr="00353AB8">
        <w:rPr>
          <w:rFonts w:ascii="Franklin Gothic Book" w:hAnsi="Franklin Gothic Book"/>
          <w:i/>
          <w:iCs/>
          <w:sz w:val="22"/>
        </w:rPr>
        <w:t>FGFR2</w:t>
      </w:r>
      <w:r w:rsidRPr="00353AB8">
        <w:rPr>
          <w:rFonts w:ascii="Franklin Gothic Book" w:hAnsi="Franklin Gothic Book"/>
          <w:sz w:val="22"/>
        </w:rPr>
        <w:t xml:space="preserve">-altered populations included patients already treated with </w:t>
      </w:r>
      <w:r w:rsidRPr="00353AB8">
        <w:rPr>
          <w:rFonts w:ascii="Franklin Gothic Book" w:hAnsi="Franklin Gothic Book"/>
          <w:i/>
          <w:iCs/>
          <w:sz w:val="22"/>
        </w:rPr>
        <w:t>FGFR2</w:t>
      </w:r>
      <w:r w:rsidRPr="00353AB8">
        <w:rPr>
          <w:rFonts w:ascii="Franklin Gothic Book" w:hAnsi="Franklin Gothic Book"/>
          <w:sz w:val="22"/>
        </w:rPr>
        <w:t>-directed therapies; and</w:t>
      </w:r>
    </w:p>
    <w:p w14:paraId="1C4C18F3" w14:textId="29A32598" w:rsidR="002E2824" w:rsidRPr="00353AB8" w:rsidRDefault="002E2824" w:rsidP="00353AB8">
      <w:pPr>
        <w:numPr>
          <w:ilvl w:val="0"/>
          <w:numId w:val="20"/>
        </w:numPr>
        <w:jc w:val="left"/>
        <w:rPr>
          <w:rFonts w:ascii="Franklin Gothic Book" w:hAnsi="Franklin Gothic Book"/>
          <w:sz w:val="22"/>
        </w:rPr>
      </w:pPr>
      <w:r w:rsidRPr="00353AB8">
        <w:rPr>
          <w:rFonts w:ascii="Franklin Gothic Book" w:hAnsi="Franklin Gothic Book"/>
          <w:sz w:val="22"/>
        </w:rPr>
        <w:t xml:space="preserve">The magnitude of the result for OS appears to be largely driven by the result from the Abou-Alfa 2022 study. When this study was removed from the analysis, the OS HR was reduced and the 95% CI was no longer statistically significant (HR 1.22; 0.91, 1.63; p=0.18). </w:t>
      </w:r>
      <w:r w:rsidR="0098451A" w:rsidRPr="00353AB8">
        <w:rPr>
          <w:rFonts w:ascii="Franklin Gothic Book" w:hAnsi="Franklin Gothic Book"/>
          <w:sz w:val="22"/>
        </w:rPr>
        <w:t xml:space="preserve">The </w:t>
      </w:r>
      <w:r w:rsidR="00DA411C" w:rsidRPr="00353AB8">
        <w:rPr>
          <w:rFonts w:ascii="Franklin Gothic Book" w:hAnsi="Franklin Gothic Book"/>
          <w:sz w:val="22"/>
        </w:rPr>
        <w:t>commentary noted</w:t>
      </w:r>
      <w:r w:rsidR="006E36CB" w:rsidRPr="00353AB8">
        <w:rPr>
          <w:rFonts w:ascii="Franklin Gothic Book" w:hAnsi="Franklin Gothic Book"/>
          <w:sz w:val="22"/>
        </w:rPr>
        <w:t xml:space="preserve"> that t</w:t>
      </w:r>
      <w:r w:rsidRPr="00353AB8">
        <w:rPr>
          <w:rFonts w:ascii="Franklin Gothic Book" w:hAnsi="Franklin Gothic Book"/>
          <w:sz w:val="22"/>
        </w:rPr>
        <w:t xml:space="preserve">he submission did not present any justification for why exclusion of Abou Alfa 2022 would be reasonable. Abou Alfa 2022 </w:t>
      </w:r>
      <w:r w:rsidR="009D4CA6" w:rsidRPr="00353AB8">
        <w:rPr>
          <w:rFonts w:ascii="Franklin Gothic Book" w:hAnsi="Franklin Gothic Book"/>
          <w:sz w:val="22"/>
        </w:rPr>
        <w:t xml:space="preserve">had the highest score on the Newcastle-Ottawa Quality Assessment Scale </w:t>
      </w:r>
      <w:r w:rsidRPr="00353AB8">
        <w:rPr>
          <w:rFonts w:ascii="Franklin Gothic Book" w:hAnsi="Franklin Gothic Book"/>
          <w:sz w:val="22"/>
        </w:rPr>
        <w:t xml:space="preserve">(score of 8), suggesting that it </w:t>
      </w:r>
      <w:r w:rsidRPr="00353AB8">
        <w:rPr>
          <w:rFonts w:ascii="Franklin Gothic Book" w:hAnsi="Franklin Gothic Book"/>
          <w:sz w:val="22"/>
        </w:rPr>
        <w:lastRenderedPageBreak/>
        <w:t>was the highest quality study of all included studies, and no other study had longer follow-up. Importantly</w:t>
      </w:r>
      <w:r w:rsidR="00F377D1" w:rsidRPr="00353AB8">
        <w:rPr>
          <w:rFonts w:ascii="Franklin Gothic Book" w:hAnsi="Franklin Gothic Book"/>
          <w:sz w:val="22"/>
        </w:rPr>
        <w:t>,</w:t>
      </w:r>
      <w:r w:rsidRPr="00353AB8">
        <w:rPr>
          <w:rFonts w:ascii="Franklin Gothic Book" w:hAnsi="Franklin Gothic Book"/>
          <w:sz w:val="22"/>
        </w:rPr>
        <w:t xml:space="preserve"> Abou Alfa 2022 explicitly excluded patients who had received FGFR inhibitors from the OS and PFS analyses. </w:t>
      </w:r>
    </w:p>
    <w:p w14:paraId="2E65D77A" w14:textId="47B30D7C" w:rsidR="002E2824" w:rsidRPr="00353AB8" w:rsidRDefault="002E2824" w:rsidP="00353AB8">
      <w:pPr>
        <w:jc w:val="left"/>
        <w:rPr>
          <w:rFonts w:ascii="Franklin Gothic Book" w:hAnsi="Franklin Gothic Book"/>
          <w:sz w:val="22"/>
        </w:rPr>
      </w:pPr>
      <w:r w:rsidRPr="00353AB8">
        <w:rPr>
          <w:rFonts w:ascii="Franklin Gothic Book" w:hAnsi="Franklin Gothic Book"/>
          <w:sz w:val="22"/>
        </w:rPr>
        <w:t xml:space="preserve">The submission concluded that while the results from the meta-analysis by Niu 2024 suggest that the presence of an </w:t>
      </w:r>
      <w:r w:rsidRPr="00353AB8">
        <w:rPr>
          <w:rFonts w:ascii="Franklin Gothic Book" w:hAnsi="Franklin Gothic Book"/>
          <w:i/>
          <w:iCs/>
          <w:sz w:val="22"/>
        </w:rPr>
        <w:t>FGFR2</w:t>
      </w:r>
      <w:r w:rsidRPr="00353AB8">
        <w:rPr>
          <w:rFonts w:ascii="Franklin Gothic Book" w:hAnsi="Franklin Gothic Book"/>
          <w:sz w:val="22"/>
        </w:rPr>
        <w:t xml:space="preserve"> alteration may result in a positive prognostic impact in terms of overall survival, limitations in the conduct of the meta-analysis, as well as the individual studies themselves, suggest that this remains uncertain. </w:t>
      </w:r>
      <w:r w:rsidR="00F13AE4" w:rsidRPr="00353AB8">
        <w:rPr>
          <w:rFonts w:ascii="Franklin Gothic Book" w:hAnsi="Franklin Gothic Book"/>
          <w:sz w:val="22"/>
        </w:rPr>
        <w:t xml:space="preserve">The </w:t>
      </w:r>
      <w:r w:rsidR="00DD36A3" w:rsidRPr="00353AB8">
        <w:rPr>
          <w:rFonts w:ascii="Franklin Gothic Book" w:hAnsi="Franklin Gothic Book"/>
          <w:sz w:val="22"/>
        </w:rPr>
        <w:t>commentary</w:t>
      </w:r>
      <w:r w:rsidR="00F13AE4" w:rsidRPr="00353AB8">
        <w:rPr>
          <w:rFonts w:ascii="Franklin Gothic Book" w:hAnsi="Franklin Gothic Book"/>
          <w:sz w:val="22"/>
        </w:rPr>
        <w:t xml:space="preserve"> noted that i</w:t>
      </w:r>
      <w:r w:rsidR="00BF28D0" w:rsidRPr="00353AB8">
        <w:rPr>
          <w:rFonts w:ascii="Franklin Gothic Book" w:hAnsi="Franklin Gothic Book"/>
          <w:sz w:val="22"/>
        </w:rPr>
        <w:t>t was unclear if this was a reasonable conclusion. The evidence</w:t>
      </w:r>
      <w:r w:rsidR="006C46CC" w:rsidRPr="00353AB8">
        <w:rPr>
          <w:rFonts w:ascii="Franklin Gothic Book" w:hAnsi="Franklin Gothic Book"/>
          <w:sz w:val="22"/>
        </w:rPr>
        <w:t xml:space="preserve"> in Niu 2024</w:t>
      </w:r>
      <w:r w:rsidR="00BF28D0" w:rsidRPr="00353AB8">
        <w:rPr>
          <w:rFonts w:ascii="Franklin Gothic Book" w:hAnsi="Franklin Gothic Book"/>
          <w:sz w:val="22"/>
        </w:rPr>
        <w:t xml:space="preserve"> does appear</w:t>
      </w:r>
      <w:r w:rsidR="6D297909" w:rsidRPr="00353AB8">
        <w:rPr>
          <w:rFonts w:ascii="Franklin Gothic Book" w:hAnsi="Franklin Gothic Book"/>
          <w:sz w:val="22"/>
        </w:rPr>
        <w:t xml:space="preserve"> </w:t>
      </w:r>
      <w:r w:rsidR="00330C09" w:rsidRPr="00353AB8">
        <w:rPr>
          <w:rFonts w:ascii="Franklin Gothic Book" w:hAnsi="Franklin Gothic Book"/>
          <w:sz w:val="22"/>
        </w:rPr>
        <w:t>to suggest</w:t>
      </w:r>
      <w:r w:rsidR="00BF28D0" w:rsidRPr="00353AB8">
        <w:rPr>
          <w:rFonts w:ascii="Franklin Gothic Book" w:hAnsi="Franklin Gothic Book"/>
          <w:sz w:val="22"/>
        </w:rPr>
        <w:t xml:space="preserve"> that </w:t>
      </w:r>
      <w:r w:rsidR="0077326D" w:rsidRPr="00353AB8">
        <w:rPr>
          <w:rFonts w:ascii="Franklin Gothic Book" w:hAnsi="Franklin Gothic Book"/>
          <w:sz w:val="22"/>
        </w:rPr>
        <w:t xml:space="preserve">CCA patients with </w:t>
      </w:r>
      <w:r w:rsidR="00BF28D0" w:rsidRPr="00353AB8">
        <w:rPr>
          <w:rFonts w:ascii="Franklin Gothic Book" w:hAnsi="Franklin Gothic Book"/>
          <w:sz w:val="22"/>
        </w:rPr>
        <w:t xml:space="preserve">FGFR2 fusion/rearrangement </w:t>
      </w:r>
      <w:r w:rsidR="0077326D" w:rsidRPr="00353AB8">
        <w:rPr>
          <w:rFonts w:ascii="Franklin Gothic Book" w:hAnsi="Franklin Gothic Book"/>
          <w:sz w:val="22"/>
        </w:rPr>
        <w:t>ha</w:t>
      </w:r>
      <w:r w:rsidR="000A5FDE" w:rsidRPr="00353AB8">
        <w:rPr>
          <w:rFonts w:ascii="Franklin Gothic Book" w:hAnsi="Franklin Gothic Book"/>
          <w:sz w:val="22"/>
        </w:rPr>
        <w:t>ve</w:t>
      </w:r>
      <w:r w:rsidR="00505607" w:rsidRPr="00353AB8">
        <w:rPr>
          <w:rFonts w:ascii="Franklin Gothic Book" w:hAnsi="Franklin Gothic Book"/>
          <w:sz w:val="22"/>
        </w:rPr>
        <w:t xml:space="preserve"> a</w:t>
      </w:r>
      <w:r w:rsidR="0077326D" w:rsidRPr="00353AB8">
        <w:rPr>
          <w:rFonts w:ascii="Franklin Gothic Book" w:hAnsi="Franklin Gothic Book"/>
          <w:sz w:val="22"/>
        </w:rPr>
        <w:t xml:space="preserve"> better prognosis than patients with Wild Type FGFR2. </w:t>
      </w:r>
    </w:p>
    <w:p w14:paraId="14083BD0" w14:textId="0FA055D9" w:rsidR="002E2824" w:rsidRPr="00353AB8" w:rsidRDefault="002E2824" w:rsidP="00353AB8">
      <w:pPr>
        <w:jc w:val="left"/>
        <w:rPr>
          <w:rFonts w:ascii="Franklin Gothic Book" w:hAnsi="Franklin Gothic Book"/>
          <w:sz w:val="22"/>
        </w:rPr>
      </w:pPr>
      <w:r w:rsidRPr="00353AB8">
        <w:rPr>
          <w:rFonts w:ascii="Franklin Gothic Book" w:hAnsi="Franklin Gothic Book"/>
          <w:sz w:val="22"/>
        </w:rPr>
        <w:t xml:space="preserve">Moreover, </w:t>
      </w:r>
      <w:r w:rsidR="00F13AE4" w:rsidRPr="00353AB8">
        <w:rPr>
          <w:rFonts w:ascii="Franklin Gothic Book" w:hAnsi="Franklin Gothic Book"/>
          <w:sz w:val="22"/>
        </w:rPr>
        <w:t xml:space="preserve">the </w:t>
      </w:r>
      <w:r w:rsidR="00DA411C" w:rsidRPr="00353AB8">
        <w:rPr>
          <w:rFonts w:ascii="Franklin Gothic Book" w:hAnsi="Franklin Gothic Book"/>
          <w:sz w:val="22"/>
        </w:rPr>
        <w:t>commentary</w:t>
      </w:r>
      <w:r w:rsidR="00F13AE4" w:rsidRPr="00353AB8">
        <w:rPr>
          <w:rFonts w:ascii="Franklin Gothic Book" w:hAnsi="Franklin Gothic Book"/>
          <w:sz w:val="22"/>
        </w:rPr>
        <w:t xml:space="preserve"> </w:t>
      </w:r>
      <w:r w:rsidR="00DA411C" w:rsidRPr="00353AB8">
        <w:rPr>
          <w:rFonts w:ascii="Franklin Gothic Book" w:hAnsi="Franklin Gothic Book"/>
          <w:sz w:val="22"/>
        </w:rPr>
        <w:t>noted</w:t>
      </w:r>
      <w:r w:rsidR="00F13AE4" w:rsidRPr="00353AB8">
        <w:rPr>
          <w:rFonts w:ascii="Franklin Gothic Book" w:hAnsi="Franklin Gothic Book"/>
          <w:sz w:val="22"/>
        </w:rPr>
        <w:t xml:space="preserve"> that </w:t>
      </w:r>
      <w:r w:rsidRPr="00353AB8">
        <w:rPr>
          <w:rFonts w:ascii="Franklin Gothic Book" w:hAnsi="Franklin Gothic Book"/>
          <w:sz w:val="22"/>
        </w:rPr>
        <w:t>there were other relevant studies which could be used to inform prognostic impact that were not considered by the submission:</w:t>
      </w:r>
    </w:p>
    <w:p w14:paraId="1AEB61E6" w14:textId="31687BF3" w:rsidR="002E2824" w:rsidRPr="00353AB8" w:rsidRDefault="002E2824" w:rsidP="00353AB8">
      <w:pPr>
        <w:pStyle w:val="ListParagraph"/>
        <w:numPr>
          <w:ilvl w:val="0"/>
          <w:numId w:val="24"/>
        </w:numPr>
        <w:jc w:val="left"/>
        <w:rPr>
          <w:rFonts w:ascii="Franklin Gothic Book" w:hAnsi="Franklin Gothic Book"/>
          <w:color w:val="auto"/>
          <w:sz w:val="22"/>
        </w:rPr>
      </w:pPr>
      <w:r w:rsidRPr="00353AB8">
        <w:rPr>
          <w:rFonts w:ascii="Franklin Gothic Book" w:hAnsi="Franklin Gothic Book"/>
          <w:color w:val="auto"/>
          <w:sz w:val="22"/>
        </w:rPr>
        <w:t xml:space="preserve">Jain 2018 reported a median OS of 20 months (95% 17 to 26) among 282 CCA patients without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w:t>
      </w:r>
      <w:r w:rsidR="00253F36" w:rsidRPr="00353AB8">
        <w:rPr>
          <w:rFonts w:ascii="Franklin Gothic Book" w:hAnsi="Franklin Gothic Book"/>
          <w:color w:val="auto"/>
          <w:sz w:val="22"/>
        </w:rPr>
        <w:t>variants</w:t>
      </w:r>
      <w:r w:rsidRPr="00353AB8">
        <w:rPr>
          <w:rFonts w:ascii="Franklin Gothic Book" w:hAnsi="Franklin Gothic Book"/>
          <w:color w:val="auto"/>
          <w:sz w:val="22"/>
        </w:rPr>
        <w:t xml:space="preserve">, compared to a median OS of 30 months (95% CI 20 to 97) among 59 patients with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w:t>
      </w:r>
      <w:r w:rsidR="00253F36" w:rsidRPr="00353AB8">
        <w:rPr>
          <w:rFonts w:ascii="Franklin Gothic Book" w:hAnsi="Franklin Gothic Book"/>
          <w:color w:val="auto"/>
          <w:sz w:val="22"/>
        </w:rPr>
        <w:t xml:space="preserve">variants </w:t>
      </w:r>
      <w:r w:rsidRPr="00353AB8">
        <w:rPr>
          <w:rFonts w:ascii="Franklin Gothic Book" w:hAnsi="Franklin Gothic Book"/>
          <w:color w:val="auto"/>
          <w:sz w:val="22"/>
        </w:rPr>
        <w:t>who did not receive FGFR-directed therapy. The difference was associated with a p value of 0.02666 which the authors considered to be significant</w:t>
      </w:r>
      <w:r w:rsidR="006C46CC" w:rsidRPr="00353AB8">
        <w:rPr>
          <w:rFonts w:ascii="Franklin Gothic Book" w:hAnsi="Franklin Gothic Book"/>
          <w:color w:val="auto"/>
          <w:sz w:val="22"/>
        </w:rPr>
        <w:t>;</w:t>
      </w:r>
      <w:r w:rsidR="004F5D64" w:rsidRPr="00353AB8">
        <w:rPr>
          <w:rFonts w:ascii="Franklin Gothic Book" w:hAnsi="Franklin Gothic Book"/>
          <w:color w:val="auto"/>
          <w:sz w:val="22"/>
        </w:rPr>
        <w:t xml:space="preserve"> </w:t>
      </w:r>
      <w:r w:rsidRPr="00353AB8">
        <w:rPr>
          <w:rFonts w:ascii="Franklin Gothic Book" w:hAnsi="Franklin Gothic Book"/>
          <w:color w:val="auto"/>
          <w:sz w:val="22"/>
        </w:rPr>
        <w:t>and</w:t>
      </w:r>
    </w:p>
    <w:p w14:paraId="53176508" w14:textId="12F3EAFE" w:rsidR="002E2824" w:rsidRPr="00353AB8" w:rsidRDefault="002E2824" w:rsidP="00353AB8">
      <w:pPr>
        <w:pStyle w:val="ListParagraph"/>
        <w:numPr>
          <w:ilvl w:val="0"/>
          <w:numId w:val="24"/>
        </w:numPr>
        <w:jc w:val="left"/>
        <w:rPr>
          <w:rFonts w:ascii="Franklin Gothic Book" w:hAnsi="Franklin Gothic Book"/>
          <w:color w:val="auto"/>
          <w:sz w:val="22"/>
        </w:rPr>
      </w:pPr>
      <w:r w:rsidRPr="00353AB8">
        <w:rPr>
          <w:rFonts w:ascii="Franklin Gothic Book" w:hAnsi="Franklin Gothic Book"/>
          <w:color w:val="auto"/>
          <w:sz w:val="22"/>
        </w:rPr>
        <w:t xml:space="preserve">Shroff 2022 reported that median OS was numerically higher in 75 patients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fusion/rearrangements (median age 63 years, 64% female, 95% iCCA, 68% stage IV at initial diagnosis) with a median OS of 12.1 months (95% CI 8.5, 17.1) compared to 7.1 months (95% CI 5.7, 8.8) among 496 patient with </w:t>
      </w:r>
      <w:r w:rsidR="00FB6724" w:rsidRPr="00353AB8">
        <w:rPr>
          <w:rFonts w:ascii="Franklin Gothic Book" w:hAnsi="Franklin Gothic Book"/>
          <w:color w:val="auto"/>
          <w:sz w:val="22"/>
        </w:rPr>
        <w:t>Wild Type</w:t>
      </w:r>
      <w:r w:rsidRPr="00353AB8">
        <w:rPr>
          <w:rFonts w:ascii="Franklin Gothic Book" w:hAnsi="Franklin Gothic Book"/>
          <w:color w:val="auto"/>
          <w:sz w:val="22"/>
        </w:rPr>
        <w:t xml:space="preserv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(median age 65 years, 48% female, 74% iCCA, 55% stage IV at initial diagnosis</w:t>
      </w:r>
      <w:r w:rsidR="00253F36" w:rsidRPr="00353AB8">
        <w:rPr>
          <w:rFonts w:ascii="Franklin Gothic Book" w:hAnsi="Franklin Gothic Book"/>
          <w:color w:val="auto"/>
          <w:sz w:val="22"/>
        </w:rPr>
        <w:t>)</w:t>
      </w:r>
      <w:r w:rsidRPr="00353AB8">
        <w:rPr>
          <w:rFonts w:ascii="Franklin Gothic Book" w:hAnsi="Franklin Gothic Book"/>
          <w:color w:val="auto"/>
          <w:sz w:val="22"/>
        </w:rPr>
        <w:t xml:space="preserve"> though the difference was not considered statistically significant (log rank p = 0.184). Similar outcomes were observed when considering only iCCA (12.1 months [95% CI 8.4, 17.1] for </w:t>
      </w:r>
      <w:r w:rsidR="00253F36" w:rsidRPr="00353AB8">
        <w:rPr>
          <w:rFonts w:ascii="Franklin Gothic Book" w:hAnsi="Franklin Gothic Book"/>
          <w:color w:val="auto"/>
          <w:sz w:val="22"/>
        </w:rPr>
        <w:t xml:space="preserve">patients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w:t>
      </w:r>
      <w:r w:rsidR="00253F36" w:rsidRPr="00353AB8">
        <w:rPr>
          <w:rFonts w:ascii="Franklin Gothic Book" w:hAnsi="Franklin Gothic Book"/>
          <w:color w:val="auto"/>
          <w:sz w:val="22"/>
        </w:rPr>
        <w:t xml:space="preserve">variants </w:t>
      </w:r>
      <w:r w:rsidRPr="00353AB8">
        <w:rPr>
          <w:rFonts w:ascii="Franklin Gothic Book" w:hAnsi="Franklin Gothic Book"/>
          <w:color w:val="auto"/>
          <w:sz w:val="22"/>
        </w:rPr>
        <w:t xml:space="preserve">and 7.8 months [95% CI 6.1, 10] for </w:t>
      </w:r>
      <w:r w:rsidR="00FB6724" w:rsidRPr="00353AB8">
        <w:rPr>
          <w:rFonts w:ascii="Franklin Gothic Book" w:hAnsi="Franklin Gothic Book"/>
          <w:color w:val="auto"/>
          <w:sz w:val="22"/>
        </w:rPr>
        <w:t>Wild Type</w:t>
      </w:r>
      <w:r w:rsidRPr="00353AB8">
        <w:rPr>
          <w:rFonts w:ascii="Franklin Gothic Book" w:hAnsi="Franklin Gothic Book"/>
          <w:color w:val="auto"/>
          <w:sz w:val="22"/>
        </w:rPr>
        <w:t xml:space="preserv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log rank p = 0.375). Shroff 2022 also stated that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status was not a significant factor contributing to OS in any model adjusting for potential prognostic covariates. </w:t>
      </w:r>
    </w:p>
    <w:p w14:paraId="46D6E9D5" w14:textId="3101B675" w:rsidR="00F21E64" w:rsidRPr="00353AB8" w:rsidRDefault="002E2824" w:rsidP="00353AB8">
      <w:pPr>
        <w:pStyle w:val="MSACESParagraph"/>
        <w:rPr>
          <w:rFonts w:ascii="Franklin Gothic Book" w:hAnsi="Franklin Gothic Book"/>
          <w:sz w:val="22"/>
        </w:rPr>
      </w:pPr>
      <w:r w:rsidRPr="00353AB8">
        <w:rPr>
          <w:rFonts w:ascii="Franklin Gothic Book" w:hAnsi="Franklin Gothic Book"/>
          <w:sz w:val="22"/>
        </w:rPr>
        <w:t>Overall,</w:t>
      </w:r>
      <w:r w:rsidR="00DA411C" w:rsidRPr="00353AB8">
        <w:rPr>
          <w:rFonts w:ascii="Franklin Gothic Book" w:hAnsi="Franklin Gothic Book"/>
          <w:sz w:val="22"/>
        </w:rPr>
        <w:t xml:space="preserve"> the commentary considered that</w:t>
      </w:r>
      <w:r w:rsidRPr="00353AB8">
        <w:rPr>
          <w:rFonts w:ascii="Franklin Gothic Book" w:hAnsi="Franklin Gothic Book"/>
          <w:sz w:val="22"/>
        </w:rPr>
        <w:t xml:space="preserve"> while the methodological limitations of retrospective studies, small sample sizes of several studies and uncertainty regarding treatment received in some of the included studies introduced substantial uncertainty regarding the prognostic impact of </w:t>
      </w:r>
      <w:r w:rsidRPr="00353AB8">
        <w:rPr>
          <w:rFonts w:ascii="Franklin Gothic Book" w:hAnsi="Franklin Gothic Book"/>
          <w:i/>
          <w:iCs/>
          <w:sz w:val="22"/>
        </w:rPr>
        <w:t>FGFR2</w:t>
      </w:r>
      <w:r w:rsidRPr="00353AB8">
        <w:rPr>
          <w:rFonts w:ascii="Franklin Gothic Book" w:hAnsi="Franklin Gothic Book"/>
          <w:sz w:val="22"/>
        </w:rPr>
        <w:t xml:space="preserve"> fusions/rearrangement, the evidence on the whole suggest</w:t>
      </w:r>
      <w:r w:rsidR="00C90E18" w:rsidRPr="00353AB8">
        <w:rPr>
          <w:rFonts w:ascii="Franklin Gothic Book" w:hAnsi="Franklin Gothic Book"/>
          <w:sz w:val="22"/>
        </w:rPr>
        <w:t>ed</w:t>
      </w:r>
      <w:r w:rsidRPr="00353AB8">
        <w:rPr>
          <w:rFonts w:ascii="Franklin Gothic Book" w:hAnsi="Franklin Gothic Book"/>
          <w:sz w:val="22"/>
        </w:rPr>
        <w:t xml:space="preserve"> better prognosis associated with </w:t>
      </w:r>
      <w:r w:rsidRPr="00353AB8">
        <w:rPr>
          <w:rFonts w:ascii="Franklin Gothic Book" w:hAnsi="Franklin Gothic Book"/>
          <w:i/>
          <w:iCs/>
          <w:sz w:val="22"/>
        </w:rPr>
        <w:t>FGFR2</w:t>
      </w:r>
      <w:r w:rsidRPr="00353AB8">
        <w:rPr>
          <w:rFonts w:ascii="Franklin Gothic Book" w:hAnsi="Franklin Gothic Book"/>
          <w:sz w:val="22"/>
        </w:rPr>
        <w:t xml:space="preserve"> alteration. The magnitude of this difference however is uncertain. Importantly, this suggests that the benefit observed in a biomarker selected group (as is the case for FOENIX-CCA2) may be overestimated as the biomarker selection itself may have conferred some OS benefit compared to the </w:t>
      </w:r>
      <w:r w:rsidR="00FB6724" w:rsidRPr="00353AB8">
        <w:rPr>
          <w:rFonts w:ascii="Franklin Gothic Book" w:hAnsi="Franklin Gothic Book"/>
          <w:sz w:val="22"/>
        </w:rPr>
        <w:t>Wild Type</w:t>
      </w:r>
      <w:r w:rsidR="006C46CC" w:rsidRPr="00353AB8">
        <w:rPr>
          <w:rFonts w:ascii="Franklin Gothic Book" w:hAnsi="Franklin Gothic Book"/>
          <w:sz w:val="22"/>
        </w:rPr>
        <w:t xml:space="preserve">. </w:t>
      </w:r>
    </w:p>
    <w:p w14:paraId="18ED7687" w14:textId="77777777" w:rsidR="00D44F9D" w:rsidRPr="00353AB8" w:rsidRDefault="00D44F9D" w:rsidP="00385459">
      <w:pPr>
        <w:pStyle w:val="Heading4"/>
        <w:spacing w:after="120"/>
        <w:ind w:left="1298" w:hanging="1298"/>
        <w:rPr>
          <w:rFonts w:ascii="Franklin Gothic Book" w:hAnsi="Franklin Gothic Book"/>
          <w:color w:val="auto"/>
        </w:rPr>
      </w:pPr>
      <w:r w:rsidRPr="00353AB8">
        <w:rPr>
          <w:rFonts w:ascii="Franklin Gothic Book" w:hAnsi="Franklin Gothic Book"/>
          <w:color w:val="auto"/>
        </w:rPr>
        <w:t xml:space="preserve">Predictive evidence </w:t>
      </w:r>
    </w:p>
    <w:p w14:paraId="10182B92" w14:textId="1276DD00" w:rsidR="002E2824" w:rsidRPr="00353AB8" w:rsidRDefault="002E2824" w:rsidP="00353AB8">
      <w:pPr>
        <w:pStyle w:val="InstructionalText"/>
        <w:jc w:val="left"/>
        <w:rPr>
          <w:rFonts w:ascii="Franklin Gothic Book" w:hAnsi="Franklin Gothic Book"/>
          <w:i/>
          <w:iCs/>
          <w:color w:val="auto"/>
          <w:sz w:val="22"/>
        </w:rPr>
      </w:pPr>
      <w:r w:rsidRPr="00353AB8">
        <w:rPr>
          <w:rFonts w:ascii="Franklin Gothic Book" w:hAnsi="Franklin Gothic Book"/>
          <w:color w:val="auto"/>
          <w:sz w:val="22"/>
        </w:rPr>
        <w:t xml:space="preserve">The literature search described above identified one citation providing data on the treatment effect modification of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alteration testing in patients with CCA (Jain 2018). The submission noted that this study examined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w:t>
      </w:r>
      <w:r w:rsidR="00E67A4E" w:rsidRPr="00353AB8">
        <w:rPr>
          <w:rFonts w:ascii="Franklin Gothic Book" w:hAnsi="Franklin Gothic Book"/>
          <w:color w:val="auto"/>
          <w:sz w:val="22"/>
        </w:rPr>
        <w:t>alterations but</w:t>
      </w:r>
      <w:r w:rsidRPr="00353AB8">
        <w:rPr>
          <w:rFonts w:ascii="Franklin Gothic Book" w:hAnsi="Franklin Gothic Book"/>
          <w:color w:val="auto"/>
          <w:sz w:val="22"/>
        </w:rPr>
        <w:t xml:space="preserve"> was not limited to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alterations. </w:t>
      </w:r>
    </w:p>
    <w:p w14:paraId="0A4C35B1" w14:textId="61C6C2B6" w:rsidR="002E2824" w:rsidRPr="00353AB8" w:rsidRDefault="002E2824"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 xml:space="preserve">In Jain 2018, a total of 377 patients with CCA were identified from four centres in the </w:t>
      </w:r>
      <w:r w:rsidR="00E67A4E" w:rsidRPr="00353AB8">
        <w:rPr>
          <w:rFonts w:ascii="Franklin Gothic Book" w:hAnsi="Franklin Gothic Book"/>
          <w:color w:val="auto"/>
          <w:sz w:val="22"/>
        </w:rPr>
        <w:t>USA.</w:t>
      </w:r>
      <w:r w:rsidRPr="00353AB8">
        <w:rPr>
          <w:rFonts w:ascii="Franklin Gothic Book" w:hAnsi="Franklin Gothic Book"/>
          <w:color w:val="auto"/>
          <w:sz w:val="22"/>
        </w:rPr>
        <w:t xml:space="preserve"> Of these, 95 harboured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alterations that were identified via NGS and FISH. While not limited to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alterations, 78% were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-related (including 63 fusions, 1 amplification and 7 mutations), with the remaining cases being alterations in </w:t>
      </w:r>
      <w:r w:rsidRPr="00353AB8">
        <w:rPr>
          <w:rFonts w:ascii="Franklin Gothic Book" w:hAnsi="Franklin Gothic Book"/>
          <w:i/>
          <w:iCs/>
          <w:color w:val="auto"/>
          <w:sz w:val="22"/>
        </w:rPr>
        <w:t>FGFR19</w:t>
      </w:r>
      <w:r w:rsidRPr="00353AB8">
        <w:rPr>
          <w:rFonts w:ascii="Franklin Gothic Book" w:hAnsi="Franklin Gothic Book"/>
          <w:color w:val="auto"/>
          <w:sz w:val="22"/>
        </w:rPr>
        <w:t xml:space="preserve"> (11.6%; all amplifications), </w:t>
      </w:r>
      <w:r w:rsidRPr="00353AB8">
        <w:rPr>
          <w:rFonts w:ascii="Franklin Gothic Book" w:hAnsi="Franklin Gothic Book"/>
          <w:i/>
          <w:iCs/>
          <w:color w:val="auto"/>
          <w:sz w:val="22"/>
        </w:rPr>
        <w:t>FGFR3</w:t>
      </w:r>
      <w:r w:rsidRPr="00353AB8">
        <w:rPr>
          <w:rFonts w:ascii="Franklin Gothic Book" w:hAnsi="Franklin Gothic Book"/>
          <w:color w:val="auto"/>
          <w:sz w:val="22"/>
        </w:rPr>
        <w:t xml:space="preserve"> (7.4%; 1 fusion, 6 amplifications and 1 mutation), </w:t>
      </w:r>
      <w:r w:rsidRPr="00353AB8">
        <w:rPr>
          <w:rFonts w:ascii="Franklin Gothic Book" w:hAnsi="Franklin Gothic Book"/>
          <w:i/>
          <w:iCs/>
          <w:color w:val="auto"/>
          <w:sz w:val="22"/>
        </w:rPr>
        <w:t>FGFR1</w:t>
      </w:r>
      <w:r w:rsidRPr="00353AB8">
        <w:rPr>
          <w:rFonts w:ascii="Franklin Gothic Book" w:hAnsi="Franklin Gothic Book"/>
          <w:color w:val="auto"/>
          <w:sz w:val="22"/>
        </w:rPr>
        <w:t xml:space="preserve"> (2.1%; 2 mutations) and </w:t>
      </w:r>
      <w:r w:rsidRPr="00353AB8">
        <w:rPr>
          <w:rFonts w:ascii="Franklin Gothic Book" w:hAnsi="Franklin Gothic Book"/>
          <w:i/>
          <w:iCs/>
          <w:color w:val="auto"/>
          <w:sz w:val="22"/>
        </w:rPr>
        <w:t>FGFR4</w:t>
      </w:r>
      <w:r w:rsidRPr="00353AB8">
        <w:rPr>
          <w:rFonts w:ascii="Franklin Gothic Book" w:hAnsi="Franklin Gothic Book"/>
          <w:color w:val="auto"/>
          <w:sz w:val="22"/>
        </w:rPr>
        <w:t xml:space="preserve"> (2.1%; 2 mutations).</w:t>
      </w:r>
    </w:p>
    <w:p w14:paraId="28B47CE0" w14:textId="0D7640BF" w:rsidR="002E2824" w:rsidRPr="00353AB8" w:rsidRDefault="002E2824" w:rsidP="00353AB8">
      <w:pPr>
        <w:pStyle w:val="InstructionalText"/>
        <w:jc w:val="left"/>
        <w:rPr>
          <w:rFonts w:ascii="Franklin Gothic Book" w:hAnsi="Franklin Gothic Book"/>
          <w:color w:val="000000" w:themeColor="text1"/>
          <w:sz w:val="22"/>
        </w:rPr>
      </w:pPr>
      <w:r w:rsidRPr="00353AB8">
        <w:rPr>
          <w:rFonts w:ascii="Franklin Gothic Book" w:hAnsi="Franklin Gothic Book"/>
          <w:color w:val="auto"/>
          <w:sz w:val="22"/>
        </w:rPr>
        <w:t xml:space="preserve">The presence of an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alteration (predominantly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fusions) resulted in a statistically significantly improved OS in all patients with CCA regardless of treatment received (17 months; P&lt;0.001), with this improvement in </w:t>
      </w:r>
      <w:r w:rsidR="00EF207A" w:rsidRPr="00353AB8">
        <w:rPr>
          <w:rFonts w:ascii="Franklin Gothic Book" w:hAnsi="Franklin Gothic Book"/>
          <w:color w:val="auto"/>
          <w:sz w:val="22"/>
        </w:rPr>
        <w:t>OS</w:t>
      </w:r>
      <w:r w:rsidRPr="00353AB8">
        <w:rPr>
          <w:rFonts w:ascii="Franklin Gothic Book" w:hAnsi="Franklin Gothic Book"/>
          <w:color w:val="auto"/>
          <w:sz w:val="22"/>
        </w:rPr>
        <w:t xml:space="preserve"> remaining when patients who had received FGFR-directed therapy were excluded from the analysis (10 months; P=0.03). There was no difference in </w:t>
      </w:r>
      <w:r w:rsidRPr="00353AB8">
        <w:rPr>
          <w:rFonts w:ascii="Franklin Gothic Book" w:hAnsi="Franklin Gothic Book"/>
          <w:color w:val="auto"/>
          <w:sz w:val="22"/>
        </w:rPr>
        <w:lastRenderedPageBreak/>
        <w:t xml:space="preserve">median OS between CCA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fusions (n = 63; 37 months) versus other </w:t>
      </w:r>
      <w:r w:rsidRPr="00353AB8">
        <w:rPr>
          <w:rFonts w:ascii="Franklin Gothic Book" w:hAnsi="Franklin Gothic Book"/>
          <w:i/>
          <w:iCs/>
          <w:color w:val="000000" w:themeColor="text1"/>
          <w:sz w:val="22"/>
        </w:rPr>
        <w:t>FGFR</w:t>
      </w:r>
      <w:r w:rsidRPr="00353AB8">
        <w:rPr>
          <w:rFonts w:ascii="Franklin Gothic Book" w:hAnsi="Franklin Gothic Book"/>
          <w:color w:val="000000" w:themeColor="text1"/>
          <w:sz w:val="22"/>
        </w:rPr>
        <w:t xml:space="preserve"> alterations (n = 29; 33 months; P = 0.66).</w:t>
      </w:r>
    </w:p>
    <w:p w14:paraId="2F277258" w14:textId="4EA7B98D" w:rsidR="002E2824" w:rsidRPr="00353AB8" w:rsidRDefault="001F5863" w:rsidP="00353AB8">
      <w:pPr>
        <w:pStyle w:val="InstructionalText"/>
        <w:jc w:val="left"/>
        <w:rPr>
          <w:rFonts w:ascii="Franklin Gothic Book" w:hAnsi="Franklin Gothic Book"/>
          <w:color w:val="auto"/>
          <w:sz w:val="22"/>
        </w:rPr>
      </w:pPr>
      <w:r w:rsidRPr="001F5863">
        <w:rPr>
          <w:rFonts w:ascii="Franklin Gothic Book" w:hAnsi="Franklin Gothic Book"/>
          <w:color w:val="auto"/>
          <w:sz w:val="22"/>
        </w:rPr>
        <w:fldChar w:fldCharType="begin"/>
      </w:r>
      <w:r w:rsidRPr="001F5863">
        <w:rPr>
          <w:rFonts w:ascii="Franklin Gothic Book" w:hAnsi="Franklin Gothic Book"/>
          <w:color w:val="auto"/>
          <w:sz w:val="22"/>
        </w:rPr>
        <w:instrText xml:space="preserve"> REF _Ref198447476  \* MERGEFORMAT </w:instrText>
      </w:r>
      <w:r w:rsidRPr="001F5863">
        <w:rPr>
          <w:rFonts w:ascii="Franklin Gothic Book" w:hAnsi="Franklin Gothic Book"/>
          <w:color w:val="auto"/>
          <w:sz w:val="22"/>
        </w:rPr>
        <w:fldChar w:fldCharType="separate"/>
      </w:r>
      <w:r w:rsidRPr="001F5863">
        <w:rPr>
          <w:rFonts w:ascii="Franklin Gothic Book" w:hAnsi="Franklin Gothic Book"/>
          <w:color w:val="auto"/>
          <w:sz w:val="22"/>
        </w:rPr>
        <w:t xml:space="preserve">Table </w:t>
      </w:r>
      <w:r w:rsidRPr="001F5863">
        <w:rPr>
          <w:rFonts w:ascii="Franklin Gothic Book" w:hAnsi="Franklin Gothic Book"/>
          <w:noProof/>
          <w:color w:val="auto"/>
          <w:sz w:val="22"/>
        </w:rPr>
        <w:t>13</w:t>
      </w:r>
      <w:r w:rsidRPr="001F5863">
        <w:rPr>
          <w:rFonts w:ascii="Franklin Gothic Book" w:hAnsi="Franklin Gothic Book"/>
          <w:color w:val="auto"/>
          <w:sz w:val="22"/>
        </w:rPr>
        <w:fldChar w:fldCharType="end"/>
      </w:r>
      <w:r>
        <w:rPr>
          <w:rFonts w:ascii="Franklin Gothic Book" w:hAnsi="Franklin Gothic Book"/>
          <w:color w:val="auto"/>
          <w:sz w:val="22"/>
        </w:rPr>
        <w:t xml:space="preserve"> </w:t>
      </w:r>
      <w:r w:rsidR="002D06C1" w:rsidRPr="00353AB8">
        <w:rPr>
          <w:rFonts w:ascii="Franklin Gothic Book" w:hAnsi="Franklin Gothic Book"/>
          <w:color w:val="auto"/>
          <w:sz w:val="22"/>
        </w:rPr>
        <w:t xml:space="preserve">presents the </w:t>
      </w:r>
      <w:r w:rsidR="00D2641F" w:rsidRPr="00353AB8">
        <w:rPr>
          <w:rFonts w:ascii="Franklin Gothic Book" w:hAnsi="Franklin Gothic Book"/>
          <w:color w:val="auto"/>
          <w:sz w:val="22"/>
        </w:rPr>
        <w:t xml:space="preserve">impact of FGFR alterations reported in Jain 2018. </w:t>
      </w:r>
      <w:r w:rsidR="002E2824" w:rsidRPr="00353AB8">
        <w:rPr>
          <w:rFonts w:ascii="Franklin Gothic Book" w:hAnsi="Franklin Gothic Book"/>
          <w:color w:val="auto"/>
          <w:sz w:val="22"/>
        </w:rPr>
        <w:t xml:space="preserve">On univariable analysis, FGFR-directed treatment (P=0.01) was significantly associated with improved OS in patients with an </w:t>
      </w:r>
      <w:r w:rsidR="002E2824" w:rsidRPr="00353AB8">
        <w:rPr>
          <w:rFonts w:ascii="Franklin Gothic Book" w:hAnsi="Franklin Gothic Book"/>
          <w:i/>
          <w:iCs/>
          <w:color w:val="auto"/>
          <w:sz w:val="22"/>
        </w:rPr>
        <w:t>FGFR</w:t>
      </w:r>
      <w:r w:rsidR="002E2824" w:rsidRPr="00353AB8">
        <w:rPr>
          <w:rFonts w:ascii="Franklin Gothic Book" w:hAnsi="Franklin Gothic Book"/>
          <w:color w:val="auto"/>
          <w:sz w:val="22"/>
        </w:rPr>
        <w:t xml:space="preserve"> alteration. </w:t>
      </w:r>
    </w:p>
    <w:p w14:paraId="175A7310" w14:textId="3286824E" w:rsidR="002E2824" w:rsidRPr="00B27879" w:rsidRDefault="009D316D" w:rsidP="009D316D">
      <w:pPr>
        <w:pStyle w:val="Caption"/>
      </w:pPr>
      <w:bookmarkStart w:id="53" w:name="_Ref198447476"/>
      <w:bookmarkStart w:id="54" w:name="_Ref187693619"/>
      <w:r>
        <w:t xml:space="preserve">Table </w:t>
      </w:r>
      <w:r>
        <w:fldChar w:fldCharType="begin"/>
      </w:r>
      <w:r>
        <w:instrText>SEQ Table \* ARABIC</w:instrText>
      </w:r>
      <w:r>
        <w:fldChar w:fldCharType="separate"/>
      </w:r>
      <w:r w:rsidR="005B1C7E">
        <w:rPr>
          <w:noProof/>
        </w:rPr>
        <w:t>13</w:t>
      </w:r>
      <w:r>
        <w:fldChar w:fldCharType="end"/>
      </w:r>
      <w:bookmarkEnd w:id="53"/>
      <w:r>
        <w:tab/>
      </w:r>
      <w:bookmarkEnd w:id="54"/>
      <w:r w:rsidR="002E2824" w:rsidRPr="00B27879">
        <w:t>Impact of FGFR mutation on overall survival and effect of FGFR-directed therapy – Jain 2018</w:t>
      </w:r>
    </w:p>
    <w:tbl>
      <w:tblPr>
        <w:tblStyle w:val="PBACTableStyle"/>
        <w:tblW w:w="4988" w:type="pct"/>
        <w:tblLook w:val="04A0" w:firstRow="1" w:lastRow="0" w:firstColumn="1" w:lastColumn="0" w:noHBand="0" w:noVBand="1"/>
      </w:tblPr>
      <w:tblGrid>
        <w:gridCol w:w="3506"/>
        <w:gridCol w:w="2430"/>
        <w:gridCol w:w="1621"/>
        <w:gridCol w:w="1437"/>
      </w:tblGrid>
      <w:tr w:rsidR="007900E9" w:rsidRPr="00B27879" w14:paraId="417EE5C9"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pct"/>
          </w:tcPr>
          <w:p w14:paraId="03FCDF2B" w14:textId="77777777" w:rsidR="002E2824" w:rsidRPr="00B27879" w:rsidRDefault="002E2824" w:rsidP="00FE3A7F">
            <w:pPr>
              <w:pStyle w:val="TableText"/>
              <w:keepNext/>
              <w:keepLines/>
              <w:rPr>
                <w:color w:val="auto"/>
                <w:lang w:val="en-AU" w:bidi="en-US"/>
              </w:rPr>
            </w:pPr>
          </w:p>
        </w:tc>
        <w:tc>
          <w:tcPr>
            <w:tcW w:w="1351" w:type="pct"/>
          </w:tcPr>
          <w:p w14:paraId="170A2A7F" w14:textId="77777777" w:rsidR="002E2824" w:rsidRPr="00B27879" w:rsidRDefault="002E282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FGFR alteration</w:t>
            </w:r>
          </w:p>
        </w:tc>
        <w:tc>
          <w:tcPr>
            <w:tcW w:w="901" w:type="pct"/>
          </w:tcPr>
          <w:p w14:paraId="7C0D149D" w14:textId="77777777" w:rsidR="002E2824" w:rsidRPr="00B27879" w:rsidRDefault="002E282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No FGFR alteration</w:t>
            </w:r>
          </w:p>
        </w:tc>
        <w:tc>
          <w:tcPr>
            <w:tcW w:w="799" w:type="pct"/>
          </w:tcPr>
          <w:p w14:paraId="1CDCBA02" w14:textId="77777777" w:rsidR="002E2824" w:rsidRPr="00B27879" w:rsidRDefault="002E282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Difference</w:t>
            </w:r>
          </w:p>
          <w:p w14:paraId="5AD892A7" w14:textId="77777777" w:rsidR="002E2824" w:rsidRPr="00B27879" w:rsidRDefault="002E2824" w:rsidP="00FE3A7F">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P-value</w:t>
            </w:r>
          </w:p>
        </w:tc>
      </w:tr>
      <w:tr w:rsidR="007900E9" w:rsidRPr="00B27879" w14:paraId="7B0F62EA" w14:textId="77777777" w:rsidTr="00FE3A7F">
        <w:tc>
          <w:tcPr>
            <w:cnfStyle w:val="001000000000" w:firstRow="0" w:lastRow="0" w:firstColumn="1" w:lastColumn="0" w:oddVBand="0" w:evenVBand="0" w:oddHBand="0" w:evenHBand="0" w:firstRowFirstColumn="0" w:firstRowLastColumn="0" w:lastRowFirstColumn="0" w:lastRowLastColumn="0"/>
            <w:tcW w:w="1949" w:type="pct"/>
          </w:tcPr>
          <w:p w14:paraId="3C42370C" w14:textId="77777777" w:rsidR="002E2824" w:rsidRPr="00B27879" w:rsidRDefault="002E2824" w:rsidP="00FE3A7F">
            <w:pPr>
              <w:pStyle w:val="TableText"/>
              <w:keepNext/>
              <w:keepLines/>
              <w:rPr>
                <w:color w:val="auto"/>
                <w:lang w:val="en-AU" w:bidi="en-US"/>
              </w:rPr>
            </w:pPr>
            <w:r w:rsidRPr="00B27879">
              <w:rPr>
                <w:color w:val="auto"/>
                <w:lang w:val="en-AU" w:bidi="en-US"/>
              </w:rPr>
              <w:t>All patients</w:t>
            </w:r>
          </w:p>
        </w:tc>
        <w:tc>
          <w:tcPr>
            <w:tcW w:w="1351" w:type="pct"/>
          </w:tcPr>
          <w:p w14:paraId="534697D5"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N=95</w:t>
            </w:r>
          </w:p>
          <w:p w14:paraId="563BA35D"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37 months (24, 65)</w:t>
            </w:r>
          </w:p>
        </w:tc>
        <w:tc>
          <w:tcPr>
            <w:tcW w:w="901" w:type="pct"/>
          </w:tcPr>
          <w:p w14:paraId="48F71095"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N=282</w:t>
            </w:r>
          </w:p>
          <w:p w14:paraId="49441040"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 months (17, 26)</w:t>
            </w:r>
          </w:p>
        </w:tc>
        <w:tc>
          <w:tcPr>
            <w:tcW w:w="799" w:type="pct"/>
          </w:tcPr>
          <w:p w14:paraId="53304536"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17 months</w:t>
            </w:r>
          </w:p>
          <w:p w14:paraId="7DDBF9E9"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P&lt;0.001</w:t>
            </w:r>
          </w:p>
        </w:tc>
      </w:tr>
      <w:tr w:rsidR="007900E9" w:rsidRPr="00B27879" w14:paraId="4A4801F7" w14:textId="77777777" w:rsidTr="00FE3A7F">
        <w:tc>
          <w:tcPr>
            <w:cnfStyle w:val="001000000000" w:firstRow="0" w:lastRow="0" w:firstColumn="1" w:lastColumn="0" w:oddVBand="0" w:evenVBand="0" w:oddHBand="0" w:evenHBand="0" w:firstRowFirstColumn="0" w:firstRowLastColumn="0" w:lastRowFirstColumn="0" w:lastRowLastColumn="0"/>
            <w:tcW w:w="1949" w:type="pct"/>
          </w:tcPr>
          <w:p w14:paraId="1852B434" w14:textId="77777777" w:rsidR="002E2824" w:rsidRPr="00B27879" w:rsidRDefault="002E2824" w:rsidP="00FE3A7F">
            <w:pPr>
              <w:pStyle w:val="TableText"/>
              <w:keepNext/>
              <w:keepLines/>
              <w:rPr>
                <w:color w:val="auto"/>
                <w:lang w:val="en-AU" w:bidi="en-US"/>
              </w:rPr>
            </w:pPr>
            <w:r w:rsidRPr="00B27879">
              <w:rPr>
                <w:color w:val="auto"/>
                <w:lang w:val="en-AU" w:bidi="en-US"/>
              </w:rPr>
              <w:t>Patients receiving no FGFR-directed therapy</w:t>
            </w:r>
          </w:p>
        </w:tc>
        <w:tc>
          <w:tcPr>
            <w:tcW w:w="1351" w:type="pct"/>
          </w:tcPr>
          <w:p w14:paraId="37D7F8D8"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N=59</w:t>
            </w:r>
          </w:p>
          <w:p w14:paraId="73725B05"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30 months (20, 97)</w:t>
            </w:r>
          </w:p>
        </w:tc>
        <w:tc>
          <w:tcPr>
            <w:tcW w:w="901" w:type="pct"/>
          </w:tcPr>
          <w:p w14:paraId="051AC5E2"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N=282</w:t>
            </w:r>
          </w:p>
          <w:p w14:paraId="6F261457"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 months (17, 26)</w:t>
            </w:r>
          </w:p>
        </w:tc>
        <w:tc>
          <w:tcPr>
            <w:tcW w:w="799" w:type="pct"/>
          </w:tcPr>
          <w:p w14:paraId="22E73203"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10 months</w:t>
            </w:r>
          </w:p>
          <w:p w14:paraId="1A765FDB"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P=0.03</w:t>
            </w:r>
          </w:p>
        </w:tc>
      </w:tr>
      <w:tr w:rsidR="007900E9" w:rsidRPr="00B27879" w14:paraId="1DC0FFCD" w14:textId="77777777" w:rsidTr="00FE3A7F">
        <w:tc>
          <w:tcPr>
            <w:cnfStyle w:val="001000000000" w:firstRow="0" w:lastRow="0" w:firstColumn="1" w:lastColumn="0" w:oddVBand="0" w:evenVBand="0" w:oddHBand="0" w:evenHBand="0" w:firstRowFirstColumn="0" w:firstRowLastColumn="0" w:lastRowFirstColumn="0" w:lastRowLastColumn="0"/>
            <w:tcW w:w="5000" w:type="pct"/>
            <w:gridSpan w:val="4"/>
          </w:tcPr>
          <w:p w14:paraId="47803D6B" w14:textId="77777777" w:rsidR="002E2824" w:rsidRPr="00B27879" w:rsidRDefault="002E2824" w:rsidP="00FE3A7F">
            <w:pPr>
              <w:pStyle w:val="TableText"/>
              <w:keepNext/>
              <w:keepLines/>
              <w:rPr>
                <w:color w:val="auto"/>
                <w:lang w:val="en-AU" w:bidi="en-US"/>
              </w:rPr>
            </w:pPr>
            <w:r w:rsidRPr="00B27879">
              <w:rPr>
                <w:color w:val="auto"/>
                <w:lang w:val="en-AU" w:bidi="en-US"/>
              </w:rPr>
              <w:t>Univariate sensitivity analysis (treatment received)</w:t>
            </w:r>
          </w:p>
        </w:tc>
      </w:tr>
      <w:tr w:rsidR="007900E9" w:rsidRPr="00B27879" w14:paraId="00E7F809" w14:textId="77777777" w:rsidTr="00FE3A7F">
        <w:trPr>
          <w:trHeight w:val="469"/>
        </w:trPr>
        <w:tc>
          <w:tcPr>
            <w:cnfStyle w:val="001000000000" w:firstRow="0" w:lastRow="0" w:firstColumn="1" w:lastColumn="0" w:oddVBand="0" w:evenVBand="0" w:oddHBand="0" w:evenHBand="0" w:firstRowFirstColumn="0" w:firstRowLastColumn="0" w:lastRowFirstColumn="0" w:lastRowLastColumn="0"/>
            <w:tcW w:w="1949" w:type="pct"/>
          </w:tcPr>
          <w:p w14:paraId="10220B5B" w14:textId="77777777" w:rsidR="002E2824" w:rsidRPr="00B27879" w:rsidRDefault="002E2824" w:rsidP="00FE3A7F">
            <w:pPr>
              <w:pStyle w:val="TableText"/>
              <w:keepNext/>
              <w:keepLines/>
              <w:rPr>
                <w:color w:val="auto"/>
                <w:lang w:val="en-AU" w:bidi="en-US"/>
              </w:rPr>
            </w:pPr>
            <w:r w:rsidRPr="00B27879">
              <w:rPr>
                <w:color w:val="auto"/>
                <w:lang w:val="en-AU" w:bidi="en-US"/>
              </w:rPr>
              <w:t xml:space="preserve">Patients receiving FGFR-directed therapy </w:t>
            </w:r>
            <w:r w:rsidRPr="00B27879">
              <w:rPr>
                <w:color w:val="auto"/>
                <w:vertAlign w:val="superscript"/>
                <w:lang w:val="en-AU" w:bidi="en-US"/>
              </w:rPr>
              <w:t>a</w:t>
            </w:r>
          </w:p>
        </w:tc>
        <w:tc>
          <w:tcPr>
            <w:tcW w:w="1351" w:type="pct"/>
          </w:tcPr>
          <w:p w14:paraId="051A5829"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N=36</w:t>
            </w:r>
          </w:p>
          <w:p w14:paraId="5EB4D5EA"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44.8 months (24.5, NE)</w:t>
            </w:r>
          </w:p>
        </w:tc>
        <w:tc>
          <w:tcPr>
            <w:tcW w:w="901" w:type="pct"/>
          </w:tcPr>
          <w:p w14:paraId="5A7F549D"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w:t>
            </w:r>
          </w:p>
        </w:tc>
        <w:tc>
          <w:tcPr>
            <w:tcW w:w="799" w:type="pct"/>
            <w:vMerge w:val="restart"/>
          </w:tcPr>
          <w:p w14:paraId="61DDE65F"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20.5 months</w:t>
            </w:r>
          </w:p>
          <w:p w14:paraId="18DBB477"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HR 0.19</w:t>
            </w:r>
          </w:p>
          <w:p w14:paraId="3FA6E690"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P=0.01</w:t>
            </w:r>
          </w:p>
        </w:tc>
      </w:tr>
      <w:tr w:rsidR="007900E9" w:rsidRPr="00B27879" w14:paraId="5AC3FE95" w14:textId="77777777" w:rsidTr="00FE3A7F">
        <w:tc>
          <w:tcPr>
            <w:cnfStyle w:val="001000000000" w:firstRow="0" w:lastRow="0" w:firstColumn="1" w:lastColumn="0" w:oddVBand="0" w:evenVBand="0" w:oddHBand="0" w:evenHBand="0" w:firstRowFirstColumn="0" w:firstRowLastColumn="0" w:lastRowFirstColumn="0" w:lastRowLastColumn="0"/>
            <w:tcW w:w="1949" w:type="pct"/>
          </w:tcPr>
          <w:p w14:paraId="5E231CF4" w14:textId="77777777" w:rsidR="002E2824" w:rsidRPr="00B27879" w:rsidRDefault="002E2824" w:rsidP="00FE3A7F">
            <w:pPr>
              <w:pStyle w:val="TableText"/>
              <w:keepNext/>
              <w:keepLines/>
              <w:rPr>
                <w:color w:val="auto"/>
                <w:lang w:val="en-AU" w:bidi="en-US"/>
              </w:rPr>
            </w:pPr>
            <w:r w:rsidRPr="00B27879">
              <w:rPr>
                <w:color w:val="auto"/>
                <w:lang w:val="en-AU" w:bidi="en-US"/>
              </w:rPr>
              <w:t>Patients receiving standard chemotherapy</w:t>
            </w:r>
          </w:p>
        </w:tc>
        <w:tc>
          <w:tcPr>
            <w:tcW w:w="1351" w:type="pct"/>
          </w:tcPr>
          <w:p w14:paraId="041A9283"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N=50</w:t>
            </w:r>
          </w:p>
          <w:p w14:paraId="0A7370AD"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24.3 months (18.2, 49.8)</w:t>
            </w:r>
          </w:p>
        </w:tc>
        <w:tc>
          <w:tcPr>
            <w:tcW w:w="901" w:type="pct"/>
          </w:tcPr>
          <w:p w14:paraId="09B66276"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r w:rsidRPr="00B27879">
              <w:rPr>
                <w:color w:val="auto"/>
                <w:lang w:val="en-AU" w:bidi="en-US"/>
              </w:rPr>
              <w:t>-</w:t>
            </w:r>
          </w:p>
        </w:tc>
        <w:tc>
          <w:tcPr>
            <w:tcW w:w="799" w:type="pct"/>
            <w:vMerge/>
          </w:tcPr>
          <w:p w14:paraId="34EBF287" w14:textId="77777777" w:rsidR="002E2824" w:rsidRPr="00B27879" w:rsidRDefault="002E2824"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bidi="en-US"/>
              </w:rPr>
            </w:pPr>
          </w:p>
        </w:tc>
      </w:tr>
    </w:tbl>
    <w:p w14:paraId="2C0A764B" w14:textId="77777777" w:rsidR="002E2824" w:rsidRPr="00B27879" w:rsidRDefault="002E2824" w:rsidP="002E2824">
      <w:pPr>
        <w:pStyle w:val="TableFooter"/>
        <w:keepNext/>
        <w:keepLines/>
      </w:pPr>
      <w:r w:rsidRPr="00B27879">
        <w:t xml:space="preserve">Source: Table 2.9, p76 of the submission. </w:t>
      </w:r>
    </w:p>
    <w:p w14:paraId="2868DEC2" w14:textId="77777777" w:rsidR="002E2824" w:rsidRPr="00B27879" w:rsidRDefault="002E2824" w:rsidP="002E2824">
      <w:pPr>
        <w:pStyle w:val="TableFooter"/>
        <w:keepNext/>
        <w:keepLines/>
        <w:rPr>
          <w:rFonts w:cstheme="minorHAnsi"/>
          <w:szCs w:val="18"/>
        </w:rPr>
      </w:pPr>
      <w:r w:rsidRPr="00B27879">
        <w:rPr>
          <w:rFonts w:cstheme="minorHAnsi"/>
          <w:szCs w:val="18"/>
        </w:rPr>
        <w:t>FGFR = fibroblast growth factor receptor; HR = hazard ratio; NE = not evaluable</w:t>
      </w:r>
    </w:p>
    <w:p w14:paraId="5A368534" w14:textId="1C11FCCE" w:rsidR="002E2824" w:rsidRPr="00B27879" w:rsidRDefault="0044101C" w:rsidP="002E2824">
      <w:pPr>
        <w:pStyle w:val="TableFooter"/>
        <w:keepNext/>
        <w:keepLines/>
        <w:spacing w:after="120"/>
      </w:pPr>
      <w:r w:rsidRPr="2914E55D">
        <w:t>a</w:t>
      </w:r>
      <w:r w:rsidR="002E2824" w:rsidRPr="2914E55D">
        <w:t xml:space="preserve"> Infigratinib (n=23), ponatinib (n=8), futibatinib (n=3), dovitinib (n=1) and PRN1371 (n=1).</w:t>
      </w:r>
    </w:p>
    <w:p w14:paraId="78A0F5BA" w14:textId="49E11B0E" w:rsidR="002E2824" w:rsidRPr="00353AB8" w:rsidRDefault="002E2824" w:rsidP="00353AB8">
      <w:pPr>
        <w:pStyle w:val="InstructionalText"/>
        <w:jc w:val="left"/>
        <w:rPr>
          <w:rFonts w:ascii="Franklin Gothic Book" w:hAnsi="Franklin Gothic Book"/>
          <w:i/>
          <w:iCs/>
          <w:color w:val="auto"/>
          <w:sz w:val="22"/>
        </w:rPr>
      </w:pPr>
      <w:r w:rsidRPr="00353AB8">
        <w:rPr>
          <w:rFonts w:ascii="Franklin Gothic Book" w:hAnsi="Franklin Gothic Book"/>
          <w:color w:val="auto"/>
          <w:sz w:val="22"/>
        </w:rPr>
        <w:t xml:space="preserve">In addition, on multivariable analysis (adjusting for other variables significant on univariate analysis: radiation, surgery and TP53 presence), FGFR-directed therapy remained correlated with improved OS, with an estimated risk of 0.19 (P=0.003). However, </w:t>
      </w:r>
      <w:r w:rsidR="001F4F9A" w:rsidRPr="00353AB8">
        <w:rPr>
          <w:rFonts w:ascii="Franklin Gothic Book" w:hAnsi="Franklin Gothic Book"/>
          <w:color w:val="auto"/>
          <w:sz w:val="22"/>
        </w:rPr>
        <w:t xml:space="preserve">the </w:t>
      </w:r>
      <w:r w:rsidR="00DA411C" w:rsidRPr="00353AB8">
        <w:rPr>
          <w:rFonts w:ascii="Franklin Gothic Book" w:hAnsi="Franklin Gothic Book"/>
          <w:color w:val="auto"/>
          <w:sz w:val="22"/>
        </w:rPr>
        <w:t>commentary</w:t>
      </w:r>
      <w:r w:rsidR="001F4F9A" w:rsidRPr="00353AB8">
        <w:rPr>
          <w:rFonts w:ascii="Franklin Gothic Book" w:hAnsi="Franklin Gothic Book"/>
          <w:color w:val="auto"/>
          <w:sz w:val="22"/>
        </w:rPr>
        <w:t xml:space="preserve"> considered </w:t>
      </w:r>
      <w:r w:rsidRPr="00353AB8">
        <w:rPr>
          <w:rFonts w:ascii="Franklin Gothic Book" w:hAnsi="Franklin Gothic Book"/>
          <w:color w:val="auto"/>
          <w:sz w:val="22"/>
        </w:rPr>
        <w:t xml:space="preserve">it was </w:t>
      </w:r>
      <w:r w:rsidR="00833279" w:rsidRPr="00353AB8">
        <w:rPr>
          <w:rFonts w:ascii="Franklin Gothic Book" w:hAnsi="Franklin Gothic Book"/>
          <w:color w:val="auto"/>
          <w:sz w:val="22"/>
        </w:rPr>
        <w:t>possible</w:t>
      </w:r>
      <w:r w:rsidRPr="00353AB8">
        <w:rPr>
          <w:rFonts w:ascii="Franklin Gothic Book" w:hAnsi="Franklin Gothic Book"/>
          <w:color w:val="auto"/>
          <w:sz w:val="22"/>
        </w:rPr>
        <w:t xml:space="preserve"> that the patients in Jain 2018 who received FGFR-directed therapy did so in clinical trials; of the 36 patients who received FGFR-directed therapy, 23 received BGJ398 (infigratinib), eight received ponatinib, three received TAS-120 (futibatinib)</w:t>
      </w:r>
      <w:r w:rsidR="00A67722" w:rsidRPr="00353AB8">
        <w:rPr>
          <w:rFonts w:ascii="Franklin Gothic Book" w:hAnsi="Franklin Gothic Book"/>
          <w:color w:val="auto"/>
          <w:sz w:val="22"/>
        </w:rPr>
        <w:t>,</w:t>
      </w:r>
      <w:r w:rsidRPr="00353AB8">
        <w:rPr>
          <w:rFonts w:ascii="Franklin Gothic Book" w:hAnsi="Franklin Gothic Book"/>
          <w:color w:val="auto"/>
          <w:sz w:val="22"/>
        </w:rPr>
        <w:t xml:space="preserve"> one patient received dovitinib and </w:t>
      </w:r>
      <w:r w:rsidR="00A67722" w:rsidRPr="00353AB8">
        <w:rPr>
          <w:rFonts w:ascii="Franklin Gothic Book" w:hAnsi="Franklin Gothic Book"/>
          <w:color w:val="auto"/>
          <w:sz w:val="22"/>
        </w:rPr>
        <w:t xml:space="preserve">one patient received </w:t>
      </w:r>
      <w:r w:rsidRPr="00353AB8">
        <w:rPr>
          <w:rFonts w:ascii="Franklin Gothic Book" w:hAnsi="Franklin Gothic Book"/>
          <w:color w:val="auto"/>
          <w:sz w:val="22"/>
        </w:rPr>
        <w:t xml:space="preserve">PRN1371. Given that experimental names were used for the treatment received by 27 of the 36 patients, it may be reasonable to assume that all of these patients were selected for clinical trials. Selection into clinical trials usually infer a healthier patient with a better prognosis. For example, FOENIX-CCA2 included only patients with ECOG </w:t>
      </w:r>
      <w:r w:rsidR="00BF7B5B" w:rsidRPr="00353AB8">
        <w:rPr>
          <w:rFonts w:ascii="Franklin Gothic Book" w:hAnsi="Franklin Gothic Book"/>
          <w:color w:val="auto"/>
          <w:sz w:val="22"/>
        </w:rPr>
        <w:t xml:space="preserve">performance status </w:t>
      </w:r>
      <w:r w:rsidRPr="00353AB8">
        <w:rPr>
          <w:rFonts w:ascii="Franklin Gothic Book" w:hAnsi="Franklin Gothic Book"/>
          <w:color w:val="auto"/>
          <w:sz w:val="22"/>
        </w:rPr>
        <w:t>0</w:t>
      </w:r>
      <w:r w:rsidR="00CB5B05" w:rsidRPr="00353AB8">
        <w:rPr>
          <w:rFonts w:ascii="Franklin Gothic Book" w:hAnsi="Franklin Gothic Book"/>
          <w:color w:val="auto"/>
          <w:sz w:val="22"/>
        </w:rPr>
        <w:t xml:space="preserve"> (fully active)</w:t>
      </w:r>
      <w:r w:rsidRPr="00353AB8">
        <w:rPr>
          <w:rFonts w:ascii="Franklin Gothic Book" w:hAnsi="Franklin Gothic Book"/>
          <w:color w:val="auto"/>
          <w:sz w:val="22"/>
        </w:rPr>
        <w:t xml:space="preserve"> or 1</w:t>
      </w:r>
      <w:r w:rsidR="00CB5B05" w:rsidRPr="00353AB8">
        <w:rPr>
          <w:rFonts w:ascii="Franklin Gothic Book" w:hAnsi="Franklin Gothic Book"/>
          <w:color w:val="auto"/>
          <w:sz w:val="22"/>
        </w:rPr>
        <w:t xml:space="preserve"> (restricted in physically strenuous activity but ambulatory and able to carry out work of a light or sedentary nature)</w:t>
      </w:r>
      <w:r w:rsidRPr="00353AB8">
        <w:rPr>
          <w:rFonts w:ascii="Franklin Gothic Book" w:hAnsi="Franklin Gothic Book"/>
          <w:color w:val="auto"/>
          <w:sz w:val="22"/>
        </w:rPr>
        <w:t xml:space="preserve"> and excluded patients with severe comorbidities (e.g. systemic infection and severe heart disease) or reduced life expectancy (e.g. brain metastases). As such, the OS comparison between patients treated with FGFR-directed therapy and patients not treated with FGFR-directed therapies was likely to be biased in favour of FGFR-directed therapy given these other factors were not adjusted for.</w:t>
      </w:r>
      <w:r w:rsidRPr="00353AB8">
        <w:rPr>
          <w:rFonts w:ascii="Franklin Gothic Book" w:hAnsi="Franklin Gothic Book"/>
          <w:i/>
          <w:iCs/>
          <w:color w:val="auto"/>
          <w:sz w:val="22"/>
        </w:rPr>
        <w:t xml:space="preserve"> </w:t>
      </w:r>
    </w:p>
    <w:p w14:paraId="51FFD89B" w14:textId="73F18A75" w:rsidR="002E2824" w:rsidRPr="00353AB8" w:rsidRDefault="002E2824"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 xml:space="preserve">The submission concluded that treatment with an FGFR-directed therapy appears to have an independent, positive impact on </w:t>
      </w:r>
      <w:r w:rsidR="00FA3BE3" w:rsidRPr="00353AB8">
        <w:rPr>
          <w:rFonts w:ascii="Franklin Gothic Book" w:hAnsi="Franklin Gothic Book"/>
          <w:color w:val="auto"/>
          <w:sz w:val="22"/>
        </w:rPr>
        <w:t>OS</w:t>
      </w:r>
      <w:r w:rsidRPr="00353AB8">
        <w:rPr>
          <w:rFonts w:ascii="Franklin Gothic Book" w:hAnsi="Franklin Gothic Book"/>
          <w:color w:val="auto"/>
          <w:sz w:val="22"/>
        </w:rPr>
        <w:t xml:space="preserve"> in patients with an FGFR (and specifically FGFR2) alteration, above any potential prognostic impact of the alteration itself. </w:t>
      </w:r>
      <w:r w:rsidR="00DA411C" w:rsidRPr="00353AB8">
        <w:rPr>
          <w:rFonts w:ascii="Franklin Gothic Book" w:hAnsi="Franklin Gothic Book"/>
          <w:color w:val="auto"/>
          <w:sz w:val="22"/>
        </w:rPr>
        <w:t>The commentary noted that t</w:t>
      </w:r>
      <w:r w:rsidRPr="00353AB8">
        <w:rPr>
          <w:rFonts w:ascii="Franklin Gothic Book" w:hAnsi="Franklin Gothic Book"/>
          <w:color w:val="auto"/>
          <w:sz w:val="22"/>
        </w:rPr>
        <w:t xml:space="preserve">he results of Jain 2018 suggest that there is both a prognostic impact of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alteration itself, (a 10 month survival difference by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alteration status in patients not treated with an FGFR</w:t>
      </w:r>
      <w:r w:rsidR="00650553" w:rsidRPr="00353AB8">
        <w:rPr>
          <w:rFonts w:ascii="Franklin Gothic Book" w:hAnsi="Franklin Gothic Book"/>
          <w:color w:val="auto"/>
          <w:sz w:val="22"/>
        </w:rPr>
        <w:t>-</w:t>
      </w:r>
      <w:r w:rsidRPr="00353AB8">
        <w:rPr>
          <w:rFonts w:ascii="Franklin Gothic Book" w:hAnsi="Franklin Gothic Book"/>
          <w:color w:val="auto"/>
          <w:sz w:val="22"/>
        </w:rPr>
        <w:t>inhibitor), and a potential treatment impact of treatment with an FGFR</w:t>
      </w:r>
      <w:r w:rsidR="00650553" w:rsidRPr="00353AB8">
        <w:rPr>
          <w:rFonts w:ascii="Franklin Gothic Book" w:hAnsi="Franklin Gothic Book"/>
          <w:color w:val="auto"/>
          <w:sz w:val="22"/>
        </w:rPr>
        <w:t>-</w:t>
      </w:r>
      <w:r w:rsidRPr="00353AB8">
        <w:rPr>
          <w:rFonts w:ascii="Franklin Gothic Book" w:hAnsi="Franklin Gothic Book"/>
          <w:color w:val="auto"/>
          <w:sz w:val="22"/>
        </w:rPr>
        <w:t xml:space="preserve">inhibitor (17 month survival difference versus patients with no </w:t>
      </w:r>
      <w:r w:rsidRPr="00353AB8">
        <w:rPr>
          <w:rFonts w:ascii="Franklin Gothic Book" w:hAnsi="Franklin Gothic Book"/>
          <w:i/>
          <w:iCs/>
          <w:color w:val="auto"/>
          <w:sz w:val="22"/>
        </w:rPr>
        <w:t>FGFR</w:t>
      </w:r>
      <w:r w:rsidRPr="00353AB8">
        <w:rPr>
          <w:rFonts w:ascii="Franklin Gothic Book" w:hAnsi="Franklin Gothic Book"/>
          <w:color w:val="auto"/>
          <w:sz w:val="22"/>
        </w:rPr>
        <w:t xml:space="preserve"> alteration, though only 36/95 [38%] of patients received an FGFR</w:t>
      </w:r>
      <w:r w:rsidR="00650553" w:rsidRPr="00353AB8">
        <w:rPr>
          <w:rFonts w:ascii="Franklin Gothic Book" w:hAnsi="Franklin Gothic Book"/>
          <w:color w:val="auto"/>
          <w:sz w:val="22"/>
        </w:rPr>
        <w:t>-</w:t>
      </w:r>
      <w:r w:rsidRPr="00353AB8">
        <w:rPr>
          <w:rFonts w:ascii="Franklin Gothic Book" w:hAnsi="Franklin Gothic Book"/>
          <w:color w:val="auto"/>
          <w:sz w:val="22"/>
        </w:rPr>
        <w:t xml:space="preserve">inhibitor). </w:t>
      </w:r>
      <w:r w:rsidR="00B72E89" w:rsidRPr="00353AB8">
        <w:rPr>
          <w:rFonts w:ascii="Franklin Gothic Book" w:hAnsi="Franklin Gothic Book"/>
          <w:color w:val="auto"/>
          <w:sz w:val="22"/>
        </w:rPr>
        <w:t xml:space="preserve">However, the incremental benefit conferred by the use of an FGFR inhibitor </w:t>
      </w:r>
      <w:r w:rsidR="0099112B" w:rsidRPr="00353AB8">
        <w:rPr>
          <w:rFonts w:ascii="Franklin Gothic Book" w:hAnsi="Franklin Gothic Book"/>
          <w:color w:val="auto"/>
          <w:sz w:val="22"/>
        </w:rPr>
        <w:t xml:space="preserve">compared to SoC </w:t>
      </w:r>
      <w:r w:rsidR="00B72E89" w:rsidRPr="00353AB8">
        <w:rPr>
          <w:rFonts w:ascii="Franklin Gothic Book" w:hAnsi="Franklin Gothic Book"/>
          <w:color w:val="auto"/>
          <w:sz w:val="22"/>
        </w:rPr>
        <w:t xml:space="preserve">in a patient with </w:t>
      </w:r>
      <w:r w:rsidR="00B72E89" w:rsidRPr="00353AB8">
        <w:rPr>
          <w:rFonts w:ascii="Franklin Gothic Book" w:hAnsi="Franklin Gothic Book"/>
          <w:i/>
          <w:iCs/>
          <w:color w:val="auto"/>
          <w:sz w:val="22"/>
        </w:rPr>
        <w:t>FGFR2</w:t>
      </w:r>
      <w:r w:rsidR="00B72E89" w:rsidRPr="00353AB8">
        <w:rPr>
          <w:rFonts w:ascii="Franklin Gothic Book" w:hAnsi="Franklin Gothic Book"/>
          <w:color w:val="auto"/>
          <w:sz w:val="22"/>
        </w:rPr>
        <w:t xml:space="preserve"> </w:t>
      </w:r>
      <w:r w:rsidR="0099112B" w:rsidRPr="00353AB8">
        <w:rPr>
          <w:rFonts w:ascii="Franklin Gothic Book" w:hAnsi="Franklin Gothic Book"/>
          <w:color w:val="auto"/>
          <w:sz w:val="22"/>
        </w:rPr>
        <w:t xml:space="preserve">alteration </w:t>
      </w:r>
      <w:r w:rsidR="00C96D42" w:rsidRPr="00353AB8">
        <w:rPr>
          <w:rFonts w:ascii="Franklin Gothic Book" w:hAnsi="Franklin Gothic Book"/>
          <w:color w:val="auto"/>
          <w:sz w:val="22"/>
        </w:rPr>
        <w:t xml:space="preserve">in Jain 2018 </w:t>
      </w:r>
      <w:r w:rsidR="00B72E89" w:rsidRPr="00353AB8">
        <w:rPr>
          <w:rFonts w:ascii="Franklin Gothic Book" w:hAnsi="Franklin Gothic Book"/>
          <w:color w:val="auto"/>
          <w:sz w:val="22"/>
        </w:rPr>
        <w:t>was uncertain</w:t>
      </w:r>
      <w:r w:rsidR="00672402" w:rsidRPr="00353AB8">
        <w:rPr>
          <w:rFonts w:ascii="Franklin Gothic Book" w:hAnsi="Franklin Gothic Book"/>
          <w:color w:val="auto"/>
          <w:sz w:val="22"/>
        </w:rPr>
        <w:t xml:space="preserve"> as </w:t>
      </w:r>
      <w:r w:rsidR="0088139B" w:rsidRPr="00353AB8">
        <w:rPr>
          <w:rFonts w:ascii="Franklin Gothic Book" w:hAnsi="Franklin Gothic Book"/>
          <w:color w:val="auto"/>
          <w:sz w:val="22"/>
        </w:rPr>
        <w:t>there w</w:t>
      </w:r>
      <w:r w:rsidR="00C96D42" w:rsidRPr="00353AB8">
        <w:rPr>
          <w:rFonts w:ascii="Franklin Gothic Book" w:hAnsi="Franklin Gothic Book"/>
          <w:color w:val="auto"/>
          <w:sz w:val="22"/>
        </w:rPr>
        <w:t>ere</w:t>
      </w:r>
      <w:r w:rsidR="0088139B" w:rsidRPr="00353AB8">
        <w:rPr>
          <w:rFonts w:ascii="Franklin Gothic Book" w:hAnsi="Franklin Gothic Book"/>
          <w:color w:val="auto"/>
          <w:sz w:val="22"/>
        </w:rPr>
        <w:t xml:space="preserve"> likely confounders which were unadjusted for (e.g. </w:t>
      </w:r>
      <w:r w:rsidR="00672402" w:rsidRPr="00353AB8">
        <w:rPr>
          <w:rFonts w:ascii="Franklin Gothic Book" w:hAnsi="Franklin Gothic Book"/>
          <w:color w:val="auto"/>
          <w:sz w:val="22"/>
        </w:rPr>
        <w:t>patients who received FGFR inhibitors may have been healthier</w:t>
      </w:r>
      <w:r w:rsidR="0088139B" w:rsidRPr="00353AB8">
        <w:rPr>
          <w:rFonts w:ascii="Franklin Gothic Book" w:hAnsi="Franklin Gothic Book"/>
          <w:color w:val="auto"/>
          <w:sz w:val="22"/>
        </w:rPr>
        <w:t>)</w:t>
      </w:r>
      <w:r w:rsidR="00B72E89" w:rsidRPr="00353AB8">
        <w:rPr>
          <w:rFonts w:ascii="Franklin Gothic Book" w:hAnsi="Franklin Gothic Book"/>
          <w:color w:val="auto"/>
          <w:sz w:val="22"/>
        </w:rPr>
        <w:t>.</w:t>
      </w:r>
    </w:p>
    <w:p w14:paraId="799EE9B4" w14:textId="0C98C799" w:rsidR="002E2824" w:rsidRPr="00353AB8" w:rsidRDefault="002E2824" w:rsidP="00353AB8">
      <w:pPr>
        <w:pStyle w:val="InstructionalText"/>
        <w:jc w:val="left"/>
        <w:rPr>
          <w:rFonts w:ascii="Franklin Gothic Book" w:hAnsi="Franklin Gothic Book"/>
          <w:color w:val="auto"/>
          <w:sz w:val="22"/>
        </w:rPr>
      </w:pPr>
      <w:r w:rsidRPr="00353AB8">
        <w:rPr>
          <w:rFonts w:ascii="Franklin Gothic Book" w:hAnsi="Franklin Gothic Book"/>
          <w:color w:val="auto"/>
          <w:sz w:val="22"/>
        </w:rPr>
        <w:t>Importantly,</w:t>
      </w:r>
      <w:r w:rsidR="00604833" w:rsidRPr="00353AB8">
        <w:rPr>
          <w:rFonts w:ascii="Franklin Gothic Book" w:hAnsi="Franklin Gothic Book"/>
          <w:color w:val="auto"/>
          <w:sz w:val="22"/>
        </w:rPr>
        <w:t xml:space="preserve"> the </w:t>
      </w:r>
      <w:r w:rsidR="00634C1B" w:rsidRPr="00353AB8">
        <w:rPr>
          <w:rFonts w:ascii="Franklin Gothic Book" w:hAnsi="Franklin Gothic Book"/>
          <w:color w:val="auto"/>
          <w:sz w:val="22"/>
        </w:rPr>
        <w:t>commentary</w:t>
      </w:r>
      <w:r w:rsidR="00604833" w:rsidRPr="00353AB8">
        <w:rPr>
          <w:rFonts w:ascii="Franklin Gothic Book" w:hAnsi="Franklin Gothic Book"/>
          <w:color w:val="auto"/>
          <w:sz w:val="22"/>
        </w:rPr>
        <w:t xml:space="preserve"> considered that</w:t>
      </w:r>
      <w:r w:rsidRPr="00353AB8">
        <w:rPr>
          <w:rFonts w:ascii="Franklin Gothic Book" w:hAnsi="Franklin Gothic Book"/>
          <w:color w:val="auto"/>
          <w:sz w:val="22"/>
        </w:rPr>
        <w:t xml:space="preserve"> the key study used to inform the efficacy of futibatinib, FOENIX-CCA2, cannot be used to address this research question as it was a single arm study in which only patients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fusion/rearrangements were identified. As such, there is no direct evidence to inform the incremental benefit (if any) associated with futibatinib compared to the nominated comparator of FOLFOX in patients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w:t>
      </w:r>
      <w:r w:rsidRPr="00353AB8">
        <w:rPr>
          <w:rFonts w:ascii="Franklin Gothic Book" w:hAnsi="Franklin Gothic Book"/>
          <w:color w:val="auto"/>
          <w:sz w:val="22"/>
        </w:rPr>
        <w:lastRenderedPageBreak/>
        <w:t xml:space="preserve">fusion/rearrangement, nor is there any evidence to demonstrate that futibatinib is more efficacious in patients with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fusion/rearrangements compared to patients with </w:t>
      </w:r>
      <w:r w:rsidR="00FB6724" w:rsidRPr="00353AB8">
        <w:rPr>
          <w:rFonts w:ascii="Franklin Gothic Book" w:hAnsi="Franklin Gothic Book"/>
          <w:color w:val="auto"/>
          <w:sz w:val="22"/>
        </w:rPr>
        <w:t>Wild Type</w:t>
      </w:r>
      <w:r w:rsidRPr="00353AB8">
        <w:rPr>
          <w:rFonts w:ascii="Franklin Gothic Book" w:hAnsi="Franklin Gothic Book"/>
          <w:color w:val="auto"/>
          <w:sz w:val="22"/>
        </w:rPr>
        <w:t xml:space="preserv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There may be reason to believe that futibatinib may provide benefits for patients with Wild Type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Futibatinib is an FGFR2 inhibitor that acts on the receptor, not the gene, and there is evidence that activation of FGFR2 signalling can be observed in patients with Wild Type </w:t>
      </w:r>
      <w:r w:rsidRPr="00353AB8">
        <w:rPr>
          <w:rFonts w:ascii="Franklin Gothic Book" w:hAnsi="Franklin Gothic Book"/>
          <w:i/>
          <w:iCs/>
          <w:color w:val="auto"/>
          <w:sz w:val="22"/>
        </w:rPr>
        <w:t>FGFR2</w:t>
      </w:r>
      <w:r w:rsidRPr="00353AB8">
        <w:rPr>
          <w:rStyle w:val="FootnoteReference"/>
          <w:rFonts w:ascii="Franklin Gothic Book" w:hAnsi="Franklin Gothic Book"/>
          <w:color w:val="auto"/>
          <w:sz w:val="22"/>
        </w:rPr>
        <w:footnoteReference w:id="15"/>
      </w:r>
      <w:r w:rsidRPr="00353AB8">
        <w:rPr>
          <w:rFonts w:ascii="Franklin Gothic Book" w:hAnsi="Franklin Gothic Book"/>
          <w:color w:val="auto"/>
          <w:sz w:val="22"/>
        </w:rPr>
        <w:t xml:space="preserve">, and FGFR mRNA expression in CCA also occurs frequently in the absence of genetic alterations in </w:t>
      </w:r>
      <w:r w:rsidRPr="00353AB8">
        <w:rPr>
          <w:rFonts w:ascii="Franklin Gothic Book" w:hAnsi="Franklin Gothic Book"/>
          <w:i/>
          <w:iCs/>
          <w:color w:val="auto"/>
          <w:sz w:val="22"/>
        </w:rPr>
        <w:t>FGFR</w:t>
      </w:r>
      <w:r w:rsidRPr="00353AB8">
        <w:rPr>
          <w:rStyle w:val="FootnoteReference"/>
          <w:rFonts w:ascii="Franklin Gothic Book" w:hAnsi="Franklin Gothic Book"/>
          <w:color w:val="auto"/>
          <w:sz w:val="22"/>
        </w:rPr>
        <w:footnoteReference w:id="16"/>
      </w:r>
      <w:r w:rsidRPr="00353AB8">
        <w:rPr>
          <w:rFonts w:ascii="Franklin Gothic Book" w:hAnsi="Franklin Gothic Book"/>
          <w:color w:val="auto"/>
          <w:sz w:val="22"/>
        </w:rPr>
        <w:t xml:space="preserve">. Both </w:t>
      </w:r>
      <w:r w:rsidR="00BB12BE" w:rsidRPr="00353AB8">
        <w:rPr>
          <w:rFonts w:ascii="Franklin Gothic Book" w:hAnsi="Franklin Gothic Book"/>
          <w:color w:val="auto"/>
          <w:sz w:val="22"/>
        </w:rPr>
        <w:t xml:space="preserve">FGFR2 signalling and FGFR mRNA expression </w:t>
      </w:r>
      <w:r w:rsidRPr="00353AB8">
        <w:rPr>
          <w:rFonts w:ascii="Franklin Gothic Book" w:hAnsi="Franklin Gothic Book"/>
          <w:color w:val="auto"/>
          <w:sz w:val="22"/>
        </w:rPr>
        <w:t xml:space="preserve">are potentially relevant to the activity of futibatinib and potential targets for FGFR inhibitors. The lack of direct evidence on the efficacy and incremental benefit of futibatinib in different subgroups based on </w:t>
      </w:r>
      <w:r w:rsidRPr="00353AB8">
        <w:rPr>
          <w:rFonts w:ascii="Franklin Gothic Book" w:hAnsi="Franklin Gothic Book"/>
          <w:i/>
          <w:iCs/>
          <w:color w:val="auto"/>
          <w:sz w:val="22"/>
        </w:rPr>
        <w:t>FGFR2</w:t>
      </w:r>
      <w:r w:rsidRPr="00353AB8">
        <w:rPr>
          <w:rFonts w:ascii="Franklin Gothic Book" w:hAnsi="Franklin Gothic Book"/>
          <w:color w:val="auto"/>
          <w:sz w:val="22"/>
        </w:rPr>
        <w:t xml:space="preserve"> fusion/rearrangement is a significant barrier to establishing the codepe</w:t>
      </w:r>
      <w:r w:rsidR="00981E00" w:rsidRPr="00353AB8">
        <w:rPr>
          <w:rFonts w:ascii="Franklin Gothic Book" w:hAnsi="Franklin Gothic Book"/>
          <w:color w:val="auto"/>
          <w:sz w:val="22"/>
        </w:rPr>
        <w:t>n</w:t>
      </w:r>
      <w:r w:rsidRPr="00353AB8">
        <w:rPr>
          <w:rFonts w:ascii="Franklin Gothic Book" w:hAnsi="Franklin Gothic Book"/>
          <w:color w:val="auto"/>
          <w:sz w:val="22"/>
        </w:rPr>
        <w:t>dence as proposed in the submission.</w:t>
      </w:r>
    </w:p>
    <w:p w14:paraId="62EBC460" w14:textId="24D0F02A" w:rsidR="00CD3B36" w:rsidRPr="00353AB8" w:rsidRDefault="00026AF7" w:rsidP="00353AB8">
      <w:pPr>
        <w:pStyle w:val="MSACESParagraph"/>
        <w:rPr>
          <w:rFonts w:ascii="Franklin Gothic Book" w:hAnsi="Franklin Gothic Book"/>
          <w:i/>
          <w:iCs/>
          <w:sz w:val="22"/>
        </w:rPr>
      </w:pPr>
      <w:r w:rsidRPr="00353AB8">
        <w:rPr>
          <w:rFonts w:ascii="Franklin Gothic Book" w:hAnsi="Franklin Gothic Book"/>
          <w:sz w:val="22"/>
        </w:rPr>
        <w:t>The submission</w:t>
      </w:r>
      <w:r w:rsidR="009803D9" w:rsidRPr="00353AB8">
        <w:rPr>
          <w:rFonts w:ascii="Franklin Gothic Book" w:hAnsi="Franklin Gothic Book"/>
          <w:sz w:val="22"/>
        </w:rPr>
        <w:t>’s evidence for the efficacy of futibatinib</w:t>
      </w:r>
      <w:r w:rsidRPr="00353AB8">
        <w:rPr>
          <w:rFonts w:ascii="Franklin Gothic Book" w:hAnsi="Franklin Gothic Book"/>
          <w:sz w:val="22"/>
        </w:rPr>
        <w:t xml:space="preserve"> was </w:t>
      </w:r>
      <w:r w:rsidR="00CD3B36" w:rsidRPr="00353AB8">
        <w:rPr>
          <w:rFonts w:ascii="Franklin Gothic Book" w:hAnsi="Franklin Gothic Book"/>
          <w:sz w:val="22"/>
        </w:rPr>
        <w:t xml:space="preserve">primarily </w:t>
      </w:r>
      <w:r w:rsidR="00B227CE" w:rsidRPr="00353AB8">
        <w:rPr>
          <w:rFonts w:ascii="Franklin Gothic Book" w:hAnsi="Franklin Gothic Book"/>
          <w:sz w:val="22"/>
        </w:rPr>
        <w:t>based on</w:t>
      </w:r>
      <w:r w:rsidR="00CD3B36" w:rsidRPr="00353AB8">
        <w:rPr>
          <w:rFonts w:ascii="Franklin Gothic Book" w:hAnsi="Franklin Gothic Book"/>
          <w:sz w:val="22"/>
        </w:rPr>
        <w:t xml:space="preserve"> an unanchored matched adjusted indirect comparison (MAIC) of futibatinib from FOENIX-CCA2 (n=103) compared to FOLFOX arm of ABC-06 (n=81). Results of the MAIC suggested that futibatinib was more effective for </w:t>
      </w:r>
      <w:r w:rsidR="00C97C01" w:rsidRPr="00353AB8">
        <w:rPr>
          <w:rFonts w:ascii="Franklin Gothic Book" w:hAnsi="Franklin Gothic Book"/>
          <w:sz w:val="22"/>
        </w:rPr>
        <w:t>progression free survival (</w:t>
      </w:r>
      <w:r w:rsidR="00CD3B36" w:rsidRPr="00353AB8">
        <w:rPr>
          <w:rFonts w:ascii="Franklin Gothic Book" w:hAnsi="Franklin Gothic Book"/>
          <w:sz w:val="22"/>
        </w:rPr>
        <w:t>PFS</w:t>
      </w:r>
      <w:r w:rsidR="00C97C01" w:rsidRPr="00353AB8">
        <w:rPr>
          <w:rFonts w:ascii="Franklin Gothic Book" w:hAnsi="Franklin Gothic Book"/>
          <w:sz w:val="22"/>
        </w:rPr>
        <w:t>;</w:t>
      </w:r>
      <w:r w:rsidR="00CD3B36" w:rsidRPr="00353AB8">
        <w:rPr>
          <w:rFonts w:ascii="Franklin Gothic Book" w:hAnsi="Franklin Gothic Book"/>
          <w:sz w:val="22"/>
        </w:rPr>
        <w:t xml:space="preserve"> adjusted HR = 0.30, 95%CI 0.22-0.41), OS (adjusted HR = 0.24, 95% CI 0.18, 0.32) and </w:t>
      </w:r>
      <w:r w:rsidR="00C97C01" w:rsidRPr="00353AB8">
        <w:rPr>
          <w:rFonts w:ascii="Franklin Gothic Book" w:hAnsi="Franklin Gothic Book"/>
          <w:sz w:val="22"/>
        </w:rPr>
        <w:t>objective response rate (</w:t>
      </w:r>
      <w:r w:rsidR="00CD3B36" w:rsidRPr="00353AB8">
        <w:rPr>
          <w:rFonts w:ascii="Franklin Gothic Book" w:hAnsi="Franklin Gothic Book"/>
          <w:sz w:val="22"/>
        </w:rPr>
        <w:t>ORR</w:t>
      </w:r>
      <w:r w:rsidR="00C97C01" w:rsidRPr="00353AB8">
        <w:rPr>
          <w:rFonts w:ascii="Franklin Gothic Book" w:hAnsi="Franklin Gothic Book"/>
          <w:sz w:val="22"/>
        </w:rPr>
        <w:t>;</w:t>
      </w:r>
      <w:r w:rsidR="00CD3B36" w:rsidRPr="00353AB8">
        <w:rPr>
          <w:rFonts w:ascii="Franklin Gothic Book" w:hAnsi="Franklin Gothic Book"/>
          <w:sz w:val="22"/>
        </w:rPr>
        <w:t xml:space="preserve"> adjusted OR = 18.74, 95% CI = 7.2, 61.3)</w:t>
      </w:r>
      <w:r w:rsidR="006A2FB8">
        <w:rPr>
          <w:rStyle w:val="FootnoteReference"/>
          <w:rFonts w:ascii="Franklin Gothic Book" w:hAnsi="Franklin Gothic Book"/>
          <w:sz w:val="22"/>
        </w:rPr>
        <w:footnoteReference w:id="17"/>
      </w:r>
      <w:r w:rsidR="00CD3B36" w:rsidRPr="00353AB8">
        <w:rPr>
          <w:rFonts w:ascii="Franklin Gothic Book" w:hAnsi="Franklin Gothic Book"/>
          <w:sz w:val="22"/>
        </w:rPr>
        <w:t xml:space="preserve">. However, there were substantial known differences in these </w:t>
      </w:r>
      <w:r w:rsidR="000F595D" w:rsidRPr="00353AB8">
        <w:rPr>
          <w:rFonts w:ascii="Franklin Gothic Book" w:hAnsi="Franklin Gothic Book"/>
          <w:sz w:val="22"/>
        </w:rPr>
        <w:t xml:space="preserve">study arms </w:t>
      </w:r>
      <w:r w:rsidR="00CD3B36" w:rsidRPr="00353AB8">
        <w:rPr>
          <w:rFonts w:ascii="Franklin Gothic Book" w:hAnsi="Franklin Gothic Book"/>
          <w:sz w:val="22"/>
        </w:rPr>
        <w:t xml:space="preserve">such as tumour site (FOENIX-CCA2 was 100% iCCA whereas ABC-06 included iCCA, eCCA, gallbladder cancers and ampullar cancers) and </w:t>
      </w:r>
      <w:r w:rsidR="00CD3B36" w:rsidRPr="00353AB8">
        <w:rPr>
          <w:rFonts w:ascii="Franklin Gothic Book" w:hAnsi="Franklin Gothic Book"/>
          <w:i/>
          <w:iCs/>
          <w:sz w:val="22"/>
        </w:rPr>
        <w:t>FGFR2</w:t>
      </w:r>
      <w:r w:rsidR="00CD3B36" w:rsidRPr="00353AB8">
        <w:rPr>
          <w:rFonts w:ascii="Franklin Gothic Book" w:hAnsi="Franklin Gothic Book"/>
          <w:sz w:val="22"/>
        </w:rPr>
        <w:t xml:space="preserve"> status (100% </w:t>
      </w:r>
      <w:r w:rsidR="00CD3B36" w:rsidRPr="00353AB8">
        <w:rPr>
          <w:rFonts w:ascii="Franklin Gothic Book" w:hAnsi="Franklin Gothic Book"/>
          <w:i/>
          <w:iCs/>
          <w:sz w:val="22"/>
        </w:rPr>
        <w:t>FGFR2</w:t>
      </w:r>
      <w:r w:rsidR="00CD3B36" w:rsidRPr="00353AB8">
        <w:rPr>
          <w:rFonts w:ascii="Franklin Gothic Book" w:hAnsi="Franklin Gothic Book"/>
          <w:sz w:val="22"/>
        </w:rPr>
        <w:t xml:space="preserve"> alterations in FOENIX-CCA2, with unknown status in ABC-06) which affected transitivity. Published indirect comparisons by Paine 2022 and Borad 2022 which included only patients with </w:t>
      </w:r>
      <w:r w:rsidR="00CD3B36" w:rsidRPr="00353AB8">
        <w:rPr>
          <w:rFonts w:ascii="Franklin Gothic Book" w:hAnsi="Franklin Gothic Book"/>
          <w:i/>
          <w:iCs/>
          <w:sz w:val="22"/>
        </w:rPr>
        <w:t>FGFR2</w:t>
      </w:r>
      <w:r w:rsidR="00CD3B36" w:rsidRPr="00353AB8">
        <w:rPr>
          <w:rFonts w:ascii="Franklin Gothic Book" w:hAnsi="Franklin Gothic Book"/>
          <w:sz w:val="22"/>
        </w:rPr>
        <w:t xml:space="preserve"> alterations for both futibatinib and chemotherapy reported lower magnitudes of benefit for PFS</w:t>
      </w:r>
      <w:r w:rsidR="00C413D4" w:rsidRPr="00353AB8">
        <w:rPr>
          <w:rFonts w:ascii="Franklin Gothic Book" w:hAnsi="Franklin Gothic Book"/>
          <w:sz w:val="22"/>
        </w:rPr>
        <w:t xml:space="preserve">, </w:t>
      </w:r>
      <w:r w:rsidR="00CD3B36" w:rsidRPr="00353AB8">
        <w:rPr>
          <w:rFonts w:ascii="Franklin Gothic Book" w:hAnsi="Franklin Gothic Book"/>
          <w:sz w:val="22"/>
        </w:rPr>
        <w:t>OS and ORR (</w:t>
      </w:r>
      <w:r w:rsidR="00C413D4" w:rsidRPr="00353AB8">
        <w:rPr>
          <w:rFonts w:ascii="Franklin Gothic Book" w:hAnsi="Franklin Gothic Book"/>
          <w:sz w:val="22"/>
        </w:rPr>
        <w:t xml:space="preserve">see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_Ref198447513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14</w:t>
      </w:r>
      <w:r w:rsidR="001F5863" w:rsidRPr="001F5863">
        <w:rPr>
          <w:rFonts w:ascii="Franklin Gothic Book" w:hAnsi="Franklin Gothic Book"/>
          <w:sz w:val="22"/>
        </w:rPr>
        <w:fldChar w:fldCharType="end"/>
      </w:r>
      <w:r w:rsidR="00C413D4" w:rsidRPr="00353AB8">
        <w:rPr>
          <w:rFonts w:ascii="Franklin Gothic Book" w:hAnsi="Franklin Gothic Book"/>
          <w:sz w:val="22"/>
        </w:rPr>
        <w:t xml:space="preserve"> below</w:t>
      </w:r>
      <w:r w:rsidR="00CD3B36" w:rsidRPr="00353AB8">
        <w:rPr>
          <w:rFonts w:ascii="Franklin Gothic Book" w:hAnsi="Franklin Gothic Book"/>
          <w:sz w:val="22"/>
        </w:rPr>
        <w:t>), suggesting that the submission’s estimates may be overestimated. Additionally, the unanchored nature of the comparison confers a high risk of bias to unknown treatment effect modifiers. Consequently,</w:t>
      </w:r>
      <w:r w:rsidR="00604833" w:rsidRPr="00353AB8">
        <w:rPr>
          <w:rFonts w:ascii="Franklin Gothic Book" w:hAnsi="Franklin Gothic Book"/>
          <w:sz w:val="22"/>
        </w:rPr>
        <w:t xml:space="preserve"> the </w:t>
      </w:r>
      <w:r w:rsidR="00634C1B" w:rsidRPr="00353AB8">
        <w:rPr>
          <w:rFonts w:ascii="Franklin Gothic Book" w:hAnsi="Franklin Gothic Book"/>
          <w:sz w:val="22"/>
        </w:rPr>
        <w:t>commentary</w:t>
      </w:r>
      <w:r w:rsidR="00604833" w:rsidRPr="00353AB8">
        <w:rPr>
          <w:rFonts w:ascii="Franklin Gothic Book" w:hAnsi="Franklin Gothic Book"/>
          <w:sz w:val="22"/>
        </w:rPr>
        <w:t xml:space="preserve"> considered that</w:t>
      </w:r>
      <w:r w:rsidR="00CD3B36" w:rsidRPr="00353AB8">
        <w:rPr>
          <w:rFonts w:ascii="Franklin Gothic Book" w:hAnsi="Franklin Gothic Book"/>
          <w:sz w:val="22"/>
        </w:rPr>
        <w:t xml:space="preserve"> the magnitude of effect is highly uncertain and likely overestimated.</w:t>
      </w:r>
    </w:p>
    <w:p w14:paraId="4376C99B" w14:textId="4A3C7053" w:rsidR="0058255A" w:rsidRPr="00B27879" w:rsidRDefault="009D316D" w:rsidP="009D316D">
      <w:pPr>
        <w:pStyle w:val="Caption"/>
      </w:pPr>
      <w:bookmarkStart w:id="55" w:name="_Ref198447513"/>
      <w:bookmarkStart w:id="56" w:name="Table_MSAC_14"/>
      <w:r>
        <w:lastRenderedPageBreak/>
        <w:t xml:space="preserve">Table </w:t>
      </w:r>
      <w:r>
        <w:fldChar w:fldCharType="begin"/>
      </w:r>
      <w:r>
        <w:instrText>SEQ Table \* ARABIC</w:instrText>
      </w:r>
      <w:r>
        <w:fldChar w:fldCharType="separate"/>
      </w:r>
      <w:r w:rsidR="005B1C7E">
        <w:rPr>
          <w:noProof/>
        </w:rPr>
        <w:t>14</w:t>
      </w:r>
      <w:r>
        <w:fldChar w:fldCharType="end"/>
      </w:r>
      <w:bookmarkEnd w:id="55"/>
      <w:r>
        <w:tab/>
      </w:r>
      <w:bookmarkEnd w:id="56"/>
      <w:r w:rsidR="0058255A" w:rsidRPr="2914E55D">
        <w:rPr>
          <w:lang w:bidi="en-US"/>
        </w:rPr>
        <w:t xml:space="preserve">Indirect comparison results between futibatinib and chemotherapy in </w:t>
      </w:r>
      <w:r w:rsidR="0058255A" w:rsidRPr="2914E55D">
        <w:rPr>
          <w:i/>
          <w:lang w:bidi="en-US"/>
        </w:rPr>
        <w:t>FGFR2</w:t>
      </w:r>
      <w:r w:rsidR="0058255A" w:rsidRPr="2914E55D">
        <w:rPr>
          <w:lang w:bidi="en-US"/>
        </w:rPr>
        <w:t xml:space="preserve"> altered patients in Paine 2022 and Borad 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1560"/>
        <w:gridCol w:w="2268"/>
        <w:gridCol w:w="2358"/>
      </w:tblGrid>
      <w:tr w:rsidR="007900E9" w:rsidRPr="00B27879" w14:paraId="74DA91DA" w14:textId="77777777" w:rsidTr="00FE3A7F">
        <w:trPr>
          <w:cnfStyle w:val="100000000000" w:firstRow="1" w:lastRow="0" w:firstColumn="0" w:lastColumn="0" w:oddVBand="0" w:evenVBand="0" w:oddHBand="0" w:evenHBand="0" w:firstRowFirstColumn="0" w:firstRowLastColumn="0" w:lastRowFirstColumn="0" w:lastRowLastColumn="0"/>
        </w:trPr>
        <w:tc>
          <w:tcPr>
            <w:tcW w:w="1129" w:type="dxa"/>
            <w:vAlign w:val="center"/>
          </w:tcPr>
          <w:p w14:paraId="3F2119AC" w14:textId="77777777" w:rsidR="0058255A" w:rsidRPr="00B27879" w:rsidRDefault="0058255A" w:rsidP="00FE3A7F">
            <w:pPr>
              <w:keepNext/>
              <w:keepLines/>
              <w:spacing w:before="0"/>
              <w:jc w:val="left"/>
              <w:rPr>
                <w:rFonts w:ascii="Arial Narrow" w:hAnsi="Arial Narrow"/>
                <w:sz w:val="20"/>
                <w:szCs w:val="20"/>
                <w:lang w:val="en-AU"/>
              </w:rPr>
            </w:pPr>
          </w:p>
        </w:tc>
        <w:tc>
          <w:tcPr>
            <w:tcW w:w="1701" w:type="dxa"/>
            <w:vAlign w:val="center"/>
          </w:tcPr>
          <w:p w14:paraId="73E2B792"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Futibatinib,</w:t>
            </w:r>
          </w:p>
          <w:p w14:paraId="5BA93EF1"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Median months (95% CI)</w:t>
            </w:r>
          </w:p>
        </w:tc>
        <w:tc>
          <w:tcPr>
            <w:tcW w:w="1560" w:type="dxa"/>
            <w:vAlign w:val="center"/>
          </w:tcPr>
          <w:p w14:paraId="06E09AC4"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Chemotherapy,</w:t>
            </w:r>
          </w:p>
          <w:p w14:paraId="719E044D"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Median months (95% CI)</w:t>
            </w:r>
          </w:p>
        </w:tc>
        <w:tc>
          <w:tcPr>
            <w:tcW w:w="2268" w:type="dxa"/>
            <w:vAlign w:val="center"/>
          </w:tcPr>
          <w:p w14:paraId="5617F987"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Unadjusted HR (95% CI, p value)</w:t>
            </w:r>
          </w:p>
        </w:tc>
        <w:tc>
          <w:tcPr>
            <w:tcW w:w="2358" w:type="dxa"/>
            <w:vAlign w:val="center"/>
          </w:tcPr>
          <w:p w14:paraId="70CC9E1C"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Adjusted HR (95% CI, p value)</w:t>
            </w:r>
          </w:p>
        </w:tc>
      </w:tr>
      <w:tr w:rsidR="007900E9" w:rsidRPr="00B27879" w14:paraId="26ABFC0E" w14:textId="77777777" w:rsidTr="00FE3A7F">
        <w:tc>
          <w:tcPr>
            <w:tcW w:w="1129" w:type="dxa"/>
            <w:vAlign w:val="center"/>
          </w:tcPr>
          <w:p w14:paraId="001A57CD"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Paine 2022</w:t>
            </w:r>
          </w:p>
        </w:tc>
        <w:tc>
          <w:tcPr>
            <w:tcW w:w="1701" w:type="dxa"/>
            <w:vAlign w:val="center"/>
          </w:tcPr>
          <w:p w14:paraId="0DA713D7" w14:textId="77777777" w:rsidR="0058255A" w:rsidRPr="00B27879" w:rsidRDefault="0058255A" w:rsidP="00FE3A7F">
            <w:pPr>
              <w:keepNext/>
              <w:keepLines/>
              <w:spacing w:before="0"/>
              <w:jc w:val="center"/>
              <w:rPr>
                <w:rFonts w:ascii="Arial Narrow" w:hAnsi="Arial Narrow"/>
                <w:sz w:val="20"/>
                <w:szCs w:val="20"/>
                <w:lang w:val="en-AU"/>
              </w:rPr>
            </w:pPr>
          </w:p>
        </w:tc>
        <w:tc>
          <w:tcPr>
            <w:tcW w:w="1560" w:type="dxa"/>
            <w:vAlign w:val="center"/>
          </w:tcPr>
          <w:p w14:paraId="5DB0D3B5" w14:textId="77777777" w:rsidR="0058255A" w:rsidRPr="00B27879" w:rsidRDefault="0058255A" w:rsidP="00FE3A7F">
            <w:pPr>
              <w:keepNext/>
              <w:keepLines/>
              <w:spacing w:before="0"/>
              <w:jc w:val="center"/>
              <w:rPr>
                <w:rFonts w:ascii="Arial Narrow" w:hAnsi="Arial Narrow"/>
                <w:sz w:val="20"/>
                <w:szCs w:val="20"/>
                <w:lang w:val="en-AU"/>
              </w:rPr>
            </w:pPr>
          </w:p>
        </w:tc>
        <w:tc>
          <w:tcPr>
            <w:tcW w:w="2268" w:type="dxa"/>
            <w:vAlign w:val="center"/>
          </w:tcPr>
          <w:p w14:paraId="63B69C3A" w14:textId="77777777" w:rsidR="0058255A" w:rsidRPr="00B27879" w:rsidRDefault="0058255A" w:rsidP="00FE3A7F">
            <w:pPr>
              <w:keepNext/>
              <w:keepLines/>
              <w:spacing w:before="0"/>
              <w:jc w:val="center"/>
              <w:rPr>
                <w:rFonts w:ascii="Arial Narrow" w:hAnsi="Arial Narrow"/>
                <w:sz w:val="20"/>
                <w:szCs w:val="20"/>
                <w:lang w:val="en-AU"/>
              </w:rPr>
            </w:pPr>
          </w:p>
        </w:tc>
        <w:tc>
          <w:tcPr>
            <w:tcW w:w="2358" w:type="dxa"/>
            <w:vAlign w:val="center"/>
          </w:tcPr>
          <w:p w14:paraId="6F944871" w14:textId="77777777" w:rsidR="0058255A" w:rsidRPr="00B27879" w:rsidRDefault="0058255A" w:rsidP="00FE3A7F">
            <w:pPr>
              <w:keepNext/>
              <w:keepLines/>
              <w:spacing w:before="0"/>
              <w:jc w:val="center"/>
              <w:rPr>
                <w:rFonts w:ascii="Arial Narrow" w:hAnsi="Arial Narrow"/>
                <w:sz w:val="20"/>
                <w:szCs w:val="20"/>
                <w:lang w:val="en-AU"/>
              </w:rPr>
            </w:pPr>
          </w:p>
        </w:tc>
      </w:tr>
      <w:tr w:rsidR="007900E9" w:rsidRPr="00B27879" w14:paraId="2197E1AD" w14:textId="77777777" w:rsidTr="00FE3A7F">
        <w:tc>
          <w:tcPr>
            <w:tcW w:w="1129" w:type="dxa"/>
            <w:vAlign w:val="center"/>
          </w:tcPr>
          <w:p w14:paraId="2EF1793B"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 xml:space="preserve">PFS </w:t>
            </w:r>
          </w:p>
        </w:tc>
        <w:tc>
          <w:tcPr>
            <w:tcW w:w="1701" w:type="dxa"/>
            <w:vAlign w:val="center"/>
          </w:tcPr>
          <w:p w14:paraId="00C4A59A"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9.0 (6.9, 13.1)</w:t>
            </w:r>
          </w:p>
        </w:tc>
        <w:tc>
          <w:tcPr>
            <w:tcW w:w="1560" w:type="dxa"/>
            <w:vAlign w:val="center"/>
          </w:tcPr>
          <w:p w14:paraId="1311BE45" w14:textId="77777777" w:rsidR="0058255A" w:rsidRPr="00B27879" w:rsidRDefault="0058255A" w:rsidP="00FE3A7F">
            <w:pPr>
              <w:keepNext/>
              <w:keepLines/>
              <w:spacing w:before="0"/>
              <w:jc w:val="center"/>
              <w:rPr>
                <w:rFonts w:ascii="Arial Narrow" w:hAnsi="Arial Narrow"/>
                <w:i/>
                <w:iCs/>
                <w:sz w:val="20"/>
                <w:szCs w:val="20"/>
                <w:vertAlign w:val="superscript"/>
                <w:lang w:val="en-AU"/>
              </w:rPr>
            </w:pPr>
            <w:r w:rsidRPr="00B27879">
              <w:rPr>
                <w:rFonts w:ascii="Arial Narrow" w:hAnsi="Arial Narrow"/>
                <w:i/>
                <w:iCs/>
                <w:sz w:val="20"/>
                <w:szCs w:val="20"/>
                <w:lang w:val="en-AU"/>
              </w:rPr>
              <w:t xml:space="preserve">4.4 (3.0- 5.7) </w:t>
            </w:r>
            <w:r w:rsidRPr="00B27879">
              <w:rPr>
                <w:rFonts w:ascii="Arial Narrow" w:hAnsi="Arial Narrow"/>
                <w:i/>
                <w:iCs/>
                <w:sz w:val="20"/>
                <w:szCs w:val="20"/>
                <w:vertAlign w:val="superscript"/>
                <w:lang w:val="en-AU"/>
              </w:rPr>
              <w:t>a</w:t>
            </w:r>
          </w:p>
        </w:tc>
        <w:tc>
          <w:tcPr>
            <w:tcW w:w="2268" w:type="dxa"/>
            <w:vAlign w:val="center"/>
          </w:tcPr>
          <w:p w14:paraId="2ABD0ED2"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0.40 (0.27-0.59, &lt;0.0001)</w:t>
            </w:r>
          </w:p>
        </w:tc>
        <w:tc>
          <w:tcPr>
            <w:tcW w:w="2358" w:type="dxa"/>
            <w:vAlign w:val="center"/>
          </w:tcPr>
          <w:p w14:paraId="31EE64A5"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 xml:space="preserve">0.48 (0.30-0.76, 0.002) </w:t>
            </w:r>
            <w:r w:rsidRPr="00B27879">
              <w:rPr>
                <w:rFonts w:ascii="Arial Narrow" w:hAnsi="Arial Narrow"/>
                <w:b/>
                <w:bCs/>
                <w:i/>
                <w:iCs/>
                <w:sz w:val="20"/>
                <w:szCs w:val="20"/>
                <w:vertAlign w:val="superscript"/>
                <w:lang w:val="en-AU"/>
              </w:rPr>
              <w:t>b</w:t>
            </w:r>
          </w:p>
        </w:tc>
      </w:tr>
      <w:tr w:rsidR="007900E9" w:rsidRPr="00B27879" w14:paraId="3A21D616" w14:textId="77777777" w:rsidTr="00FE3A7F">
        <w:tc>
          <w:tcPr>
            <w:tcW w:w="1129" w:type="dxa"/>
            <w:vAlign w:val="center"/>
          </w:tcPr>
          <w:p w14:paraId="5AB96FDE"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OS</w:t>
            </w:r>
          </w:p>
        </w:tc>
        <w:tc>
          <w:tcPr>
            <w:tcW w:w="1701" w:type="dxa"/>
            <w:vAlign w:val="center"/>
          </w:tcPr>
          <w:p w14:paraId="17057AD2"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21.7 (14.5-NE)</w:t>
            </w:r>
          </w:p>
        </w:tc>
        <w:tc>
          <w:tcPr>
            <w:tcW w:w="1560" w:type="dxa"/>
            <w:vAlign w:val="center"/>
          </w:tcPr>
          <w:p w14:paraId="484579F1" w14:textId="77777777" w:rsidR="0058255A" w:rsidRPr="00B27879" w:rsidRDefault="0058255A" w:rsidP="00FE3A7F">
            <w:pPr>
              <w:keepNext/>
              <w:keepLines/>
              <w:spacing w:before="0"/>
              <w:jc w:val="center"/>
              <w:rPr>
                <w:rFonts w:ascii="Arial Narrow" w:hAnsi="Arial Narrow"/>
                <w:i/>
                <w:iCs/>
                <w:sz w:val="20"/>
                <w:szCs w:val="20"/>
                <w:vertAlign w:val="superscript"/>
                <w:lang w:val="en-AU"/>
              </w:rPr>
            </w:pPr>
            <w:r w:rsidRPr="00B27879">
              <w:rPr>
                <w:rFonts w:ascii="Arial Narrow" w:hAnsi="Arial Narrow"/>
                <w:i/>
                <w:iCs/>
                <w:sz w:val="20"/>
                <w:szCs w:val="20"/>
                <w:lang w:val="en-AU"/>
              </w:rPr>
              <w:t xml:space="preserve">12.1 (8.4-17.1) </w:t>
            </w:r>
            <w:r w:rsidRPr="00B27879">
              <w:rPr>
                <w:rFonts w:ascii="Arial Narrow" w:hAnsi="Arial Narrow"/>
                <w:i/>
                <w:iCs/>
                <w:sz w:val="20"/>
                <w:szCs w:val="20"/>
                <w:vertAlign w:val="superscript"/>
                <w:lang w:val="en-AU"/>
              </w:rPr>
              <w:t>c</w:t>
            </w:r>
          </w:p>
        </w:tc>
        <w:tc>
          <w:tcPr>
            <w:tcW w:w="2268" w:type="dxa"/>
            <w:vAlign w:val="center"/>
          </w:tcPr>
          <w:p w14:paraId="2C640079"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0.54 (0.35-0.81, 0.003)</w:t>
            </w:r>
          </w:p>
        </w:tc>
        <w:tc>
          <w:tcPr>
            <w:tcW w:w="2358" w:type="dxa"/>
            <w:vAlign w:val="center"/>
          </w:tcPr>
          <w:p w14:paraId="1372E758"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0.48 (0.31-0.74, 0.001)</w:t>
            </w:r>
          </w:p>
        </w:tc>
      </w:tr>
      <w:tr w:rsidR="007900E9" w:rsidRPr="00B27879" w14:paraId="745B6121" w14:textId="77777777" w:rsidTr="00FE3A7F">
        <w:tc>
          <w:tcPr>
            <w:tcW w:w="1129" w:type="dxa"/>
            <w:vAlign w:val="center"/>
          </w:tcPr>
          <w:p w14:paraId="3F1EEFE5"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Borad 2022</w:t>
            </w:r>
          </w:p>
        </w:tc>
        <w:tc>
          <w:tcPr>
            <w:tcW w:w="1701" w:type="dxa"/>
            <w:vAlign w:val="center"/>
          </w:tcPr>
          <w:p w14:paraId="20E5FF3B" w14:textId="77777777" w:rsidR="0058255A" w:rsidRPr="00B27879" w:rsidRDefault="0058255A" w:rsidP="00FE3A7F">
            <w:pPr>
              <w:keepNext/>
              <w:keepLines/>
              <w:spacing w:before="0"/>
              <w:jc w:val="center"/>
              <w:rPr>
                <w:rFonts w:ascii="Arial Narrow" w:hAnsi="Arial Narrow"/>
                <w:sz w:val="20"/>
                <w:szCs w:val="20"/>
                <w:lang w:val="en-AU"/>
              </w:rPr>
            </w:pPr>
          </w:p>
        </w:tc>
        <w:tc>
          <w:tcPr>
            <w:tcW w:w="1560" w:type="dxa"/>
            <w:vAlign w:val="center"/>
          </w:tcPr>
          <w:p w14:paraId="327D4883" w14:textId="77777777" w:rsidR="0058255A" w:rsidRPr="00B27879" w:rsidRDefault="0058255A" w:rsidP="00FE3A7F">
            <w:pPr>
              <w:keepNext/>
              <w:keepLines/>
              <w:spacing w:before="0"/>
              <w:jc w:val="center"/>
              <w:rPr>
                <w:rFonts w:ascii="Arial Narrow" w:hAnsi="Arial Narrow"/>
                <w:sz w:val="20"/>
                <w:szCs w:val="20"/>
                <w:lang w:val="en-AU"/>
              </w:rPr>
            </w:pPr>
          </w:p>
        </w:tc>
        <w:tc>
          <w:tcPr>
            <w:tcW w:w="2268" w:type="dxa"/>
            <w:vAlign w:val="center"/>
          </w:tcPr>
          <w:p w14:paraId="0B538769" w14:textId="77777777" w:rsidR="0058255A" w:rsidRPr="00B27879" w:rsidRDefault="0058255A" w:rsidP="00FE3A7F">
            <w:pPr>
              <w:keepNext/>
              <w:keepLines/>
              <w:spacing w:before="0"/>
              <w:jc w:val="center"/>
              <w:rPr>
                <w:rFonts w:ascii="Arial Narrow" w:hAnsi="Arial Narrow"/>
                <w:sz w:val="20"/>
                <w:szCs w:val="20"/>
                <w:lang w:val="en-AU"/>
              </w:rPr>
            </w:pPr>
          </w:p>
        </w:tc>
        <w:tc>
          <w:tcPr>
            <w:tcW w:w="2358" w:type="dxa"/>
            <w:vAlign w:val="center"/>
          </w:tcPr>
          <w:p w14:paraId="1E7E7501" w14:textId="77777777" w:rsidR="0058255A" w:rsidRPr="00B27879" w:rsidRDefault="0058255A" w:rsidP="00FE3A7F">
            <w:pPr>
              <w:keepNext/>
              <w:keepLines/>
              <w:spacing w:before="0"/>
              <w:jc w:val="center"/>
              <w:rPr>
                <w:rFonts w:ascii="Arial Narrow" w:hAnsi="Arial Narrow"/>
                <w:sz w:val="20"/>
                <w:szCs w:val="20"/>
                <w:lang w:val="en-AU"/>
              </w:rPr>
            </w:pPr>
          </w:p>
        </w:tc>
      </w:tr>
      <w:tr w:rsidR="007900E9" w:rsidRPr="00B27879" w14:paraId="3B9DBA29" w14:textId="77777777" w:rsidTr="00FE3A7F">
        <w:tc>
          <w:tcPr>
            <w:tcW w:w="1129" w:type="dxa"/>
            <w:vAlign w:val="center"/>
          </w:tcPr>
          <w:p w14:paraId="70AA30E9"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 xml:space="preserve">PFS </w:t>
            </w:r>
          </w:p>
        </w:tc>
        <w:tc>
          <w:tcPr>
            <w:tcW w:w="1701" w:type="dxa"/>
            <w:vAlign w:val="center"/>
          </w:tcPr>
          <w:p w14:paraId="4C2359A6"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1560" w:type="dxa"/>
            <w:vAlign w:val="center"/>
          </w:tcPr>
          <w:p w14:paraId="03330AA7"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2268" w:type="dxa"/>
            <w:vAlign w:val="center"/>
          </w:tcPr>
          <w:p w14:paraId="582C57DF"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0.40 (0.27-0.59, ≤0.01)</w:t>
            </w:r>
          </w:p>
        </w:tc>
        <w:tc>
          <w:tcPr>
            <w:tcW w:w="2358" w:type="dxa"/>
            <w:vAlign w:val="center"/>
          </w:tcPr>
          <w:p w14:paraId="3833F07D"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0.53 (0.33-0.86, ≤0.01)</w:t>
            </w:r>
          </w:p>
        </w:tc>
      </w:tr>
      <w:tr w:rsidR="007900E9" w:rsidRPr="00B27879" w14:paraId="00C31483" w14:textId="77777777" w:rsidTr="00FE3A7F">
        <w:tc>
          <w:tcPr>
            <w:tcW w:w="1129" w:type="dxa"/>
            <w:vAlign w:val="center"/>
          </w:tcPr>
          <w:p w14:paraId="2CFB8D10"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OS</w:t>
            </w:r>
          </w:p>
        </w:tc>
        <w:tc>
          <w:tcPr>
            <w:tcW w:w="1701" w:type="dxa"/>
            <w:vAlign w:val="center"/>
          </w:tcPr>
          <w:p w14:paraId="495F744E"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1560" w:type="dxa"/>
            <w:vAlign w:val="center"/>
          </w:tcPr>
          <w:p w14:paraId="6DFDB7D7"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2268" w:type="dxa"/>
            <w:vAlign w:val="center"/>
          </w:tcPr>
          <w:p w14:paraId="39829556"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0.53 (0.35-0.81, ≤0.01)</w:t>
            </w:r>
          </w:p>
        </w:tc>
        <w:tc>
          <w:tcPr>
            <w:tcW w:w="2358" w:type="dxa"/>
            <w:vAlign w:val="center"/>
          </w:tcPr>
          <w:p w14:paraId="61A7E32D" w14:textId="77777777" w:rsidR="0058255A" w:rsidRPr="00B27879" w:rsidRDefault="0058255A" w:rsidP="00FE3A7F">
            <w:pPr>
              <w:keepNext/>
              <w:keepLines/>
              <w:spacing w:before="0"/>
              <w:jc w:val="center"/>
              <w:rPr>
                <w:rFonts w:ascii="Arial Narrow" w:hAnsi="Arial Narrow"/>
                <w:b/>
                <w:bCs/>
                <w:i/>
                <w:iCs/>
                <w:sz w:val="20"/>
                <w:szCs w:val="20"/>
                <w:lang w:val="en-AU"/>
              </w:rPr>
            </w:pPr>
            <w:r w:rsidRPr="00B27879">
              <w:rPr>
                <w:rFonts w:ascii="Arial Narrow" w:hAnsi="Arial Narrow"/>
                <w:b/>
                <w:bCs/>
                <w:i/>
                <w:iCs/>
                <w:sz w:val="20"/>
                <w:szCs w:val="20"/>
                <w:lang w:val="en-AU"/>
              </w:rPr>
              <w:t>0.49 (0.31-0.79, ≤0.01)</w:t>
            </w:r>
          </w:p>
        </w:tc>
      </w:tr>
      <w:tr w:rsidR="007900E9" w:rsidRPr="00B27879" w14:paraId="7A869DCA" w14:textId="77777777" w:rsidTr="00FE3A7F">
        <w:tc>
          <w:tcPr>
            <w:tcW w:w="1129" w:type="dxa"/>
            <w:vAlign w:val="center"/>
          </w:tcPr>
          <w:p w14:paraId="56F68CED"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ORR</w:t>
            </w:r>
          </w:p>
        </w:tc>
        <w:tc>
          <w:tcPr>
            <w:tcW w:w="1701" w:type="dxa"/>
            <w:vAlign w:val="center"/>
          </w:tcPr>
          <w:p w14:paraId="4B8947CD"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1560" w:type="dxa"/>
            <w:vAlign w:val="center"/>
          </w:tcPr>
          <w:p w14:paraId="6C945165"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2268" w:type="dxa"/>
            <w:vAlign w:val="center"/>
          </w:tcPr>
          <w:p w14:paraId="11038C4D"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1.32 (0.76-2.31, NR)</w:t>
            </w:r>
          </w:p>
        </w:tc>
        <w:tc>
          <w:tcPr>
            <w:tcW w:w="2358" w:type="dxa"/>
            <w:vAlign w:val="center"/>
          </w:tcPr>
          <w:p w14:paraId="502A1C25"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1.43 (0.78-2.65, NR)</w:t>
            </w:r>
          </w:p>
        </w:tc>
      </w:tr>
      <w:tr w:rsidR="007900E9" w:rsidRPr="00B27879" w14:paraId="2493E971" w14:textId="77777777" w:rsidTr="00FE3A7F">
        <w:tc>
          <w:tcPr>
            <w:tcW w:w="1129" w:type="dxa"/>
            <w:vAlign w:val="center"/>
          </w:tcPr>
          <w:p w14:paraId="1960533C"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DOR</w:t>
            </w:r>
          </w:p>
        </w:tc>
        <w:tc>
          <w:tcPr>
            <w:tcW w:w="1701" w:type="dxa"/>
            <w:vAlign w:val="center"/>
          </w:tcPr>
          <w:p w14:paraId="1F65DA39"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1560" w:type="dxa"/>
            <w:vAlign w:val="center"/>
          </w:tcPr>
          <w:p w14:paraId="217183BE"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NR</w:t>
            </w:r>
          </w:p>
        </w:tc>
        <w:tc>
          <w:tcPr>
            <w:tcW w:w="2268" w:type="dxa"/>
            <w:vAlign w:val="center"/>
          </w:tcPr>
          <w:p w14:paraId="1AD7CAFF"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0.73 (0.40-1.33, NR)</w:t>
            </w:r>
          </w:p>
        </w:tc>
        <w:tc>
          <w:tcPr>
            <w:tcW w:w="2358" w:type="dxa"/>
            <w:vAlign w:val="center"/>
          </w:tcPr>
          <w:p w14:paraId="63934A3D" w14:textId="77777777" w:rsidR="0058255A" w:rsidRPr="00B27879" w:rsidRDefault="0058255A" w:rsidP="00FE3A7F">
            <w:pPr>
              <w:keepNext/>
              <w:keepLines/>
              <w:spacing w:before="0"/>
              <w:jc w:val="center"/>
              <w:rPr>
                <w:rFonts w:ascii="Arial Narrow" w:hAnsi="Arial Narrow"/>
                <w:i/>
                <w:iCs/>
                <w:sz w:val="20"/>
                <w:szCs w:val="20"/>
                <w:lang w:val="en-AU"/>
              </w:rPr>
            </w:pPr>
            <w:r w:rsidRPr="00B27879">
              <w:rPr>
                <w:rFonts w:ascii="Arial Narrow" w:hAnsi="Arial Narrow"/>
                <w:i/>
                <w:iCs/>
                <w:sz w:val="20"/>
                <w:szCs w:val="20"/>
                <w:lang w:val="en-AU"/>
              </w:rPr>
              <w:t>0.75 (0.37-1.51, NR)</w:t>
            </w:r>
          </w:p>
        </w:tc>
      </w:tr>
      <w:tr w:rsidR="007900E9" w:rsidRPr="00B27879" w14:paraId="587A7BB5" w14:textId="77777777" w:rsidTr="00FE3A7F">
        <w:tc>
          <w:tcPr>
            <w:tcW w:w="1129" w:type="dxa"/>
            <w:vAlign w:val="center"/>
          </w:tcPr>
          <w:p w14:paraId="596F6160"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Submission</w:t>
            </w:r>
          </w:p>
        </w:tc>
        <w:tc>
          <w:tcPr>
            <w:tcW w:w="1701" w:type="dxa"/>
            <w:vAlign w:val="center"/>
          </w:tcPr>
          <w:p w14:paraId="20F78B19" w14:textId="77777777" w:rsidR="0058255A" w:rsidRPr="00B27879" w:rsidRDefault="0058255A" w:rsidP="00FE3A7F">
            <w:pPr>
              <w:keepNext/>
              <w:keepLines/>
              <w:spacing w:before="0"/>
              <w:jc w:val="center"/>
              <w:rPr>
                <w:rFonts w:ascii="Arial Narrow" w:hAnsi="Arial Narrow"/>
                <w:i/>
                <w:iCs/>
                <w:sz w:val="20"/>
                <w:szCs w:val="20"/>
                <w:lang w:val="en-AU"/>
              </w:rPr>
            </w:pPr>
          </w:p>
        </w:tc>
        <w:tc>
          <w:tcPr>
            <w:tcW w:w="1560" w:type="dxa"/>
            <w:vAlign w:val="center"/>
          </w:tcPr>
          <w:p w14:paraId="53A01526" w14:textId="77777777" w:rsidR="0058255A" w:rsidRPr="00B27879" w:rsidRDefault="0058255A" w:rsidP="00FE3A7F">
            <w:pPr>
              <w:keepNext/>
              <w:keepLines/>
              <w:spacing w:before="0"/>
              <w:jc w:val="center"/>
              <w:rPr>
                <w:rFonts w:ascii="Arial Narrow" w:hAnsi="Arial Narrow"/>
                <w:i/>
                <w:iCs/>
                <w:sz w:val="20"/>
                <w:szCs w:val="20"/>
                <w:lang w:val="en-AU"/>
              </w:rPr>
            </w:pPr>
          </w:p>
        </w:tc>
        <w:tc>
          <w:tcPr>
            <w:tcW w:w="2268" w:type="dxa"/>
            <w:vAlign w:val="center"/>
          </w:tcPr>
          <w:p w14:paraId="3F582F31" w14:textId="77777777" w:rsidR="0058255A" w:rsidRPr="00B27879" w:rsidRDefault="0058255A" w:rsidP="00FE3A7F">
            <w:pPr>
              <w:keepNext/>
              <w:keepLines/>
              <w:spacing w:before="0"/>
              <w:jc w:val="center"/>
              <w:rPr>
                <w:rFonts w:ascii="Arial Narrow" w:hAnsi="Arial Narrow"/>
                <w:i/>
                <w:iCs/>
                <w:sz w:val="20"/>
                <w:szCs w:val="20"/>
                <w:lang w:val="en-AU"/>
              </w:rPr>
            </w:pPr>
          </w:p>
        </w:tc>
        <w:tc>
          <w:tcPr>
            <w:tcW w:w="2358" w:type="dxa"/>
            <w:vAlign w:val="center"/>
          </w:tcPr>
          <w:p w14:paraId="35174338" w14:textId="77777777" w:rsidR="0058255A" w:rsidRPr="00B27879" w:rsidRDefault="0058255A" w:rsidP="00FE3A7F">
            <w:pPr>
              <w:keepNext/>
              <w:keepLines/>
              <w:spacing w:before="0"/>
              <w:jc w:val="center"/>
              <w:rPr>
                <w:rFonts w:ascii="Arial Narrow" w:hAnsi="Arial Narrow"/>
                <w:i/>
                <w:iCs/>
                <w:sz w:val="20"/>
                <w:szCs w:val="20"/>
                <w:lang w:val="en-AU"/>
              </w:rPr>
            </w:pPr>
          </w:p>
        </w:tc>
      </w:tr>
      <w:tr w:rsidR="007900E9" w:rsidRPr="00B27879" w14:paraId="6A29E585" w14:textId="77777777" w:rsidTr="00FE3A7F">
        <w:tc>
          <w:tcPr>
            <w:tcW w:w="1129" w:type="dxa"/>
            <w:vAlign w:val="center"/>
          </w:tcPr>
          <w:p w14:paraId="6DE8A9B7"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PFS</w:t>
            </w:r>
          </w:p>
        </w:tc>
        <w:tc>
          <w:tcPr>
            <w:tcW w:w="1701" w:type="dxa"/>
            <w:vAlign w:val="center"/>
          </w:tcPr>
          <w:p w14:paraId="11C3BEF4"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 xml:space="preserve">8.9 (6.7-11.0) </w:t>
            </w:r>
            <w:r w:rsidRPr="00B27879">
              <w:rPr>
                <w:rFonts w:ascii="Arial Narrow" w:hAnsi="Arial Narrow"/>
                <w:sz w:val="20"/>
                <w:szCs w:val="20"/>
                <w:vertAlign w:val="superscript"/>
                <w:lang w:val="en-AU"/>
              </w:rPr>
              <w:t>d</w:t>
            </w:r>
          </w:p>
        </w:tc>
        <w:tc>
          <w:tcPr>
            <w:tcW w:w="1560" w:type="dxa"/>
            <w:vAlign w:val="center"/>
          </w:tcPr>
          <w:p w14:paraId="1D8158A8"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 xml:space="preserve">4.0 (3.2-5.0) </w:t>
            </w:r>
            <w:r w:rsidRPr="00B27879">
              <w:rPr>
                <w:rFonts w:ascii="Arial Narrow" w:hAnsi="Arial Narrow"/>
                <w:sz w:val="20"/>
                <w:szCs w:val="20"/>
                <w:vertAlign w:val="superscript"/>
                <w:lang w:val="en-AU"/>
              </w:rPr>
              <w:t>e</w:t>
            </w:r>
          </w:p>
        </w:tc>
        <w:tc>
          <w:tcPr>
            <w:tcW w:w="2268" w:type="dxa"/>
            <w:vAlign w:val="center"/>
          </w:tcPr>
          <w:p w14:paraId="0632D97C" w14:textId="1E678F25" w:rsidR="0058255A" w:rsidRPr="00B7279C" w:rsidRDefault="0058255A" w:rsidP="00FE3A7F">
            <w:pPr>
              <w:keepNext/>
              <w:keepLines/>
              <w:spacing w:before="0"/>
              <w:jc w:val="center"/>
              <w:rPr>
                <w:rFonts w:ascii="Arial Narrow" w:hAnsi="Arial Narrow"/>
                <w:b/>
                <w:i/>
                <w:sz w:val="20"/>
                <w:szCs w:val="20"/>
                <w:vertAlign w:val="superscript"/>
                <w:lang w:val="en-AU"/>
              </w:rPr>
            </w:pPr>
            <w:r w:rsidRPr="00B7279C">
              <w:rPr>
                <w:rFonts w:ascii="Arial Narrow" w:hAnsi="Arial Narrow"/>
                <w:b/>
                <w:bCs/>
                <w:sz w:val="20"/>
                <w:szCs w:val="20"/>
                <w:lang w:val="en-AU"/>
              </w:rPr>
              <w:t>0.43 (0.31-0.59, &lt;0.0001)</w:t>
            </w:r>
            <w:r w:rsidR="00C5323F" w:rsidRPr="00B7279C">
              <w:rPr>
                <w:rFonts w:ascii="Arial Narrow" w:hAnsi="Arial Narrow"/>
                <w:b/>
                <w:bCs/>
                <w:sz w:val="20"/>
                <w:szCs w:val="20"/>
                <w:lang w:val="en-AU"/>
              </w:rPr>
              <w:t xml:space="preserve"> </w:t>
            </w:r>
            <w:r w:rsidR="00C5323F" w:rsidRPr="00B7279C">
              <w:rPr>
                <w:rFonts w:ascii="Arial Narrow" w:hAnsi="Arial Narrow"/>
                <w:b/>
                <w:bCs/>
                <w:sz w:val="20"/>
                <w:szCs w:val="20"/>
                <w:vertAlign w:val="superscript"/>
                <w:lang w:val="en-AU"/>
              </w:rPr>
              <w:t>g</w:t>
            </w:r>
          </w:p>
        </w:tc>
        <w:tc>
          <w:tcPr>
            <w:tcW w:w="2358" w:type="dxa"/>
            <w:vAlign w:val="center"/>
          </w:tcPr>
          <w:p w14:paraId="67CE2337" w14:textId="5B1E4117" w:rsidR="0058255A" w:rsidRPr="00B7279C" w:rsidRDefault="0058255A" w:rsidP="00FE3A7F">
            <w:pPr>
              <w:keepNext/>
              <w:keepLines/>
              <w:spacing w:before="0"/>
              <w:jc w:val="center"/>
              <w:rPr>
                <w:rFonts w:ascii="Arial Narrow" w:hAnsi="Arial Narrow"/>
                <w:b/>
                <w:sz w:val="20"/>
                <w:szCs w:val="20"/>
                <w:vertAlign w:val="superscript"/>
                <w:lang w:val="en-AU"/>
              </w:rPr>
            </w:pPr>
            <w:r w:rsidRPr="00B7279C">
              <w:rPr>
                <w:rFonts w:ascii="Arial Narrow" w:hAnsi="Arial Narrow"/>
                <w:b/>
                <w:bCs/>
                <w:sz w:val="20"/>
                <w:szCs w:val="20"/>
                <w:lang w:val="en-AU"/>
              </w:rPr>
              <w:t>0.30 (0.22-0.41, &lt;0.0001)</w:t>
            </w:r>
            <w:r w:rsidR="00C5323F" w:rsidRPr="00B7279C">
              <w:rPr>
                <w:rFonts w:ascii="Arial Narrow" w:hAnsi="Arial Narrow"/>
                <w:b/>
                <w:bCs/>
                <w:sz w:val="20"/>
                <w:szCs w:val="20"/>
                <w:lang w:val="en-AU"/>
              </w:rPr>
              <w:t xml:space="preserve"> </w:t>
            </w:r>
            <w:r w:rsidR="00C5323F" w:rsidRPr="00B7279C">
              <w:rPr>
                <w:rFonts w:ascii="Arial Narrow" w:hAnsi="Arial Narrow"/>
                <w:b/>
                <w:bCs/>
                <w:sz w:val="20"/>
                <w:szCs w:val="20"/>
                <w:vertAlign w:val="superscript"/>
                <w:lang w:val="en-AU"/>
              </w:rPr>
              <w:t>g</w:t>
            </w:r>
          </w:p>
        </w:tc>
      </w:tr>
      <w:tr w:rsidR="007900E9" w:rsidRPr="00B27879" w14:paraId="68E2B371" w14:textId="77777777" w:rsidTr="00FE3A7F">
        <w:tc>
          <w:tcPr>
            <w:tcW w:w="1129" w:type="dxa"/>
            <w:vAlign w:val="center"/>
          </w:tcPr>
          <w:p w14:paraId="645718C6"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OS</w:t>
            </w:r>
          </w:p>
        </w:tc>
        <w:tc>
          <w:tcPr>
            <w:tcW w:w="1701" w:type="dxa"/>
            <w:vAlign w:val="center"/>
          </w:tcPr>
          <w:p w14:paraId="7C5E4EA0"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20.0 (16.4-24.6)</w:t>
            </w:r>
          </w:p>
        </w:tc>
        <w:tc>
          <w:tcPr>
            <w:tcW w:w="1560" w:type="dxa"/>
            <w:vAlign w:val="center"/>
          </w:tcPr>
          <w:p w14:paraId="48FB4324"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 xml:space="preserve">6.2 (5.4-7.6) </w:t>
            </w:r>
            <w:r w:rsidRPr="00B27879">
              <w:rPr>
                <w:rFonts w:ascii="Arial Narrow" w:hAnsi="Arial Narrow"/>
                <w:sz w:val="20"/>
                <w:szCs w:val="20"/>
                <w:vertAlign w:val="superscript"/>
                <w:lang w:val="en-AU"/>
              </w:rPr>
              <w:t>e</w:t>
            </w:r>
          </w:p>
        </w:tc>
        <w:tc>
          <w:tcPr>
            <w:tcW w:w="2268" w:type="dxa"/>
            <w:vAlign w:val="center"/>
          </w:tcPr>
          <w:p w14:paraId="6A4B8F06" w14:textId="0EB0CA72" w:rsidR="0058255A" w:rsidRPr="00B7279C" w:rsidRDefault="0058255A" w:rsidP="00FE3A7F">
            <w:pPr>
              <w:keepNext/>
              <w:keepLines/>
              <w:spacing w:before="0"/>
              <w:jc w:val="center"/>
              <w:rPr>
                <w:rFonts w:ascii="Arial Narrow" w:hAnsi="Arial Narrow"/>
                <w:b/>
                <w:sz w:val="20"/>
                <w:szCs w:val="20"/>
                <w:vertAlign w:val="superscript"/>
                <w:lang w:val="en-AU"/>
              </w:rPr>
            </w:pPr>
            <w:r w:rsidRPr="00B7279C">
              <w:rPr>
                <w:rFonts w:ascii="Arial Narrow" w:hAnsi="Arial Narrow"/>
                <w:b/>
                <w:bCs/>
                <w:sz w:val="20"/>
                <w:szCs w:val="20"/>
                <w:lang w:val="en-AU"/>
              </w:rPr>
              <w:t>0.26 (0.18-0.37, &lt;0.0001)</w:t>
            </w:r>
            <w:r w:rsidR="00C5323F" w:rsidRPr="00B7279C">
              <w:rPr>
                <w:rFonts w:ascii="Arial Narrow" w:hAnsi="Arial Narrow"/>
                <w:b/>
                <w:bCs/>
                <w:sz w:val="20"/>
                <w:szCs w:val="20"/>
                <w:lang w:val="en-AU"/>
              </w:rPr>
              <w:t xml:space="preserve"> </w:t>
            </w:r>
            <w:r w:rsidR="00C5323F" w:rsidRPr="00B7279C">
              <w:rPr>
                <w:rFonts w:ascii="Arial Narrow" w:hAnsi="Arial Narrow"/>
                <w:b/>
                <w:bCs/>
                <w:sz w:val="20"/>
                <w:szCs w:val="20"/>
                <w:vertAlign w:val="superscript"/>
                <w:lang w:val="en-AU"/>
              </w:rPr>
              <w:t>g</w:t>
            </w:r>
          </w:p>
        </w:tc>
        <w:tc>
          <w:tcPr>
            <w:tcW w:w="2358" w:type="dxa"/>
            <w:vAlign w:val="center"/>
          </w:tcPr>
          <w:p w14:paraId="6FBAB5F0" w14:textId="36E28B8F" w:rsidR="0058255A" w:rsidRPr="00B7279C" w:rsidRDefault="0058255A" w:rsidP="00FE3A7F">
            <w:pPr>
              <w:keepNext/>
              <w:keepLines/>
              <w:spacing w:before="0"/>
              <w:jc w:val="center"/>
              <w:rPr>
                <w:rFonts w:ascii="Arial Narrow" w:hAnsi="Arial Narrow"/>
                <w:b/>
                <w:sz w:val="20"/>
                <w:szCs w:val="20"/>
                <w:vertAlign w:val="superscript"/>
                <w:lang w:val="en-AU"/>
              </w:rPr>
            </w:pPr>
            <w:r w:rsidRPr="00B7279C">
              <w:rPr>
                <w:rFonts w:ascii="Arial Narrow" w:hAnsi="Arial Narrow"/>
                <w:b/>
                <w:bCs/>
                <w:sz w:val="20"/>
                <w:szCs w:val="20"/>
                <w:lang w:val="en-AU"/>
              </w:rPr>
              <w:t>0.24 (0.18-0.32, &lt;0.0001)</w:t>
            </w:r>
            <w:r w:rsidR="00C5323F" w:rsidRPr="00B7279C">
              <w:rPr>
                <w:rFonts w:ascii="Arial Narrow" w:hAnsi="Arial Narrow"/>
                <w:b/>
                <w:bCs/>
                <w:sz w:val="20"/>
                <w:szCs w:val="20"/>
                <w:lang w:val="en-AU"/>
              </w:rPr>
              <w:t xml:space="preserve"> </w:t>
            </w:r>
            <w:r w:rsidR="00C5323F" w:rsidRPr="00B7279C">
              <w:rPr>
                <w:rFonts w:ascii="Arial Narrow" w:hAnsi="Arial Narrow"/>
                <w:b/>
                <w:bCs/>
                <w:sz w:val="20"/>
                <w:szCs w:val="20"/>
                <w:vertAlign w:val="superscript"/>
                <w:lang w:val="en-AU"/>
              </w:rPr>
              <w:t>g</w:t>
            </w:r>
          </w:p>
        </w:tc>
      </w:tr>
      <w:tr w:rsidR="007900E9" w:rsidRPr="00B27879" w14:paraId="28C902BA" w14:textId="77777777" w:rsidTr="00FE3A7F">
        <w:tc>
          <w:tcPr>
            <w:tcW w:w="1129" w:type="dxa"/>
            <w:vAlign w:val="center"/>
          </w:tcPr>
          <w:p w14:paraId="5C0AEE9C" w14:textId="77777777" w:rsidR="0058255A" w:rsidRPr="00B27879" w:rsidRDefault="0058255A" w:rsidP="00FE3A7F">
            <w:pPr>
              <w:keepNext/>
              <w:keepLines/>
              <w:spacing w:before="0"/>
              <w:jc w:val="left"/>
              <w:rPr>
                <w:rFonts w:ascii="Arial Narrow" w:hAnsi="Arial Narrow"/>
                <w:sz w:val="20"/>
                <w:szCs w:val="20"/>
                <w:lang w:val="en-AU"/>
              </w:rPr>
            </w:pPr>
            <w:r w:rsidRPr="00B27879">
              <w:rPr>
                <w:rFonts w:ascii="Arial Narrow" w:hAnsi="Arial Narrow"/>
                <w:sz w:val="20"/>
                <w:szCs w:val="20"/>
                <w:lang w:val="en-AU"/>
              </w:rPr>
              <w:t>ORR</w:t>
            </w:r>
          </w:p>
        </w:tc>
        <w:tc>
          <w:tcPr>
            <w:tcW w:w="1701" w:type="dxa"/>
            <w:vAlign w:val="center"/>
          </w:tcPr>
          <w:p w14:paraId="2A70BA7A"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NA</w:t>
            </w:r>
          </w:p>
        </w:tc>
        <w:tc>
          <w:tcPr>
            <w:tcW w:w="1560" w:type="dxa"/>
            <w:vAlign w:val="center"/>
          </w:tcPr>
          <w:p w14:paraId="41AEB210" w14:textId="77777777" w:rsidR="0058255A" w:rsidRPr="00B27879" w:rsidRDefault="0058255A" w:rsidP="00FE3A7F">
            <w:pPr>
              <w:keepNext/>
              <w:keepLines/>
              <w:spacing w:before="0"/>
              <w:jc w:val="center"/>
              <w:rPr>
                <w:rFonts w:ascii="Arial Narrow" w:hAnsi="Arial Narrow"/>
                <w:sz w:val="20"/>
                <w:szCs w:val="20"/>
                <w:lang w:val="en-AU"/>
              </w:rPr>
            </w:pPr>
            <w:r w:rsidRPr="00B27879">
              <w:rPr>
                <w:rFonts w:ascii="Arial Narrow" w:hAnsi="Arial Narrow"/>
                <w:sz w:val="20"/>
                <w:szCs w:val="20"/>
                <w:lang w:val="en-AU"/>
              </w:rPr>
              <w:t>NA</w:t>
            </w:r>
          </w:p>
        </w:tc>
        <w:tc>
          <w:tcPr>
            <w:tcW w:w="2268" w:type="dxa"/>
            <w:vAlign w:val="center"/>
          </w:tcPr>
          <w:p w14:paraId="65F1DE2F" w14:textId="5DD3A8A7" w:rsidR="0058255A" w:rsidRPr="00B7279C" w:rsidRDefault="0058255A" w:rsidP="00FE3A7F">
            <w:pPr>
              <w:keepNext/>
              <w:keepLines/>
              <w:spacing w:before="0"/>
              <w:jc w:val="center"/>
              <w:rPr>
                <w:rFonts w:ascii="Arial Narrow" w:hAnsi="Arial Narrow"/>
                <w:b/>
                <w:bCs/>
                <w:sz w:val="20"/>
                <w:szCs w:val="20"/>
                <w:lang w:val="en-AU"/>
              </w:rPr>
            </w:pPr>
            <w:r w:rsidRPr="00B7279C">
              <w:rPr>
                <w:rFonts w:ascii="Arial Narrow" w:hAnsi="Arial Narrow"/>
                <w:b/>
                <w:bCs/>
                <w:sz w:val="20"/>
                <w:szCs w:val="20"/>
                <w:lang w:val="en-AU"/>
              </w:rPr>
              <w:t xml:space="preserve">13.8 (5.49-44.12, &lt;0.001) </w:t>
            </w:r>
            <w:r w:rsidRPr="00B7279C">
              <w:rPr>
                <w:rFonts w:ascii="Arial Narrow" w:hAnsi="Arial Narrow"/>
                <w:b/>
                <w:bCs/>
                <w:sz w:val="20"/>
                <w:szCs w:val="20"/>
                <w:vertAlign w:val="superscript"/>
                <w:lang w:val="en-AU"/>
              </w:rPr>
              <w:t>f</w:t>
            </w:r>
            <w:r w:rsidR="00C5323F" w:rsidRPr="00B7279C">
              <w:rPr>
                <w:rFonts w:ascii="Arial Narrow" w:hAnsi="Arial Narrow"/>
                <w:b/>
                <w:bCs/>
                <w:sz w:val="20"/>
                <w:szCs w:val="20"/>
                <w:vertAlign w:val="superscript"/>
                <w:lang w:val="en-AU"/>
              </w:rPr>
              <w:t>,g</w:t>
            </w:r>
          </w:p>
        </w:tc>
        <w:tc>
          <w:tcPr>
            <w:tcW w:w="2358" w:type="dxa"/>
            <w:vAlign w:val="center"/>
          </w:tcPr>
          <w:p w14:paraId="0AE5B121" w14:textId="39308221" w:rsidR="0058255A" w:rsidRPr="00B7279C" w:rsidRDefault="0058255A" w:rsidP="00FE3A7F">
            <w:pPr>
              <w:keepNext/>
              <w:keepLines/>
              <w:spacing w:before="0"/>
              <w:jc w:val="center"/>
              <w:rPr>
                <w:rFonts w:ascii="Arial Narrow" w:hAnsi="Arial Narrow"/>
                <w:b/>
                <w:bCs/>
                <w:sz w:val="20"/>
                <w:szCs w:val="20"/>
                <w:vertAlign w:val="superscript"/>
                <w:lang w:val="en-AU"/>
              </w:rPr>
            </w:pPr>
            <w:r w:rsidRPr="00B7279C">
              <w:rPr>
                <w:rFonts w:ascii="Arial Narrow" w:hAnsi="Arial Narrow"/>
                <w:b/>
                <w:bCs/>
                <w:sz w:val="20"/>
                <w:szCs w:val="20"/>
                <w:lang w:val="en-AU"/>
              </w:rPr>
              <w:t xml:space="preserve">18.74 (7.20-61.31, &lt;0.001) </w:t>
            </w:r>
            <w:r w:rsidRPr="00B7279C">
              <w:rPr>
                <w:rFonts w:ascii="Arial Narrow" w:hAnsi="Arial Narrow"/>
                <w:b/>
                <w:bCs/>
                <w:sz w:val="20"/>
                <w:szCs w:val="20"/>
                <w:vertAlign w:val="superscript"/>
                <w:lang w:val="en-AU"/>
              </w:rPr>
              <w:t>f</w:t>
            </w:r>
            <w:r w:rsidR="00C5323F" w:rsidRPr="00B7279C">
              <w:rPr>
                <w:rFonts w:ascii="Arial Narrow" w:hAnsi="Arial Narrow"/>
                <w:b/>
                <w:bCs/>
                <w:sz w:val="20"/>
                <w:szCs w:val="20"/>
                <w:vertAlign w:val="superscript"/>
                <w:lang w:val="en-AU"/>
              </w:rPr>
              <w:t>,g</w:t>
            </w:r>
          </w:p>
        </w:tc>
      </w:tr>
    </w:tbl>
    <w:p w14:paraId="427A54D7" w14:textId="27D1C9E5" w:rsidR="0058255A" w:rsidRPr="00B27879" w:rsidRDefault="00C97C01" w:rsidP="0058255A">
      <w:pPr>
        <w:keepNext/>
        <w:keepLines/>
        <w:spacing w:before="0" w:after="0"/>
        <w:rPr>
          <w:rFonts w:ascii="Arial Narrow" w:hAnsi="Arial Narrow"/>
          <w:sz w:val="18"/>
          <w:szCs w:val="18"/>
        </w:rPr>
      </w:pPr>
      <w:r>
        <w:rPr>
          <w:rFonts w:ascii="Arial Narrow" w:hAnsi="Arial Narrow"/>
          <w:sz w:val="18"/>
          <w:szCs w:val="18"/>
        </w:rPr>
        <w:t>S</w:t>
      </w:r>
      <w:r w:rsidR="0058255A" w:rsidRPr="00B27879">
        <w:rPr>
          <w:rFonts w:ascii="Arial Narrow" w:hAnsi="Arial Narrow"/>
          <w:sz w:val="18"/>
          <w:szCs w:val="18"/>
        </w:rPr>
        <w:t>ource: Paine 2022, Borad 2022, Table 2.61, p 159, Table 2.62, p161, Table 2.63, p162, Table 2.64, p163 and Table 2.66, p164 of the submission.</w:t>
      </w:r>
    </w:p>
    <w:p w14:paraId="6A158994" w14:textId="1793C072" w:rsidR="0058255A" w:rsidRPr="00B27879" w:rsidRDefault="0058255A" w:rsidP="2914E55D">
      <w:pPr>
        <w:keepNext/>
        <w:keepLines/>
        <w:spacing w:before="0" w:after="0"/>
        <w:rPr>
          <w:rFonts w:ascii="Arial Narrow" w:hAnsi="Arial Narrow"/>
          <w:sz w:val="18"/>
          <w:szCs w:val="18"/>
        </w:rPr>
      </w:pPr>
      <w:r w:rsidRPr="2914E55D">
        <w:rPr>
          <w:rFonts w:ascii="Arial Narrow" w:hAnsi="Arial Narrow"/>
          <w:sz w:val="18"/>
          <w:szCs w:val="18"/>
          <w:vertAlign w:val="superscript"/>
        </w:rPr>
        <w:t>a</w:t>
      </w:r>
      <w:r w:rsidRPr="2914E55D">
        <w:rPr>
          <w:rFonts w:ascii="Arial Narrow" w:hAnsi="Arial Narrow"/>
          <w:sz w:val="18"/>
          <w:szCs w:val="18"/>
        </w:rPr>
        <w:t xml:space="preserve"> based on Pre-FIGHT-202;</w:t>
      </w:r>
      <w:r w:rsidRPr="2914E55D">
        <w:t xml:space="preserve"> </w:t>
      </w:r>
      <w:r w:rsidRPr="2914E55D">
        <w:rPr>
          <w:rFonts w:ascii="Arial Narrow" w:hAnsi="Arial Narrow"/>
          <w:sz w:val="18"/>
          <w:szCs w:val="18"/>
        </w:rPr>
        <w:t>Unadjusted median PFS is an estimation across reported values for second-line (4.4 months, 95% CI 3.0–5.3) and third-line (6.6 months, 95% CI 2.7–9.7) therapy.</w:t>
      </w:r>
    </w:p>
    <w:p w14:paraId="574BEBEC" w14:textId="213FD823" w:rsidR="0058255A" w:rsidRPr="00B27879" w:rsidRDefault="0058255A" w:rsidP="2914E55D">
      <w:pPr>
        <w:keepNext/>
        <w:keepLines/>
        <w:spacing w:before="0" w:after="0"/>
        <w:rPr>
          <w:rFonts w:ascii="Arial Narrow" w:hAnsi="Arial Narrow"/>
          <w:sz w:val="18"/>
          <w:szCs w:val="18"/>
        </w:rPr>
      </w:pPr>
      <w:r w:rsidRPr="2914E55D">
        <w:rPr>
          <w:rFonts w:ascii="Arial Narrow" w:hAnsi="Arial Narrow"/>
          <w:sz w:val="18"/>
          <w:szCs w:val="18"/>
          <w:vertAlign w:val="superscript"/>
        </w:rPr>
        <w:t xml:space="preserve">b </w:t>
      </w:r>
      <w:r w:rsidRPr="2914E55D">
        <w:rPr>
          <w:rFonts w:ascii="Arial Narrow" w:hAnsi="Arial Narrow"/>
          <w:sz w:val="18"/>
          <w:szCs w:val="18"/>
        </w:rPr>
        <w:t>adjusted for age, sex, ECOG PS, proportion of patients with ≥2 lines of prior chemotherapy, albumin ≤ 35 g/L and prior surgery</w:t>
      </w:r>
    </w:p>
    <w:p w14:paraId="16A6B1ED" w14:textId="77777777" w:rsidR="0058255A" w:rsidRPr="00B27879" w:rsidRDefault="0058255A" w:rsidP="0058255A">
      <w:pPr>
        <w:keepNext/>
        <w:keepLines/>
        <w:spacing w:before="0" w:after="0"/>
        <w:rPr>
          <w:rFonts w:ascii="Arial Narrow" w:hAnsi="Arial Narrow"/>
          <w:sz w:val="18"/>
          <w:szCs w:val="18"/>
        </w:rPr>
      </w:pPr>
      <w:r w:rsidRPr="00B27879">
        <w:rPr>
          <w:rFonts w:ascii="Arial Narrow" w:hAnsi="Arial Narrow"/>
          <w:sz w:val="18"/>
          <w:szCs w:val="18"/>
          <w:vertAlign w:val="superscript"/>
        </w:rPr>
        <w:t>c</w:t>
      </w:r>
      <w:r w:rsidRPr="00B27879">
        <w:rPr>
          <w:rFonts w:ascii="Arial Narrow" w:hAnsi="Arial Narrow"/>
          <w:sz w:val="18"/>
          <w:szCs w:val="18"/>
        </w:rPr>
        <w:t xml:space="preserve"> based on Shroff 2022</w:t>
      </w:r>
    </w:p>
    <w:p w14:paraId="140487E0" w14:textId="77777777" w:rsidR="0058255A" w:rsidRPr="00B27879" w:rsidRDefault="0058255A" w:rsidP="0058255A">
      <w:pPr>
        <w:keepNext/>
        <w:keepLines/>
        <w:spacing w:before="0" w:after="0"/>
        <w:rPr>
          <w:rFonts w:ascii="Arial Narrow" w:hAnsi="Arial Narrow"/>
          <w:sz w:val="18"/>
          <w:szCs w:val="18"/>
        </w:rPr>
      </w:pPr>
      <w:r w:rsidRPr="00B27879">
        <w:rPr>
          <w:rFonts w:ascii="Arial Narrow" w:hAnsi="Arial Narrow"/>
          <w:sz w:val="18"/>
          <w:szCs w:val="18"/>
          <w:vertAlign w:val="superscript"/>
        </w:rPr>
        <w:t>d</w:t>
      </w:r>
      <w:r w:rsidRPr="00B27879">
        <w:rPr>
          <w:rFonts w:ascii="Arial Narrow" w:hAnsi="Arial Narrow"/>
          <w:sz w:val="18"/>
          <w:szCs w:val="18"/>
        </w:rPr>
        <w:t xml:space="preserve"> reported for PFS by independent review committee</w:t>
      </w:r>
    </w:p>
    <w:p w14:paraId="0CDD4763" w14:textId="77777777" w:rsidR="0058255A" w:rsidRPr="00B27879" w:rsidRDefault="0058255A" w:rsidP="0058255A">
      <w:pPr>
        <w:keepNext/>
        <w:keepLines/>
        <w:spacing w:before="0" w:after="0"/>
        <w:rPr>
          <w:rFonts w:ascii="Arial Narrow" w:hAnsi="Arial Narrow"/>
          <w:sz w:val="18"/>
          <w:szCs w:val="18"/>
        </w:rPr>
      </w:pPr>
      <w:r w:rsidRPr="00B27879">
        <w:rPr>
          <w:rFonts w:ascii="Arial Narrow" w:hAnsi="Arial Narrow"/>
          <w:sz w:val="18"/>
          <w:szCs w:val="18"/>
          <w:vertAlign w:val="superscript"/>
        </w:rPr>
        <w:t xml:space="preserve">e </w:t>
      </w:r>
      <w:r w:rsidRPr="00B27879">
        <w:rPr>
          <w:rFonts w:ascii="Arial Narrow" w:hAnsi="Arial Narrow"/>
          <w:sz w:val="18"/>
          <w:szCs w:val="18"/>
        </w:rPr>
        <w:t>based on FOLFOX arm of ABC-06</w:t>
      </w:r>
    </w:p>
    <w:p w14:paraId="20085E7C" w14:textId="77777777" w:rsidR="0058255A" w:rsidRPr="00B27879" w:rsidRDefault="0058255A" w:rsidP="0058255A">
      <w:pPr>
        <w:keepNext/>
        <w:keepLines/>
        <w:spacing w:before="0" w:after="0"/>
        <w:rPr>
          <w:rFonts w:ascii="Arial Narrow" w:hAnsi="Arial Narrow"/>
          <w:sz w:val="18"/>
          <w:szCs w:val="18"/>
        </w:rPr>
      </w:pPr>
      <w:r w:rsidRPr="00B27879">
        <w:rPr>
          <w:rFonts w:ascii="Arial Narrow" w:hAnsi="Arial Narrow"/>
          <w:sz w:val="18"/>
          <w:szCs w:val="18"/>
          <w:vertAlign w:val="superscript"/>
        </w:rPr>
        <w:t>f</w:t>
      </w:r>
      <w:r w:rsidRPr="00B27879">
        <w:rPr>
          <w:rFonts w:ascii="Arial Narrow" w:hAnsi="Arial Narrow"/>
          <w:sz w:val="18"/>
          <w:szCs w:val="18"/>
        </w:rPr>
        <w:t xml:space="preserve"> reported as odds ratio and not hazard ratios</w:t>
      </w:r>
    </w:p>
    <w:p w14:paraId="5AA61F67" w14:textId="6EC86F76" w:rsidR="00C5323F" w:rsidRPr="00C5323F" w:rsidRDefault="00C5323F" w:rsidP="0058255A">
      <w:pPr>
        <w:keepNext/>
        <w:keepLines/>
        <w:spacing w:before="0" w:after="0"/>
        <w:rPr>
          <w:rFonts w:ascii="Arial Narrow" w:hAnsi="Arial Narrow"/>
          <w:sz w:val="18"/>
          <w:szCs w:val="18"/>
        </w:rPr>
      </w:pPr>
      <w:r>
        <w:rPr>
          <w:rFonts w:ascii="Arial Narrow" w:hAnsi="Arial Narrow"/>
          <w:sz w:val="18"/>
          <w:szCs w:val="18"/>
          <w:vertAlign w:val="superscript"/>
        </w:rPr>
        <w:t>g</w:t>
      </w:r>
      <w:r>
        <w:rPr>
          <w:rFonts w:ascii="Arial Narrow" w:hAnsi="Arial Narrow"/>
          <w:sz w:val="18"/>
          <w:szCs w:val="18"/>
        </w:rPr>
        <w:t xml:space="preserve"> </w:t>
      </w:r>
      <w:r w:rsidRPr="00C5323F">
        <w:rPr>
          <w:rFonts w:ascii="Arial Narrow" w:hAnsi="Arial Narrow"/>
          <w:sz w:val="18"/>
          <w:szCs w:val="18"/>
        </w:rPr>
        <w:t>Note that these results are derived from analyses conducted by the applicant specifically for the purposes of informing the PBAC and MSAC consideration. Interpretation of the results and their application should therefore be limited to seeking to understand the basis for the PBAC and MSAC outcome and should not be used for any other purpose.</w:t>
      </w:r>
    </w:p>
    <w:p w14:paraId="7C1D7364" w14:textId="77777777" w:rsidR="0058255A" w:rsidRPr="00B27879" w:rsidRDefault="0058255A" w:rsidP="0058255A">
      <w:pPr>
        <w:keepNext/>
        <w:keepLines/>
        <w:spacing w:before="0" w:after="0"/>
        <w:rPr>
          <w:rFonts w:ascii="Arial Narrow" w:hAnsi="Arial Narrow"/>
          <w:sz w:val="18"/>
          <w:szCs w:val="18"/>
        </w:rPr>
      </w:pPr>
      <w:r w:rsidRPr="00B27879">
        <w:rPr>
          <w:rFonts w:ascii="Arial Narrow" w:hAnsi="Arial Narrow"/>
          <w:sz w:val="18"/>
          <w:szCs w:val="18"/>
        </w:rPr>
        <w:t xml:space="preserve">CI = confidence interval; DOR = duration of response; HR = hazard ratio; NA = not applicable; NE = not estimable; NR = not reported; OS = overall survival; ORR = objective response rate; PFS = progression free survival </w:t>
      </w:r>
    </w:p>
    <w:p w14:paraId="10E0B3F3" w14:textId="419A0EB8" w:rsidR="0058255A" w:rsidRPr="00B27879" w:rsidRDefault="0058255A" w:rsidP="2914E55D">
      <w:pPr>
        <w:keepNext/>
        <w:keepLines/>
        <w:spacing w:before="0" w:after="0"/>
        <w:rPr>
          <w:rFonts w:ascii="Arial Narrow" w:hAnsi="Arial Narrow"/>
          <w:sz w:val="18"/>
          <w:szCs w:val="18"/>
        </w:rPr>
      </w:pPr>
      <w:r w:rsidRPr="2914E55D">
        <w:rPr>
          <w:rFonts w:ascii="Arial Narrow" w:hAnsi="Arial Narrow"/>
          <w:sz w:val="18"/>
          <w:szCs w:val="18"/>
        </w:rPr>
        <w:t>Text in italics indicate values extracted during evaluation</w:t>
      </w:r>
    </w:p>
    <w:p w14:paraId="1764250E" w14:textId="3A0C3502" w:rsidR="0058255A" w:rsidRPr="00B27879" w:rsidRDefault="0058255A" w:rsidP="2914E55D">
      <w:pPr>
        <w:keepNext/>
        <w:keepLines/>
        <w:spacing w:before="0" w:after="0"/>
        <w:rPr>
          <w:rFonts w:ascii="Arial Narrow" w:hAnsi="Arial Narrow"/>
          <w:sz w:val="18"/>
          <w:szCs w:val="18"/>
        </w:rPr>
      </w:pPr>
      <w:r w:rsidRPr="2914E55D">
        <w:rPr>
          <w:rFonts w:ascii="Arial Narrow" w:hAnsi="Arial Narrow"/>
          <w:sz w:val="18"/>
          <w:szCs w:val="18"/>
        </w:rPr>
        <w:t xml:space="preserve">Text in bold indicate HR or OR for which the 95% confidence interval excludes the value of 1. </w:t>
      </w:r>
    </w:p>
    <w:p w14:paraId="39992F57" w14:textId="77777777" w:rsidR="003D3E6A" w:rsidRPr="00353AB8" w:rsidRDefault="003D3E6A" w:rsidP="00757C2D">
      <w:pPr>
        <w:pStyle w:val="Heading4"/>
        <w:keepNext w:val="0"/>
        <w:keepLines w:val="0"/>
        <w:ind w:left="1298" w:hanging="1298"/>
        <w:rPr>
          <w:rFonts w:ascii="Franklin Gothic Book" w:hAnsi="Franklin Gothic Book"/>
          <w:color w:val="auto"/>
        </w:rPr>
      </w:pPr>
      <w:r w:rsidRPr="00353AB8">
        <w:rPr>
          <w:rFonts w:ascii="Franklin Gothic Book" w:hAnsi="Franklin Gothic Book"/>
          <w:color w:val="auto"/>
        </w:rPr>
        <w:t>Change in management in practice</w:t>
      </w:r>
    </w:p>
    <w:p w14:paraId="223CA59B" w14:textId="188C8649" w:rsidR="00734B78" w:rsidRPr="00BB2C98" w:rsidRDefault="0075750F" w:rsidP="00B3556D">
      <w:pPr>
        <w:jc w:val="left"/>
        <w:rPr>
          <w:rFonts w:ascii="Franklin Gothic Book" w:hAnsi="Franklin Gothic Book"/>
          <w:i/>
          <w:iCs/>
          <w:sz w:val="22"/>
        </w:rPr>
      </w:pPr>
      <w:r w:rsidRPr="00BB2C98">
        <w:rPr>
          <w:rFonts w:ascii="Franklin Gothic Book" w:hAnsi="Franklin Gothic Book"/>
          <w:sz w:val="22"/>
        </w:rPr>
        <w:t>The submission did not present any change in management evidence identified during the literature search.</w:t>
      </w:r>
      <w:r w:rsidRPr="00BB2C98">
        <w:rPr>
          <w:rFonts w:ascii="Franklin Gothic Book" w:hAnsi="Franklin Gothic Book"/>
          <w:i/>
          <w:iCs/>
          <w:sz w:val="22"/>
        </w:rPr>
        <w:t xml:space="preserve"> </w:t>
      </w:r>
      <w:r w:rsidR="00734B78" w:rsidRPr="00BB2C98">
        <w:rPr>
          <w:rFonts w:ascii="Franklin Gothic Book" w:hAnsi="Franklin Gothic Book"/>
          <w:sz w:val="22"/>
        </w:rPr>
        <w:t xml:space="preserve">The submission noted that proportion of patients eligible for futibatinib treatment based on the biomarker test result is calculated with the financial estimates of this submission. This </w:t>
      </w:r>
      <w:r w:rsidR="00117457" w:rsidRPr="00BB2C98">
        <w:rPr>
          <w:rFonts w:ascii="Franklin Gothic Book" w:hAnsi="Franklin Gothic Book"/>
          <w:sz w:val="22"/>
        </w:rPr>
        <w:t>wa</w:t>
      </w:r>
      <w:r w:rsidR="00734B78" w:rsidRPr="00BB2C98">
        <w:rPr>
          <w:rFonts w:ascii="Franklin Gothic Book" w:hAnsi="Franklin Gothic Book"/>
          <w:sz w:val="22"/>
        </w:rPr>
        <w:t xml:space="preserve">s largely determined by the proportion of patients eligible for treatment based on the proposed PBS restriction criteria and the assumed uptake rate. </w:t>
      </w:r>
    </w:p>
    <w:p w14:paraId="1B75CBE0" w14:textId="67C58436" w:rsidR="00734B78" w:rsidRPr="002E16CB" w:rsidRDefault="00734B78" w:rsidP="00B3556D">
      <w:pPr>
        <w:pStyle w:val="MSACESParagraph"/>
        <w:rPr>
          <w:rFonts w:asciiTheme="minorHAnsi" w:hAnsiTheme="minorHAnsi"/>
        </w:rPr>
      </w:pPr>
      <w:r w:rsidRPr="00BB2C98">
        <w:rPr>
          <w:rFonts w:ascii="Franklin Gothic Book" w:hAnsi="Franklin Gothic Book"/>
          <w:sz w:val="22"/>
        </w:rPr>
        <w:t xml:space="preserve">The submission did not present the consequences of false positives (resulting in patients without </w:t>
      </w:r>
      <w:r w:rsidRPr="00BB2C98">
        <w:rPr>
          <w:rFonts w:ascii="Franklin Gothic Book" w:hAnsi="Franklin Gothic Book"/>
          <w:i/>
          <w:iCs/>
          <w:sz w:val="22"/>
        </w:rPr>
        <w:t>FGFR2</w:t>
      </w:r>
      <w:r w:rsidRPr="00BB2C98">
        <w:rPr>
          <w:rFonts w:ascii="Franklin Gothic Book" w:hAnsi="Franklin Gothic Book"/>
          <w:sz w:val="22"/>
        </w:rPr>
        <w:t xml:space="preserve"> alterations receiving futibatinib), or false negatives (resulting in patients with </w:t>
      </w:r>
      <w:r w:rsidRPr="00BB2C98">
        <w:rPr>
          <w:rFonts w:ascii="Franklin Gothic Book" w:hAnsi="Franklin Gothic Book"/>
          <w:i/>
          <w:iCs/>
          <w:sz w:val="22"/>
        </w:rPr>
        <w:t>FGFR2</w:t>
      </w:r>
      <w:r w:rsidRPr="00BB2C98">
        <w:rPr>
          <w:rFonts w:ascii="Franklin Gothic Book" w:hAnsi="Franklin Gothic Book"/>
          <w:sz w:val="22"/>
        </w:rPr>
        <w:t xml:space="preserve"> alterations not receiving futibatinib). As discussed in Section 8, it would be expected that false negatives would result in patient management and outcomes consistent with current care, with potentially foregone benefit</w:t>
      </w:r>
      <w:r w:rsidR="00C97C01" w:rsidRPr="00BB2C98">
        <w:rPr>
          <w:rFonts w:ascii="Franklin Gothic Book" w:hAnsi="Franklin Gothic Book"/>
          <w:sz w:val="22"/>
        </w:rPr>
        <w:t>.</w:t>
      </w:r>
      <w:r w:rsidRPr="00BB2C98">
        <w:rPr>
          <w:rFonts w:ascii="Franklin Gothic Book" w:hAnsi="Franklin Gothic Book"/>
          <w:sz w:val="22"/>
        </w:rPr>
        <w:t xml:space="preserve"> </w:t>
      </w:r>
      <w:r w:rsidR="00C97C01" w:rsidRPr="00BB2C98">
        <w:rPr>
          <w:rFonts w:ascii="Franklin Gothic Book" w:hAnsi="Franklin Gothic Book"/>
          <w:sz w:val="22"/>
        </w:rPr>
        <w:t>N</w:t>
      </w:r>
      <w:r w:rsidRPr="00BB2C98">
        <w:rPr>
          <w:rFonts w:ascii="Franklin Gothic Book" w:hAnsi="Franklin Gothic Book"/>
          <w:sz w:val="22"/>
        </w:rPr>
        <w:t xml:space="preserve">o data has been presented to estimate the impact of patients receiving futibatinib in the absence of an </w:t>
      </w:r>
      <w:r w:rsidRPr="00BB2C98">
        <w:rPr>
          <w:rFonts w:ascii="Franklin Gothic Book" w:hAnsi="Franklin Gothic Book"/>
          <w:i/>
          <w:iCs/>
          <w:sz w:val="22"/>
        </w:rPr>
        <w:t>FGFR2</w:t>
      </w:r>
      <w:r w:rsidRPr="00BB2C98">
        <w:rPr>
          <w:rFonts w:ascii="Franklin Gothic Book" w:hAnsi="Franklin Gothic Book"/>
          <w:sz w:val="22"/>
        </w:rPr>
        <w:t xml:space="preserve"> alteration.</w:t>
      </w:r>
      <w:r w:rsidRPr="2914E55D">
        <w:rPr>
          <w:rFonts w:asciiTheme="minorHAnsi" w:hAnsiTheme="minorHAnsi"/>
        </w:rPr>
        <w:t xml:space="preserve">  </w:t>
      </w:r>
    </w:p>
    <w:p w14:paraId="6E81D92A" w14:textId="75BD17FB" w:rsidR="004C000E" w:rsidRPr="00353AB8" w:rsidRDefault="00EE5014" w:rsidP="00353AB8">
      <w:pPr>
        <w:pStyle w:val="Heading4"/>
        <w:keepNext w:val="0"/>
        <w:keepLines w:val="0"/>
        <w:ind w:left="1298" w:hanging="1298"/>
        <w:rPr>
          <w:rFonts w:ascii="Franklin Gothic Book" w:hAnsi="Franklin Gothic Book"/>
          <w:color w:val="auto"/>
        </w:rPr>
      </w:pPr>
      <w:r w:rsidRPr="00353AB8">
        <w:rPr>
          <w:rFonts w:ascii="Franklin Gothic Book" w:hAnsi="Franklin Gothic Book"/>
          <w:color w:val="auto"/>
        </w:rPr>
        <w:t xml:space="preserve">Claim of codependence </w:t>
      </w:r>
    </w:p>
    <w:p w14:paraId="6F5792AA" w14:textId="477D0A02" w:rsidR="0057184C" w:rsidRPr="00353AB8" w:rsidRDefault="00734B78" w:rsidP="00BB2C98">
      <w:pPr>
        <w:pStyle w:val="InstructionalText"/>
        <w:spacing w:before="120"/>
        <w:jc w:val="left"/>
        <w:rPr>
          <w:rFonts w:ascii="Franklin Gothic Book" w:hAnsi="Franklin Gothic Book"/>
          <w:color w:val="auto"/>
          <w:sz w:val="22"/>
        </w:rPr>
      </w:pPr>
      <w:r w:rsidRPr="00353AB8">
        <w:rPr>
          <w:rFonts w:ascii="Franklin Gothic Book" w:hAnsi="Franklin Gothic Book"/>
          <w:color w:val="auto"/>
          <w:sz w:val="22"/>
        </w:rPr>
        <w:t xml:space="preserve">No data was presented to show the efficacy </w:t>
      </w:r>
      <w:r w:rsidR="009264A8" w:rsidRPr="00353AB8">
        <w:rPr>
          <w:rFonts w:ascii="Franklin Gothic Book" w:hAnsi="Franklin Gothic Book"/>
          <w:color w:val="auto"/>
          <w:sz w:val="22"/>
        </w:rPr>
        <w:t xml:space="preserve">(or lack thereof) </w:t>
      </w:r>
      <w:r w:rsidRPr="00353AB8">
        <w:rPr>
          <w:rFonts w:ascii="Franklin Gothic Book" w:hAnsi="Franklin Gothic Book"/>
          <w:color w:val="auto"/>
          <w:sz w:val="22"/>
        </w:rPr>
        <w:t xml:space="preserve">of futibatinib in patients with Wild Type </w:t>
      </w:r>
      <w:r w:rsidRPr="00353AB8">
        <w:rPr>
          <w:rFonts w:ascii="Franklin Gothic Book" w:hAnsi="Franklin Gothic Book"/>
          <w:i/>
          <w:iCs/>
          <w:color w:val="auto"/>
          <w:sz w:val="22"/>
        </w:rPr>
        <w:t>FGFR2</w:t>
      </w:r>
      <w:r w:rsidR="003E51B5" w:rsidRPr="00353AB8">
        <w:rPr>
          <w:rFonts w:ascii="Franklin Gothic Book" w:hAnsi="Franklin Gothic Book"/>
          <w:color w:val="auto"/>
          <w:sz w:val="22"/>
        </w:rPr>
        <w:t xml:space="preserve"> as the FOENIX-CCA2 study enrolled only </w:t>
      </w:r>
      <w:r w:rsidR="003E51B5" w:rsidRPr="00353AB8">
        <w:rPr>
          <w:rFonts w:ascii="Franklin Gothic Book" w:hAnsi="Franklin Gothic Book"/>
          <w:i/>
          <w:iCs/>
          <w:color w:val="auto"/>
          <w:sz w:val="22"/>
        </w:rPr>
        <w:t>FGFR2</w:t>
      </w:r>
      <w:r w:rsidR="003E51B5" w:rsidRPr="00353AB8">
        <w:rPr>
          <w:rFonts w:ascii="Franklin Gothic Book" w:hAnsi="Franklin Gothic Book"/>
          <w:color w:val="auto"/>
          <w:sz w:val="22"/>
        </w:rPr>
        <w:t xml:space="preserve"> positive patients</w:t>
      </w:r>
      <w:r w:rsidRPr="00353AB8">
        <w:rPr>
          <w:rFonts w:ascii="Franklin Gothic Book" w:hAnsi="Franklin Gothic Book"/>
          <w:color w:val="auto"/>
          <w:sz w:val="22"/>
        </w:rPr>
        <w:t xml:space="preserve">, limiting the empirical evidence around the biomarker and presenting an impediment to establishing codependence. </w:t>
      </w:r>
      <w:r w:rsidR="0057184C" w:rsidRPr="00353AB8">
        <w:rPr>
          <w:rFonts w:ascii="Franklin Gothic Book" w:hAnsi="Franklin Gothic Book"/>
          <w:color w:val="auto"/>
          <w:sz w:val="22"/>
        </w:rPr>
        <w:t xml:space="preserve">There is some evidence that activation of FGFR2 signalling can be observed in patients with Wild Type </w:t>
      </w:r>
      <w:r w:rsidR="0057184C" w:rsidRPr="00353AB8">
        <w:rPr>
          <w:rFonts w:ascii="Franklin Gothic Book" w:hAnsi="Franklin Gothic Book"/>
          <w:i/>
          <w:iCs/>
          <w:color w:val="auto"/>
          <w:sz w:val="22"/>
        </w:rPr>
        <w:t>FGFR2</w:t>
      </w:r>
      <w:r w:rsidR="0057184C" w:rsidRPr="00353AB8">
        <w:rPr>
          <w:rFonts w:ascii="Franklin Gothic Book" w:hAnsi="Franklin Gothic Book"/>
          <w:color w:val="auto"/>
          <w:sz w:val="22"/>
        </w:rPr>
        <w:t xml:space="preserve">, and FGFR mRNA expression in CCA also occurs frequently in the absence of genetic alterations in </w:t>
      </w:r>
      <w:r w:rsidR="0057184C" w:rsidRPr="00353AB8">
        <w:rPr>
          <w:rFonts w:ascii="Franklin Gothic Book" w:hAnsi="Franklin Gothic Book"/>
          <w:i/>
          <w:iCs/>
          <w:color w:val="auto"/>
          <w:sz w:val="22"/>
        </w:rPr>
        <w:t>FGFR</w:t>
      </w:r>
      <w:r w:rsidR="0057184C" w:rsidRPr="00353AB8">
        <w:rPr>
          <w:rFonts w:ascii="Franklin Gothic Book" w:hAnsi="Franklin Gothic Book"/>
          <w:color w:val="auto"/>
          <w:sz w:val="22"/>
        </w:rPr>
        <w:t>.</w:t>
      </w:r>
    </w:p>
    <w:p w14:paraId="3947AEE8" w14:textId="1D0BA712" w:rsidR="00ED2100" w:rsidRDefault="002E16CB" w:rsidP="00BB2C98">
      <w:pPr>
        <w:pStyle w:val="InstructionalText"/>
        <w:jc w:val="left"/>
        <w:rPr>
          <w:rFonts w:ascii="Franklin Gothic Book" w:hAnsi="Franklin Gothic Book"/>
          <w:color w:val="auto"/>
          <w:sz w:val="22"/>
        </w:rPr>
      </w:pPr>
      <w:r w:rsidRPr="00353AB8">
        <w:rPr>
          <w:rFonts w:ascii="Franklin Gothic Book" w:hAnsi="Franklin Gothic Book"/>
          <w:color w:val="auto"/>
          <w:sz w:val="22"/>
        </w:rPr>
        <w:t xml:space="preserve">The </w:t>
      </w:r>
      <w:r w:rsidR="00634C1B" w:rsidRPr="00353AB8">
        <w:rPr>
          <w:rFonts w:ascii="Franklin Gothic Book" w:hAnsi="Franklin Gothic Book"/>
          <w:color w:val="auto"/>
          <w:sz w:val="22"/>
        </w:rPr>
        <w:t>commentary</w:t>
      </w:r>
      <w:r w:rsidRPr="00353AB8">
        <w:rPr>
          <w:rFonts w:ascii="Franklin Gothic Book" w:hAnsi="Franklin Gothic Book"/>
          <w:color w:val="auto"/>
          <w:sz w:val="22"/>
        </w:rPr>
        <w:t xml:space="preserve"> considered that o</w:t>
      </w:r>
      <w:r w:rsidR="00ED2100" w:rsidRPr="00353AB8">
        <w:rPr>
          <w:rFonts w:ascii="Franklin Gothic Book" w:hAnsi="Franklin Gothic Book"/>
          <w:color w:val="auto"/>
          <w:sz w:val="22"/>
        </w:rPr>
        <w:t>verall, while a claim of codependence may be plausible, codependence could not be unequivocally established based on available evidence</w:t>
      </w:r>
      <w:r w:rsidR="004E1BAF" w:rsidRPr="00353AB8">
        <w:rPr>
          <w:rFonts w:ascii="Franklin Gothic Book" w:hAnsi="Franklin Gothic Book"/>
          <w:color w:val="auto"/>
          <w:sz w:val="22"/>
        </w:rPr>
        <w:t>.</w:t>
      </w:r>
    </w:p>
    <w:p w14:paraId="5B8D02DC" w14:textId="77777777" w:rsidR="001E0924" w:rsidRPr="00353AB8" w:rsidRDefault="001E0924" w:rsidP="001E0924">
      <w:pPr>
        <w:pStyle w:val="InstructionBulletpoint"/>
        <w:spacing w:before="240"/>
        <w:ind w:left="0" w:firstLine="0"/>
        <w:rPr>
          <w:rFonts w:ascii="Franklin Gothic Book" w:hAnsi="Franklin Gothic Book"/>
          <w:i/>
          <w:iCs/>
          <w:color w:val="auto"/>
          <w:sz w:val="22"/>
        </w:rPr>
      </w:pPr>
      <w:r w:rsidRPr="00353AB8">
        <w:rPr>
          <w:rFonts w:ascii="Franklin Gothic Book" w:hAnsi="Franklin Gothic Book"/>
          <w:i/>
          <w:iCs/>
          <w:color w:val="auto"/>
          <w:sz w:val="22"/>
        </w:rPr>
        <w:lastRenderedPageBreak/>
        <w:t xml:space="preserve">The ESCs agreed with the commentary that the available evidence suggests that the presence of </w:t>
      </w:r>
      <w:r w:rsidRPr="00353AB8">
        <w:rPr>
          <w:rFonts w:ascii="Franklin Gothic Book" w:hAnsi="Franklin Gothic Book"/>
          <w:color w:val="auto"/>
          <w:sz w:val="22"/>
        </w:rPr>
        <w:t>FGFR2</w:t>
      </w:r>
      <w:r w:rsidRPr="00353AB8">
        <w:rPr>
          <w:rFonts w:ascii="Franklin Gothic Book" w:hAnsi="Franklin Gothic Book"/>
          <w:i/>
          <w:iCs/>
          <w:color w:val="auto"/>
          <w:sz w:val="22"/>
        </w:rPr>
        <w:t xml:space="preserve"> alterations improve prognosis, regardless of treatment.</w:t>
      </w:r>
    </w:p>
    <w:p w14:paraId="72775AC3" w14:textId="4BB3962D" w:rsidR="001E0924" w:rsidRPr="00E06D23" w:rsidRDefault="001E0924" w:rsidP="001E0924">
      <w:pPr>
        <w:pStyle w:val="InstructionalText"/>
        <w:jc w:val="left"/>
        <w:rPr>
          <w:rFonts w:ascii="Franklin Gothic Book" w:hAnsi="Franklin Gothic Book"/>
          <w:color w:val="auto"/>
          <w:sz w:val="22"/>
        </w:rPr>
      </w:pPr>
      <w:r w:rsidRPr="00E06D23">
        <w:rPr>
          <w:rFonts w:ascii="Franklin Gothic Book" w:hAnsi="Franklin Gothic Book"/>
          <w:i/>
          <w:iCs/>
          <w:color w:val="auto"/>
          <w:sz w:val="22"/>
        </w:rPr>
        <w:t xml:space="preserve">The ESCs noted that the key trial (FOENIX-CCA2) was restricted to iCCA patients with </w:t>
      </w:r>
      <w:r w:rsidRPr="00E06D23">
        <w:rPr>
          <w:rFonts w:ascii="Franklin Gothic Book" w:hAnsi="Franklin Gothic Book"/>
          <w:color w:val="auto"/>
          <w:sz w:val="22"/>
        </w:rPr>
        <w:t>FGFR2</w:t>
      </w:r>
      <w:r w:rsidRPr="00E06D23">
        <w:rPr>
          <w:rFonts w:ascii="Franklin Gothic Book" w:hAnsi="Franklin Gothic Book"/>
          <w:i/>
          <w:iCs/>
          <w:color w:val="auto"/>
          <w:sz w:val="22"/>
        </w:rPr>
        <w:t xml:space="preserve"> fusions or rearrangements (i.e. the trial did not include any patients with wild-type </w:t>
      </w:r>
      <w:r w:rsidRPr="00E06D23">
        <w:rPr>
          <w:rFonts w:ascii="Franklin Gothic Book" w:hAnsi="Franklin Gothic Book"/>
          <w:color w:val="auto"/>
          <w:sz w:val="22"/>
        </w:rPr>
        <w:t>FGFR2</w:t>
      </w:r>
      <w:r w:rsidRPr="00E06D23">
        <w:rPr>
          <w:rFonts w:ascii="Franklin Gothic Book" w:hAnsi="Franklin Gothic Book"/>
          <w:i/>
          <w:iCs/>
          <w:color w:val="auto"/>
          <w:sz w:val="22"/>
        </w:rPr>
        <w:t xml:space="preserve">). As such, the ESCs agreed with PASC advice that the claim of codependency between </w:t>
      </w:r>
      <w:r w:rsidRPr="00E06D23">
        <w:rPr>
          <w:rFonts w:ascii="Franklin Gothic Book" w:hAnsi="Franklin Gothic Book"/>
          <w:color w:val="auto"/>
          <w:sz w:val="22"/>
        </w:rPr>
        <w:t>FGFR2</w:t>
      </w:r>
      <w:r w:rsidRPr="00E06D23">
        <w:rPr>
          <w:rFonts w:ascii="Franklin Gothic Book" w:hAnsi="Franklin Gothic Book"/>
          <w:i/>
          <w:iCs/>
          <w:color w:val="auto"/>
          <w:sz w:val="22"/>
        </w:rPr>
        <w:t xml:space="preserve"> status and futibatinib was not able to be established based on this key trial. However, the ESCs noted from the applicant’s pre-ESC response that an earlier Phase 1 expansion study for futibatinib had included a patient population with </w:t>
      </w:r>
      <w:r w:rsidRPr="00E06D23">
        <w:rPr>
          <w:rFonts w:ascii="Franklin Gothic Book" w:hAnsi="Franklin Gothic Book"/>
          <w:color w:val="auto"/>
          <w:sz w:val="22"/>
        </w:rPr>
        <w:t>FGFR</w:t>
      </w:r>
      <w:r w:rsidRPr="00E06D23">
        <w:rPr>
          <w:rFonts w:ascii="Franklin Gothic Book" w:hAnsi="Franklin Gothic Book"/>
          <w:i/>
          <w:iCs/>
          <w:color w:val="auto"/>
          <w:sz w:val="22"/>
        </w:rPr>
        <w:t xml:space="preserve"> wild-type (these patients had some FGF alteration) showed no anti-tumour activity. The ESCs agreed with the applicant that with this available evidence, it is challenging and unethical to trial FGFR inhibitors on a patient population without FGFR2 fusions and rearrangements, for whom treatment is unlikely to be effective. The ESCs considered the claim of codependency reasonable based on the available (albeit limited) information.</w:t>
      </w:r>
    </w:p>
    <w:p w14:paraId="1D3AB050" w14:textId="602D61FD" w:rsidR="00BA15E1" w:rsidRPr="00353AB8" w:rsidRDefault="00EE5014" w:rsidP="00353AB8">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57" w:name="_Toc187865649"/>
      <w:r w:rsidRPr="00353AB8">
        <w:rPr>
          <w:rFonts w:ascii="Franklin Gothic Medium" w:hAnsi="Franklin Gothic Medium"/>
          <w:b w:val="0"/>
          <w:i w:val="0"/>
          <w:snapToGrid/>
          <w:color w:val="000000" w:themeColor="text1"/>
          <w:sz w:val="32"/>
          <w:szCs w:val="26"/>
        </w:rPr>
        <w:t xml:space="preserve">Economic </w:t>
      </w:r>
      <w:r w:rsidR="00331A16" w:rsidRPr="00353AB8">
        <w:rPr>
          <w:rFonts w:ascii="Franklin Gothic Medium" w:hAnsi="Franklin Gothic Medium"/>
          <w:b w:val="0"/>
          <w:i w:val="0"/>
          <w:snapToGrid/>
          <w:color w:val="000000" w:themeColor="text1"/>
          <w:sz w:val="32"/>
          <w:szCs w:val="26"/>
        </w:rPr>
        <w:t>e</w:t>
      </w:r>
      <w:r w:rsidRPr="00353AB8">
        <w:rPr>
          <w:rFonts w:ascii="Franklin Gothic Medium" w:hAnsi="Franklin Gothic Medium"/>
          <w:b w:val="0"/>
          <w:i w:val="0"/>
          <w:snapToGrid/>
          <w:color w:val="000000" w:themeColor="text1"/>
          <w:sz w:val="32"/>
          <w:szCs w:val="26"/>
        </w:rPr>
        <w:t>valuation</w:t>
      </w:r>
      <w:bookmarkEnd w:id="57"/>
    </w:p>
    <w:p w14:paraId="131F89FD" w14:textId="0B94A3C0" w:rsidR="00BA15E1" w:rsidRPr="00353AB8" w:rsidRDefault="00BA15E1" w:rsidP="00353AB8">
      <w:pPr>
        <w:jc w:val="left"/>
        <w:rPr>
          <w:rFonts w:ascii="Franklin Gothic Book" w:hAnsi="Franklin Gothic Book"/>
          <w:i/>
          <w:iCs/>
          <w:sz w:val="22"/>
        </w:rPr>
      </w:pPr>
      <w:r w:rsidRPr="00353AB8">
        <w:rPr>
          <w:rFonts w:ascii="Franklin Gothic Book" w:hAnsi="Franklin Gothic Book"/>
          <w:sz w:val="22"/>
        </w:rPr>
        <w:t xml:space="preserve">The submission presented an economic evaluation, based </w:t>
      </w:r>
      <w:r w:rsidR="00020885" w:rsidRPr="00353AB8">
        <w:rPr>
          <w:rFonts w:ascii="Franklin Gothic Book" w:hAnsi="Franklin Gothic Book"/>
          <w:sz w:val="22"/>
        </w:rPr>
        <w:t xml:space="preserve">on </w:t>
      </w:r>
      <w:r w:rsidRPr="00353AB8">
        <w:rPr>
          <w:rFonts w:ascii="Franklin Gothic Book" w:hAnsi="Franklin Gothic Book"/>
          <w:sz w:val="22"/>
        </w:rPr>
        <w:t xml:space="preserve">the results of the MAIC comparing futibatinib and FOLFOX. </w:t>
      </w:r>
      <w:r w:rsidR="00517207" w:rsidRPr="00353AB8">
        <w:rPr>
          <w:rFonts w:ascii="Franklin Gothic Book" w:hAnsi="Franklin Gothic Book"/>
          <w:sz w:val="22"/>
        </w:rPr>
        <w:t xml:space="preserve">The </w:t>
      </w:r>
      <w:r w:rsidR="00522BF3" w:rsidRPr="00353AB8">
        <w:rPr>
          <w:rFonts w:ascii="Franklin Gothic Book" w:hAnsi="Franklin Gothic Book"/>
          <w:sz w:val="22"/>
        </w:rPr>
        <w:t>commentary</w:t>
      </w:r>
      <w:r w:rsidR="00517207" w:rsidRPr="00353AB8">
        <w:rPr>
          <w:rFonts w:ascii="Franklin Gothic Book" w:hAnsi="Franklin Gothic Book"/>
          <w:sz w:val="22"/>
        </w:rPr>
        <w:t xml:space="preserve"> considered that g</w:t>
      </w:r>
      <w:r w:rsidRPr="00353AB8">
        <w:rPr>
          <w:rFonts w:ascii="Franklin Gothic Book" w:hAnsi="Franklin Gothic Book"/>
          <w:sz w:val="22"/>
        </w:rPr>
        <w:t>iven concerns regarding the results of the MAIC</w:t>
      </w:r>
      <w:r w:rsidR="008721BD" w:rsidRPr="00353AB8">
        <w:rPr>
          <w:rFonts w:ascii="Franklin Gothic Book" w:hAnsi="Franklin Gothic Book"/>
          <w:sz w:val="22"/>
        </w:rPr>
        <w:t xml:space="preserve"> which did not adjust for </w:t>
      </w:r>
      <w:r w:rsidR="00616AB0" w:rsidRPr="00353AB8">
        <w:rPr>
          <w:rFonts w:ascii="Franklin Gothic Book" w:hAnsi="Franklin Gothic Book"/>
          <w:sz w:val="22"/>
        </w:rPr>
        <w:t xml:space="preserve">tumour site or </w:t>
      </w:r>
      <w:r w:rsidR="00616AB0" w:rsidRPr="00353AB8">
        <w:rPr>
          <w:rFonts w:ascii="Franklin Gothic Book" w:hAnsi="Franklin Gothic Book"/>
          <w:i/>
          <w:iCs/>
          <w:sz w:val="22"/>
        </w:rPr>
        <w:t>FGFR2</w:t>
      </w:r>
      <w:r w:rsidR="00616AB0" w:rsidRPr="00353AB8">
        <w:rPr>
          <w:rFonts w:ascii="Franklin Gothic Book" w:hAnsi="Franklin Gothic Book"/>
          <w:sz w:val="22"/>
        </w:rPr>
        <w:t xml:space="preserve"> status in the FOLFOX arm</w:t>
      </w:r>
      <w:r w:rsidR="008418D5" w:rsidRPr="00353AB8">
        <w:rPr>
          <w:rFonts w:ascii="Franklin Gothic Book" w:hAnsi="Franklin Gothic Book"/>
          <w:sz w:val="22"/>
        </w:rPr>
        <w:t>, resulting in clinical benefits which</w:t>
      </w:r>
      <w:r w:rsidR="00432E75" w:rsidRPr="00353AB8">
        <w:rPr>
          <w:rFonts w:ascii="Franklin Gothic Book" w:hAnsi="Franklin Gothic Book"/>
          <w:sz w:val="22"/>
        </w:rPr>
        <w:t xml:space="preserve"> may be overestimated</w:t>
      </w:r>
      <w:r w:rsidRPr="00353AB8">
        <w:rPr>
          <w:rFonts w:ascii="Franklin Gothic Book" w:hAnsi="Franklin Gothic Book"/>
          <w:sz w:val="22"/>
        </w:rPr>
        <w:t xml:space="preserve">, the underlying clinical benefit used to inform the economic evaluation was uncertain. The ability to simply run sensitivity analyses using alternative MAIC results from Paine 2022 or Borad 2022 was not included in the model operability. </w:t>
      </w:r>
    </w:p>
    <w:p w14:paraId="3BFD7378" w14:textId="189F65A6" w:rsidR="00BA15E1" w:rsidRPr="00353AB8" w:rsidRDefault="00BA15E1" w:rsidP="00353AB8">
      <w:pPr>
        <w:jc w:val="left"/>
        <w:rPr>
          <w:rFonts w:ascii="Franklin Gothic Book" w:hAnsi="Franklin Gothic Book"/>
          <w:sz w:val="22"/>
        </w:rPr>
      </w:pPr>
      <w:r w:rsidRPr="00353AB8">
        <w:rPr>
          <w:rFonts w:ascii="Franklin Gothic Book" w:hAnsi="Franklin Gothic Book"/>
          <w:sz w:val="22"/>
        </w:rPr>
        <w:t>The type of economic evaluation presented was a cost utility analysis.</w:t>
      </w:r>
      <w:r w:rsidR="00970A7B" w:rsidRPr="00353AB8">
        <w:rPr>
          <w:rFonts w:ascii="Franklin Gothic Book" w:hAnsi="Franklin Gothic Book"/>
          <w:sz w:val="22"/>
        </w:rPr>
        <w:t xml:space="preserve"> The key components of the economic evaluation is presented in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_Ref198447539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15</w:t>
      </w:r>
      <w:r w:rsidR="001F5863" w:rsidRPr="001F5863">
        <w:rPr>
          <w:rFonts w:ascii="Franklin Gothic Book" w:hAnsi="Franklin Gothic Book"/>
          <w:sz w:val="22"/>
        </w:rPr>
        <w:fldChar w:fldCharType="end"/>
      </w:r>
      <w:r w:rsidR="00970A7B" w:rsidRPr="00353AB8">
        <w:rPr>
          <w:rFonts w:ascii="Franklin Gothic Book" w:hAnsi="Franklin Gothic Book"/>
          <w:sz w:val="22"/>
        </w:rPr>
        <w:t xml:space="preserve">. </w:t>
      </w:r>
    </w:p>
    <w:p w14:paraId="2069E3E5" w14:textId="21AE87C9" w:rsidR="00970A7B" w:rsidRDefault="009D316D" w:rsidP="009D316D">
      <w:pPr>
        <w:pStyle w:val="Caption"/>
      </w:pPr>
      <w:bookmarkStart w:id="58" w:name="_Ref198447539"/>
      <w:bookmarkStart w:id="59" w:name="_Ref187695472"/>
      <w:r>
        <w:lastRenderedPageBreak/>
        <w:t xml:space="preserve">Table </w:t>
      </w:r>
      <w:r>
        <w:fldChar w:fldCharType="begin"/>
      </w:r>
      <w:r>
        <w:instrText>SEQ Table \* ARABIC</w:instrText>
      </w:r>
      <w:r>
        <w:fldChar w:fldCharType="separate"/>
      </w:r>
      <w:r w:rsidR="005B1C7E">
        <w:rPr>
          <w:noProof/>
        </w:rPr>
        <w:t>15</w:t>
      </w:r>
      <w:r>
        <w:fldChar w:fldCharType="end"/>
      </w:r>
      <w:bookmarkEnd w:id="58"/>
      <w:r>
        <w:tab/>
      </w:r>
      <w:bookmarkEnd w:id="59"/>
      <w:r w:rsidR="00970A7B" w:rsidRPr="00B27879">
        <w:t>Key components of the economic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827"/>
        <w:gridCol w:w="3685"/>
      </w:tblGrid>
      <w:tr w:rsidR="002D6CDF" w:rsidRPr="00B27879" w14:paraId="17BE0A4F" w14:textId="77777777" w:rsidTr="2914E55D">
        <w:trPr>
          <w:cantSplit/>
          <w:tblHeader/>
        </w:trPr>
        <w:tc>
          <w:tcPr>
            <w:tcW w:w="1555" w:type="dxa"/>
            <w:vAlign w:val="center"/>
          </w:tcPr>
          <w:p w14:paraId="49712CE1" w14:textId="5519FE4F" w:rsidR="002D6CDF" w:rsidRPr="00B27879" w:rsidRDefault="002D6CDF" w:rsidP="2914E55D">
            <w:pPr>
              <w:pStyle w:val="TableText"/>
              <w:keepNext/>
              <w:keepLines/>
              <w:rPr>
                <w:b/>
                <w:bCs/>
              </w:rPr>
            </w:pPr>
            <w:r w:rsidRPr="2914E55D">
              <w:rPr>
                <w:b/>
                <w:bCs/>
              </w:rPr>
              <w:t xml:space="preserve">Component </w:t>
            </w:r>
          </w:p>
        </w:tc>
        <w:tc>
          <w:tcPr>
            <w:tcW w:w="3827" w:type="dxa"/>
            <w:vAlign w:val="center"/>
          </w:tcPr>
          <w:p w14:paraId="15D3A09D" w14:textId="77777777" w:rsidR="002D6CDF" w:rsidRPr="00B27879" w:rsidRDefault="002D6CDF" w:rsidP="002D6CDF">
            <w:pPr>
              <w:pStyle w:val="TableText"/>
              <w:keepNext/>
              <w:keepLines/>
              <w:jc w:val="center"/>
              <w:rPr>
                <w:b/>
              </w:rPr>
            </w:pPr>
            <w:r w:rsidRPr="00B27879">
              <w:rPr>
                <w:b/>
              </w:rPr>
              <w:t>Description</w:t>
            </w:r>
          </w:p>
        </w:tc>
        <w:tc>
          <w:tcPr>
            <w:tcW w:w="3685" w:type="dxa"/>
            <w:vAlign w:val="center"/>
          </w:tcPr>
          <w:p w14:paraId="72C55796" w14:textId="77777777" w:rsidR="002D6CDF" w:rsidRPr="00B27879" w:rsidRDefault="002D6CDF" w:rsidP="002D6CDF">
            <w:pPr>
              <w:pStyle w:val="TableText"/>
              <w:keepNext/>
              <w:keepLines/>
              <w:jc w:val="center"/>
              <w:rPr>
                <w:b/>
              </w:rPr>
            </w:pPr>
            <w:r w:rsidRPr="00B27879">
              <w:rPr>
                <w:b/>
              </w:rPr>
              <w:t>Justification/comments</w:t>
            </w:r>
          </w:p>
        </w:tc>
      </w:tr>
      <w:tr w:rsidR="002D6CDF" w:rsidRPr="00B27879" w14:paraId="5050D2E0" w14:textId="77777777" w:rsidTr="2914E55D">
        <w:trPr>
          <w:cantSplit/>
        </w:trPr>
        <w:tc>
          <w:tcPr>
            <w:tcW w:w="1555" w:type="dxa"/>
            <w:vAlign w:val="center"/>
          </w:tcPr>
          <w:p w14:paraId="709E3311" w14:textId="77777777" w:rsidR="002D6CDF" w:rsidRPr="00B27879" w:rsidRDefault="002D6CDF" w:rsidP="002D6CDF">
            <w:pPr>
              <w:pStyle w:val="TableText"/>
              <w:keepNext/>
              <w:keepLines/>
            </w:pPr>
            <w:r w:rsidRPr="00B27879">
              <w:t>Comparison modelled</w:t>
            </w:r>
          </w:p>
        </w:tc>
        <w:tc>
          <w:tcPr>
            <w:tcW w:w="3827" w:type="dxa"/>
            <w:vAlign w:val="center"/>
          </w:tcPr>
          <w:p w14:paraId="001A0020" w14:textId="37098D1B" w:rsidR="002D6CDF" w:rsidRPr="00B27879" w:rsidRDefault="002D6CDF" w:rsidP="2914E55D">
            <w:pPr>
              <w:pStyle w:val="TableText"/>
              <w:keepNext/>
              <w:keepLines/>
              <w:rPr>
                <w:rFonts w:cs="Courier New"/>
              </w:rPr>
            </w:pPr>
            <w:r w:rsidRPr="2914E55D">
              <w:t>Futibatinib 20mg versus FOLFOX chemotherapy every 14 days for up to 12 cycles)</w:t>
            </w:r>
          </w:p>
        </w:tc>
        <w:tc>
          <w:tcPr>
            <w:tcW w:w="3685" w:type="dxa"/>
            <w:vAlign w:val="center"/>
          </w:tcPr>
          <w:p w14:paraId="0083834D" w14:textId="1050A3B5" w:rsidR="002D6CDF" w:rsidRPr="00B27879" w:rsidRDefault="002D6CDF" w:rsidP="2914E55D">
            <w:pPr>
              <w:pStyle w:val="TableText"/>
              <w:keepNext/>
              <w:keepLines/>
              <w:rPr>
                <w:i/>
                <w:iCs/>
              </w:rPr>
            </w:pPr>
            <w:r w:rsidRPr="2914E55D">
              <w:rPr>
                <w:i/>
                <w:iCs/>
              </w:rPr>
              <w:t xml:space="preserve">Considering that ASC was also an appropriate comparator in the ivosidenib submission for CCA, it was unclear if assuming 100% FOLFOX comparator was reasonable. </w:t>
            </w:r>
          </w:p>
        </w:tc>
      </w:tr>
      <w:tr w:rsidR="002D6CDF" w:rsidRPr="00B27879" w14:paraId="156C4A55" w14:textId="77777777" w:rsidTr="2914E55D">
        <w:trPr>
          <w:cantSplit/>
        </w:trPr>
        <w:tc>
          <w:tcPr>
            <w:tcW w:w="1555" w:type="dxa"/>
            <w:vAlign w:val="center"/>
          </w:tcPr>
          <w:p w14:paraId="47B6C28A" w14:textId="77777777" w:rsidR="002D6CDF" w:rsidRPr="00B27879" w:rsidRDefault="002D6CDF" w:rsidP="002D6CDF">
            <w:pPr>
              <w:pStyle w:val="TableText"/>
              <w:keepNext/>
              <w:keepLines/>
              <w:rPr>
                <w:rFonts w:ascii="Times" w:eastAsia="Times New Roman" w:hAnsi="Times" w:cs="Times New Roman"/>
                <w:szCs w:val="20"/>
              </w:rPr>
            </w:pPr>
            <w:r w:rsidRPr="00B27879">
              <w:t>Outcomes</w:t>
            </w:r>
          </w:p>
        </w:tc>
        <w:tc>
          <w:tcPr>
            <w:tcW w:w="3827" w:type="dxa"/>
            <w:vAlign w:val="center"/>
          </w:tcPr>
          <w:p w14:paraId="4951FB27" w14:textId="77777777" w:rsidR="002D6CDF" w:rsidRPr="00B27879" w:rsidRDefault="002D6CDF" w:rsidP="002D6CDF">
            <w:pPr>
              <w:pStyle w:val="TableText"/>
              <w:keepNext/>
              <w:keepLines/>
              <w:rPr>
                <w:rFonts w:ascii="Times" w:eastAsia="Times New Roman" w:hAnsi="Times" w:cs="Times New Roman"/>
                <w:szCs w:val="20"/>
              </w:rPr>
            </w:pPr>
            <w:r w:rsidRPr="00B27879">
              <w:t>LYG, QALY</w:t>
            </w:r>
          </w:p>
        </w:tc>
        <w:tc>
          <w:tcPr>
            <w:tcW w:w="3685" w:type="dxa"/>
            <w:vAlign w:val="center"/>
          </w:tcPr>
          <w:p w14:paraId="691CEAE5" w14:textId="77777777" w:rsidR="002D6CDF" w:rsidRPr="00B27879" w:rsidRDefault="002D6CDF" w:rsidP="002D6CDF">
            <w:pPr>
              <w:pStyle w:val="TableText"/>
              <w:keepNext/>
              <w:keepLines/>
              <w:rPr>
                <w:i/>
                <w:iCs/>
              </w:rPr>
            </w:pPr>
            <w:r w:rsidRPr="00B27879">
              <w:rPr>
                <w:i/>
                <w:iCs/>
              </w:rPr>
              <w:t xml:space="preserve">Reasonable. </w:t>
            </w:r>
          </w:p>
        </w:tc>
      </w:tr>
      <w:tr w:rsidR="002D6CDF" w:rsidRPr="00B27879" w14:paraId="286C3B82" w14:textId="77777777" w:rsidTr="2914E55D">
        <w:trPr>
          <w:cantSplit/>
        </w:trPr>
        <w:tc>
          <w:tcPr>
            <w:tcW w:w="1555" w:type="dxa"/>
            <w:vAlign w:val="center"/>
          </w:tcPr>
          <w:p w14:paraId="766C4B02" w14:textId="77777777" w:rsidR="002D6CDF" w:rsidRPr="00B27879" w:rsidRDefault="002D6CDF" w:rsidP="002D6CDF">
            <w:pPr>
              <w:pStyle w:val="TableText"/>
              <w:keepNext/>
              <w:keepLines/>
              <w:rPr>
                <w:rFonts w:ascii="Times" w:eastAsia="Times New Roman" w:hAnsi="Times" w:cs="Times New Roman"/>
                <w:szCs w:val="20"/>
              </w:rPr>
            </w:pPr>
            <w:r w:rsidRPr="00B27879">
              <w:t>Time horizon</w:t>
            </w:r>
          </w:p>
        </w:tc>
        <w:tc>
          <w:tcPr>
            <w:tcW w:w="3827" w:type="dxa"/>
            <w:vAlign w:val="center"/>
          </w:tcPr>
          <w:p w14:paraId="33868B68" w14:textId="77777777" w:rsidR="002D6CDF" w:rsidRPr="00B27879" w:rsidRDefault="002D6CDF" w:rsidP="002D6CDF">
            <w:pPr>
              <w:pStyle w:val="TableText"/>
              <w:keepNext/>
              <w:keepLines/>
              <w:rPr>
                <w:rFonts w:ascii="Times" w:eastAsia="Times New Roman" w:hAnsi="Times" w:cs="Times New Roman"/>
                <w:szCs w:val="20"/>
              </w:rPr>
            </w:pPr>
            <w:r w:rsidRPr="00B27879">
              <w:t xml:space="preserve">10 years versus </w:t>
            </w:r>
            <w:r>
              <w:t>median follow-up of 25.0 months at final data cut off</w:t>
            </w:r>
            <w:r w:rsidRPr="00B27879">
              <w:t xml:space="preserve"> in FOENIX-CCA2</w:t>
            </w:r>
          </w:p>
        </w:tc>
        <w:tc>
          <w:tcPr>
            <w:tcW w:w="3685" w:type="dxa"/>
            <w:vAlign w:val="center"/>
          </w:tcPr>
          <w:p w14:paraId="4B9EDC0A" w14:textId="3C850F15" w:rsidR="002D6CDF" w:rsidRPr="00B27879" w:rsidRDefault="002D6CDF" w:rsidP="2914E55D">
            <w:pPr>
              <w:pStyle w:val="TableText"/>
              <w:keepNext/>
              <w:keepLines/>
              <w:rPr>
                <w:i/>
                <w:iCs/>
              </w:rPr>
            </w:pPr>
            <w:r w:rsidRPr="2914E55D">
              <w:rPr>
                <w:i/>
                <w:iCs/>
              </w:rPr>
              <w:t>May be too optimistic, in its consideration of ivosidenib for CCA, the PBAC had requested a re-specification to a 5-year time horizon.</w:t>
            </w:r>
          </w:p>
        </w:tc>
      </w:tr>
      <w:tr w:rsidR="002D6CDF" w:rsidRPr="00B27879" w14:paraId="02BCD169" w14:textId="77777777" w:rsidTr="2914E55D">
        <w:trPr>
          <w:cantSplit/>
        </w:trPr>
        <w:tc>
          <w:tcPr>
            <w:tcW w:w="1555" w:type="dxa"/>
            <w:vAlign w:val="center"/>
          </w:tcPr>
          <w:p w14:paraId="5B33B5D4" w14:textId="77777777" w:rsidR="002D6CDF" w:rsidRPr="00B27879" w:rsidRDefault="002D6CDF" w:rsidP="002D6CDF">
            <w:pPr>
              <w:pStyle w:val="TableText"/>
              <w:keepNext/>
              <w:keepLines/>
              <w:rPr>
                <w:rFonts w:ascii="Times" w:eastAsia="Times New Roman" w:hAnsi="Times" w:cs="Times New Roman"/>
                <w:szCs w:val="20"/>
              </w:rPr>
            </w:pPr>
            <w:r w:rsidRPr="00B27879">
              <w:t>Methods used to generate results</w:t>
            </w:r>
          </w:p>
        </w:tc>
        <w:tc>
          <w:tcPr>
            <w:tcW w:w="3827" w:type="dxa"/>
            <w:vAlign w:val="center"/>
          </w:tcPr>
          <w:p w14:paraId="69D36A6B" w14:textId="77777777" w:rsidR="002D6CDF" w:rsidRPr="00B27879" w:rsidRDefault="002D6CDF" w:rsidP="002D6CDF">
            <w:pPr>
              <w:pStyle w:val="TableText"/>
              <w:keepNext/>
              <w:keepLines/>
              <w:rPr>
                <w:rFonts w:ascii="Times" w:eastAsia="Times New Roman" w:hAnsi="Times" w:cs="Times New Roman"/>
                <w:szCs w:val="20"/>
              </w:rPr>
            </w:pPr>
            <w:r w:rsidRPr="00B27879">
              <w:t>Partitioned survival analysis</w:t>
            </w:r>
          </w:p>
        </w:tc>
        <w:tc>
          <w:tcPr>
            <w:tcW w:w="3685" w:type="dxa"/>
            <w:vAlign w:val="center"/>
          </w:tcPr>
          <w:p w14:paraId="6EA673FE" w14:textId="77777777" w:rsidR="002D6CDF" w:rsidRPr="00B27879" w:rsidRDefault="002D6CDF" w:rsidP="002D6CDF">
            <w:pPr>
              <w:pStyle w:val="TableText"/>
              <w:keepNext/>
              <w:keepLines/>
              <w:rPr>
                <w:i/>
                <w:iCs/>
              </w:rPr>
            </w:pPr>
            <w:r w:rsidRPr="00B27879">
              <w:rPr>
                <w:i/>
                <w:iCs/>
              </w:rPr>
              <w:t>Reasonable</w:t>
            </w:r>
          </w:p>
        </w:tc>
      </w:tr>
      <w:tr w:rsidR="002D6CDF" w:rsidRPr="00B27879" w14:paraId="6499431C" w14:textId="77777777" w:rsidTr="2914E55D">
        <w:trPr>
          <w:cantSplit/>
        </w:trPr>
        <w:tc>
          <w:tcPr>
            <w:tcW w:w="1555" w:type="dxa"/>
            <w:vAlign w:val="center"/>
          </w:tcPr>
          <w:p w14:paraId="20BA5F9F" w14:textId="77777777" w:rsidR="002D6CDF" w:rsidRPr="00B27879" w:rsidRDefault="002D6CDF" w:rsidP="002D6CDF">
            <w:pPr>
              <w:pStyle w:val="TableText"/>
              <w:keepNext/>
              <w:keepLines/>
              <w:rPr>
                <w:rFonts w:ascii="Times" w:eastAsia="Times New Roman" w:hAnsi="Times" w:cs="Times New Roman"/>
                <w:szCs w:val="20"/>
              </w:rPr>
            </w:pPr>
            <w:r w:rsidRPr="00B27879">
              <w:t>Health states</w:t>
            </w:r>
          </w:p>
        </w:tc>
        <w:tc>
          <w:tcPr>
            <w:tcW w:w="3827" w:type="dxa"/>
            <w:vAlign w:val="center"/>
          </w:tcPr>
          <w:p w14:paraId="28F30C44" w14:textId="77777777" w:rsidR="002D6CDF" w:rsidRPr="00B27879" w:rsidRDefault="002D6CDF" w:rsidP="002D6CDF">
            <w:pPr>
              <w:pStyle w:val="TableText"/>
              <w:keepNext/>
              <w:keepLines/>
              <w:rPr>
                <w:rFonts w:ascii="Times" w:eastAsia="Times New Roman" w:hAnsi="Times" w:cs="Times New Roman"/>
                <w:szCs w:val="20"/>
              </w:rPr>
            </w:pPr>
            <w:r w:rsidRPr="00B27879">
              <w:t>PFS, PD, death</w:t>
            </w:r>
          </w:p>
        </w:tc>
        <w:tc>
          <w:tcPr>
            <w:tcW w:w="3685" w:type="dxa"/>
            <w:vAlign w:val="center"/>
          </w:tcPr>
          <w:p w14:paraId="0F2A4B59" w14:textId="77777777" w:rsidR="002D6CDF" w:rsidRPr="00B27879" w:rsidRDefault="002D6CDF" w:rsidP="002D6CDF">
            <w:pPr>
              <w:pStyle w:val="TableText"/>
              <w:keepNext/>
              <w:keepLines/>
              <w:rPr>
                <w:i/>
                <w:iCs/>
              </w:rPr>
            </w:pPr>
            <w:r w:rsidRPr="00B27879">
              <w:rPr>
                <w:i/>
                <w:iCs/>
              </w:rPr>
              <w:t>Reasonable</w:t>
            </w:r>
          </w:p>
        </w:tc>
      </w:tr>
      <w:tr w:rsidR="002D6CDF" w:rsidRPr="00B27879" w14:paraId="5F6418A6" w14:textId="77777777" w:rsidTr="2914E55D">
        <w:trPr>
          <w:cantSplit/>
        </w:trPr>
        <w:tc>
          <w:tcPr>
            <w:tcW w:w="1555" w:type="dxa"/>
            <w:vAlign w:val="center"/>
          </w:tcPr>
          <w:p w14:paraId="66B088B3" w14:textId="77777777" w:rsidR="002D6CDF" w:rsidRPr="00B27879" w:rsidRDefault="002D6CDF" w:rsidP="002D6CDF">
            <w:pPr>
              <w:pStyle w:val="TableText"/>
              <w:keepNext/>
              <w:keepLines/>
              <w:rPr>
                <w:rFonts w:ascii="Times" w:eastAsia="Times New Roman" w:hAnsi="Times" w:cs="Times New Roman"/>
                <w:szCs w:val="20"/>
              </w:rPr>
            </w:pPr>
            <w:r w:rsidRPr="00B27879">
              <w:t>Cycle length</w:t>
            </w:r>
          </w:p>
        </w:tc>
        <w:tc>
          <w:tcPr>
            <w:tcW w:w="3827" w:type="dxa"/>
            <w:vAlign w:val="center"/>
          </w:tcPr>
          <w:p w14:paraId="1D791AB7" w14:textId="77777777" w:rsidR="002D6CDF" w:rsidRPr="00B27879" w:rsidRDefault="002D6CDF" w:rsidP="002D6CDF">
            <w:pPr>
              <w:pStyle w:val="TableText"/>
              <w:keepNext/>
              <w:keepLines/>
              <w:rPr>
                <w:rFonts w:ascii="Times" w:eastAsia="Times New Roman" w:hAnsi="Times" w:cs="Times New Roman"/>
                <w:szCs w:val="20"/>
              </w:rPr>
            </w:pPr>
            <w:r w:rsidRPr="00B27879">
              <w:t>21 days (half cycle correction applied)</w:t>
            </w:r>
          </w:p>
        </w:tc>
        <w:tc>
          <w:tcPr>
            <w:tcW w:w="3685" w:type="dxa"/>
            <w:vAlign w:val="center"/>
          </w:tcPr>
          <w:p w14:paraId="4A02903C" w14:textId="77777777" w:rsidR="002D6CDF" w:rsidRPr="00B27879" w:rsidRDefault="002D6CDF" w:rsidP="002D6CDF">
            <w:pPr>
              <w:pStyle w:val="TableText"/>
              <w:keepNext/>
              <w:keepLines/>
              <w:rPr>
                <w:i/>
                <w:iCs/>
              </w:rPr>
            </w:pPr>
            <w:r w:rsidRPr="00B27879">
              <w:rPr>
                <w:i/>
                <w:iCs/>
              </w:rPr>
              <w:t>There was an error in the application of the half cycle correction, which led to the overestimation of patient flow probabilities which was relied upon to inform the number of patients in each health state.</w:t>
            </w:r>
          </w:p>
        </w:tc>
      </w:tr>
      <w:tr w:rsidR="002D6CDF" w:rsidRPr="00B27879" w14:paraId="2D42FDF9" w14:textId="77777777" w:rsidTr="2914E55D">
        <w:trPr>
          <w:cantSplit/>
        </w:trPr>
        <w:tc>
          <w:tcPr>
            <w:tcW w:w="1555" w:type="dxa"/>
            <w:vAlign w:val="center"/>
          </w:tcPr>
          <w:p w14:paraId="1E1283C1" w14:textId="77777777" w:rsidR="002D6CDF" w:rsidRPr="00B27879" w:rsidRDefault="002D6CDF" w:rsidP="002D6CDF">
            <w:pPr>
              <w:pStyle w:val="TableText"/>
              <w:keepNext/>
              <w:keepLines/>
            </w:pPr>
            <w:r w:rsidRPr="00B27879">
              <w:t>Test parameters</w:t>
            </w:r>
          </w:p>
        </w:tc>
        <w:tc>
          <w:tcPr>
            <w:tcW w:w="3827" w:type="dxa"/>
            <w:vAlign w:val="center"/>
          </w:tcPr>
          <w:p w14:paraId="475548B9" w14:textId="77777777" w:rsidR="002D6CDF" w:rsidRPr="00B27879" w:rsidRDefault="002D6CDF" w:rsidP="002D6CDF">
            <w:pPr>
              <w:pStyle w:val="TableText"/>
              <w:keepNext/>
              <w:keepLines/>
            </w:pPr>
          </w:p>
        </w:tc>
        <w:tc>
          <w:tcPr>
            <w:tcW w:w="3685" w:type="dxa"/>
            <w:vAlign w:val="center"/>
          </w:tcPr>
          <w:p w14:paraId="2DD3B13B" w14:textId="77777777" w:rsidR="002D6CDF" w:rsidRPr="00B27879" w:rsidRDefault="002D6CDF" w:rsidP="002D6CDF">
            <w:pPr>
              <w:pStyle w:val="TableText"/>
              <w:keepNext/>
              <w:keepLines/>
            </w:pPr>
          </w:p>
        </w:tc>
      </w:tr>
      <w:tr w:rsidR="002D6CDF" w:rsidRPr="00B27879" w14:paraId="6993923D" w14:textId="77777777" w:rsidTr="2914E55D">
        <w:trPr>
          <w:cantSplit/>
        </w:trPr>
        <w:tc>
          <w:tcPr>
            <w:tcW w:w="1555" w:type="dxa"/>
            <w:vAlign w:val="center"/>
          </w:tcPr>
          <w:p w14:paraId="7E16159E" w14:textId="77777777" w:rsidR="002D6CDF" w:rsidRPr="00B27879" w:rsidRDefault="002D6CDF" w:rsidP="002D6CDF">
            <w:pPr>
              <w:pStyle w:val="TableText"/>
              <w:keepNext/>
              <w:keepLines/>
            </w:pPr>
            <w:r w:rsidRPr="00B27879">
              <w:t>Implications of false positive and false negative results</w:t>
            </w:r>
          </w:p>
        </w:tc>
        <w:tc>
          <w:tcPr>
            <w:tcW w:w="3827" w:type="dxa"/>
            <w:vAlign w:val="center"/>
          </w:tcPr>
          <w:p w14:paraId="30483846" w14:textId="77777777" w:rsidR="002D6CDF" w:rsidRPr="00B27879" w:rsidRDefault="002D6CDF" w:rsidP="002D6CDF">
            <w:pPr>
              <w:pStyle w:val="TableText"/>
              <w:keepNext/>
              <w:keepLines/>
            </w:pPr>
            <w:r w:rsidRPr="00B27879">
              <w:t xml:space="preserve">Not accounted for in model. </w:t>
            </w:r>
          </w:p>
        </w:tc>
        <w:tc>
          <w:tcPr>
            <w:tcW w:w="3685" w:type="dxa"/>
            <w:vAlign w:val="center"/>
          </w:tcPr>
          <w:p w14:paraId="5DA3A23B" w14:textId="37F241E4" w:rsidR="002D6CDF" w:rsidRPr="00B27879" w:rsidRDefault="002D6CDF" w:rsidP="2914E55D">
            <w:pPr>
              <w:pStyle w:val="TableText"/>
              <w:keepNext/>
              <w:keepLines/>
              <w:rPr>
                <w:i/>
                <w:iCs/>
              </w:rPr>
            </w:pPr>
            <w:r w:rsidRPr="2914E55D">
              <w:rPr>
                <w:i/>
                <w:iCs/>
              </w:rPr>
              <w:t xml:space="preserve">Given concerns regarding the reliability of FGFR2 testing using NGS on RNA it is unclear if this was appropriate, though it was acknowledged that the ivosidenib July 2024 submission also assumed 100% sensitivity and specificity. </w:t>
            </w:r>
          </w:p>
        </w:tc>
      </w:tr>
      <w:tr w:rsidR="002D6CDF" w:rsidRPr="00B27879" w14:paraId="33006A3D" w14:textId="77777777" w:rsidTr="2914E55D">
        <w:trPr>
          <w:cantSplit/>
        </w:trPr>
        <w:tc>
          <w:tcPr>
            <w:tcW w:w="1555" w:type="dxa"/>
            <w:vAlign w:val="center"/>
          </w:tcPr>
          <w:p w14:paraId="5D5E2213" w14:textId="77777777" w:rsidR="002D6CDF" w:rsidRPr="00B27879" w:rsidRDefault="002D6CDF" w:rsidP="002D6CDF">
            <w:pPr>
              <w:pStyle w:val="TableText"/>
              <w:keepNext/>
              <w:keepLines/>
            </w:pPr>
            <w:r w:rsidRPr="00B27879">
              <w:t xml:space="preserve">Allocation to health states </w:t>
            </w:r>
          </w:p>
        </w:tc>
        <w:tc>
          <w:tcPr>
            <w:tcW w:w="3827" w:type="dxa"/>
            <w:vAlign w:val="center"/>
          </w:tcPr>
          <w:p w14:paraId="7F4E0CAA" w14:textId="77777777" w:rsidR="002D6CDF" w:rsidRPr="00B27879" w:rsidRDefault="002D6CDF" w:rsidP="002D6CDF">
            <w:pPr>
              <w:pStyle w:val="TableText"/>
              <w:keepNext/>
              <w:keepLines/>
            </w:pPr>
            <w:r w:rsidRPr="00B27879">
              <w:t>Based on extrapolated OS and PFS from MAIC described in clinical section</w:t>
            </w:r>
          </w:p>
        </w:tc>
        <w:tc>
          <w:tcPr>
            <w:tcW w:w="3685" w:type="dxa"/>
            <w:vAlign w:val="center"/>
          </w:tcPr>
          <w:p w14:paraId="7048C6D2" w14:textId="3CDB9A8F" w:rsidR="002D6CDF" w:rsidRPr="00B27879" w:rsidRDefault="002D6CDF" w:rsidP="002D6CDF">
            <w:pPr>
              <w:pStyle w:val="TableText"/>
              <w:keepNext/>
              <w:keepLines/>
            </w:pPr>
            <w:r w:rsidRPr="2914E55D">
              <w:rPr>
                <w:i/>
                <w:iCs/>
              </w:rPr>
              <w:t>Given concerns regarding the results of the MAIC, the underlying clinical benefit used to inform the economic evaluation was uncertain and likely overestimated. The ability to run sensitivity analyses using alternative MAIC results was not included in the model operability.</w:t>
            </w:r>
          </w:p>
        </w:tc>
      </w:tr>
      <w:tr w:rsidR="002D6CDF" w:rsidRPr="00B27879" w14:paraId="740D352D" w14:textId="77777777" w:rsidTr="2914E55D">
        <w:trPr>
          <w:cantSplit/>
        </w:trPr>
        <w:tc>
          <w:tcPr>
            <w:tcW w:w="1555" w:type="dxa"/>
            <w:vAlign w:val="center"/>
          </w:tcPr>
          <w:p w14:paraId="31F87B0E" w14:textId="77777777" w:rsidR="002D6CDF" w:rsidRPr="00B27879" w:rsidRDefault="002D6CDF" w:rsidP="002D6CDF">
            <w:pPr>
              <w:pStyle w:val="TableText"/>
              <w:keepNext/>
              <w:keepLines/>
            </w:pPr>
            <w:r w:rsidRPr="00B27879">
              <w:t>Extrapolation method</w:t>
            </w:r>
          </w:p>
        </w:tc>
        <w:tc>
          <w:tcPr>
            <w:tcW w:w="3827" w:type="dxa"/>
            <w:vAlign w:val="center"/>
          </w:tcPr>
          <w:p w14:paraId="24959A36" w14:textId="77777777" w:rsidR="002D6CDF" w:rsidRPr="00B27879" w:rsidRDefault="002D6CDF" w:rsidP="002D6CDF">
            <w:pPr>
              <w:pStyle w:val="TableText"/>
              <w:keepNext/>
              <w:keepLines/>
            </w:pPr>
            <w:r w:rsidRPr="00B27879">
              <w:t>Parametric model fitted to each treatment arm with gamma extrapolation selected in base case for PFS in both arms (and loglogistic for OS in both arms) based on statistical fit, visual fit and clinical plausibility. The submission fitted the distributions separately for each treatment arm.</w:t>
            </w:r>
          </w:p>
          <w:p w14:paraId="1A49C018" w14:textId="77777777" w:rsidR="002D6CDF" w:rsidRPr="00B27879" w:rsidRDefault="002D6CDF" w:rsidP="002D6CDF">
            <w:pPr>
              <w:pStyle w:val="TableText"/>
              <w:keepNext/>
              <w:keepLines/>
            </w:pPr>
          </w:p>
          <w:p w14:paraId="1A5B0E38" w14:textId="70B3A8E6" w:rsidR="002D6CDF" w:rsidRPr="00B27879" w:rsidRDefault="002D6CDF" w:rsidP="002D6CDF">
            <w:pPr>
              <w:pStyle w:val="TableText"/>
              <w:keepNext/>
              <w:keepLines/>
            </w:pPr>
            <w:r w:rsidRPr="2914E55D">
              <w:t>Switch from KM to extrapolation was estimated based on Gebski 2006. The switch occurred at 22 months for OS and 14 months for PFS for futibatinib and 11 months for OS and 7 months for PFS for FOLFOX.</w:t>
            </w:r>
          </w:p>
        </w:tc>
        <w:tc>
          <w:tcPr>
            <w:tcW w:w="3685" w:type="dxa"/>
            <w:vAlign w:val="center"/>
          </w:tcPr>
          <w:p w14:paraId="323D4858" w14:textId="0BE802A5" w:rsidR="002D6CDF" w:rsidRPr="00B27879" w:rsidRDefault="002D6CDF" w:rsidP="2914E55D">
            <w:pPr>
              <w:pStyle w:val="TableText"/>
              <w:keepNext/>
              <w:keepLines/>
              <w:rPr>
                <w:i/>
                <w:iCs/>
              </w:rPr>
            </w:pPr>
            <w:r w:rsidRPr="2914E55D">
              <w:rPr>
                <w:i/>
                <w:iCs/>
              </w:rPr>
              <w:t xml:space="preserve">The model was moderately sensitive to extrapolation. However, given the uncertainty in the underlying data, sensitivity analyses around extrapolation method alone may not adequately address the issues surrounding the submission’s estimates of comparative effect.   </w:t>
            </w:r>
          </w:p>
        </w:tc>
      </w:tr>
      <w:tr w:rsidR="002D6CDF" w:rsidRPr="00B27879" w14:paraId="31BDE4AA" w14:textId="77777777" w:rsidTr="2914E55D">
        <w:trPr>
          <w:cantSplit/>
        </w:trPr>
        <w:tc>
          <w:tcPr>
            <w:tcW w:w="1555" w:type="dxa"/>
            <w:vAlign w:val="center"/>
          </w:tcPr>
          <w:p w14:paraId="39BDFE0D" w14:textId="77777777" w:rsidR="002D6CDF" w:rsidRPr="00B27879" w:rsidRDefault="002D6CDF" w:rsidP="002D6CDF">
            <w:pPr>
              <w:pStyle w:val="TableText"/>
              <w:keepNext/>
              <w:keepLines/>
            </w:pPr>
            <w:r w:rsidRPr="00B27879">
              <w:t>Health related quality of life</w:t>
            </w:r>
          </w:p>
        </w:tc>
        <w:tc>
          <w:tcPr>
            <w:tcW w:w="3827" w:type="dxa"/>
            <w:vAlign w:val="center"/>
          </w:tcPr>
          <w:p w14:paraId="48C8188E" w14:textId="057D840C" w:rsidR="002D6CDF" w:rsidRPr="00B27879" w:rsidRDefault="002D6CDF" w:rsidP="002D6CDF">
            <w:pPr>
              <w:pStyle w:val="TableText"/>
              <w:keepNext/>
              <w:keepLines/>
            </w:pPr>
            <w:r w:rsidRPr="2914E55D">
              <w:t>Futibatinib PFS: 0.796 based on EQ-5D-3L of FOENIX CCA-2</w:t>
            </w:r>
          </w:p>
          <w:p w14:paraId="3F62E5A3" w14:textId="77777777" w:rsidR="002D6CDF" w:rsidRPr="00B27879" w:rsidRDefault="002D6CDF" w:rsidP="002D6CDF">
            <w:pPr>
              <w:pStyle w:val="TableText"/>
              <w:keepNext/>
              <w:keepLines/>
            </w:pPr>
            <w:r w:rsidRPr="00B27879">
              <w:t>FOLFOX PFS: 0.70 based on ABC-06 supplement</w:t>
            </w:r>
          </w:p>
          <w:p w14:paraId="50108730" w14:textId="15CB9544" w:rsidR="002D6CDF" w:rsidRPr="00B27879" w:rsidRDefault="002D6CDF" w:rsidP="002D6CDF">
            <w:pPr>
              <w:pStyle w:val="TableText"/>
              <w:keepNext/>
              <w:keepLines/>
            </w:pPr>
            <w:r w:rsidRPr="2914E55D">
              <w:t>Futibatinib PD: 0.68 (based on NICE 474)</w:t>
            </w:r>
          </w:p>
          <w:p w14:paraId="251F28A3" w14:textId="09760E7D" w:rsidR="002D6CDF" w:rsidRPr="00B27879" w:rsidRDefault="002D6CDF" w:rsidP="002D6CDF">
            <w:pPr>
              <w:pStyle w:val="TableText"/>
              <w:keepNext/>
              <w:keepLines/>
            </w:pPr>
            <w:r w:rsidRPr="2914E55D">
              <w:t xml:space="preserve">FOLFOX PD: 0.584 (based on applying same decrement from PFS to PD as futibatinib) </w:t>
            </w:r>
          </w:p>
        </w:tc>
        <w:tc>
          <w:tcPr>
            <w:tcW w:w="3685" w:type="dxa"/>
            <w:vAlign w:val="center"/>
          </w:tcPr>
          <w:p w14:paraId="3766B3C8" w14:textId="77777777" w:rsidR="002D6CDF" w:rsidRPr="00B27879" w:rsidRDefault="002D6CDF" w:rsidP="002D6CDF">
            <w:pPr>
              <w:pStyle w:val="TableText"/>
              <w:keepNext/>
              <w:keepLines/>
              <w:rPr>
                <w:i/>
                <w:iCs/>
              </w:rPr>
            </w:pPr>
            <w:r w:rsidRPr="00B27879">
              <w:rPr>
                <w:i/>
                <w:iCs/>
              </w:rPr>
              <w:t>The submission did not present a clinical comparison of QoL outcomes to justify treatment-based utilities.</w:t>
            </w:r>
          </w:p>
          <w:p w14:paraId="7A0BCCD4" w14:textId="77777777" w:rsidR="002D6CDF" w:rsidRPr="00B27879" w:rsidRDefault="002D6CDF" w:rsidP="002D6CDF">
            <w:pPr>
              <w:pStyle w:val="TableText"/>
              <w:keepNext/>
              <w:keepLines/>
              <w:rPr>
                <w:i/>
                <w:iCs/>
              </w:rPr>
            </w:pPr>
            <w:r w:rsidRPr="00B27879">
              <w:rPr>
                <w:i/>
                <w:iCs/>
              </w:rPr>
              <w:t xml:space="preserve">The utilities for FOLFOX may have been underestimated </w:t>
            </w:r>
            <w:r>
              <w:rPr>
                <w:i/>
                <w:iCs/>
              </w:rPr>
              <w:t xml:space="preserve">as </w:t>
            </w:r>
            <w:r w:rsidRPr="00B27879">
              <w:rPr>
                <w:i/>
                <w:iCs/>
              </w:rPr>
              <w:t>it was informed by a single value at month 4 in ABC-06. Given the treatment duration (2 weekly cycles, up to 12 cycles) the QoL at month 4 may be lower than at earlier timepoints due to repeated chemotherapy cycles.</w:t>
            </w:r>
          </w:p>
        </w:tc>
      </w:tr>
    </w:tbl>
    <w:p w14:paraId="5CFA2D24" w14:textId="77777777" w:rsidR="002D6CDF" w:rsidRDefault="002D6CDF" w:rsidP="002D6CDF">
      <w:pPr>
        <w:pStyle w:val="TableFooter"/>
      </w:pPr>
      <w:r w:rsidRPr="00B27879">
        <w:t xml:space="preserve">Source: Table 3.2, p186 of the submission. </w:t>
      </w:r>
    </w:p>
    <w:p w14:paraId="04A2A0B0" w14:textId="715FA3A2" w:rsidR="002D6CDF" w:rsidRDefault="002D6CDF" w:rsidP="002D6CDF">
      <w:pPr>
        <w:pStyle w:val="TableFooter"/>
      </w:pPr>
      <w:r w:rsidRPr="2914E55D">
        <w:t>ASC = active symptom control; KM = Kaplan-Meier LYG = life-year gained; OS = overall survival; PBAC = Pharmaceutical Benefits Advisory Committee; PD = Progressed disease; PFS = progression free survival; QALY – Quality adjusted Iife-year; QoL = quality of Life;</w:t>
      </w:r>
    </w:p>
    <w:p w14:paraId="6DFB34E9" w14:textId="474B55C2" w:rsidR="002D6CDF" w:rsidRPr="00B27879" w:rsidRDefault="002D6CDF" w:rsidP="002D6CDF">
      <w:pPr>
        <w:pStyle w:val="TableFooter"/>
      </w:pPr>
      <w:r w:rsidRPr="2914E55D">
        <w:rPr>
          <w:vertAlign w:val="superscript"/>
        </w:rPr>
        <w:t>a</w:t>
      </w:r>
      <w:r w:rsidRPr="2914E55D">
        <w:t xml:space="preserve"> oxaliplatin 85 mg/m2, calcium folinate 50 mg, 5-fluorouracil 400 mg/m2 bolus and 2400 mg/m2 continuous infusion over 46 hours</w:t>
      </w:r>
    </w:p>
    <w:p w14:paraId="0543A427" w14:textId="5D960F0B" w:rsidR="00BA15E1" w:rsidRPr="00353AB8" w:rsidRDefault="00BA15E1" w:rsidP="00353AB8">
      <w:pPr>
        <w:jc w:val="left"/>
        <w:rPr>
          <w:rFonts w:ascii="Franklin Gothic Book" w:hAnsi="Franklin Gothic Book"/>
          <w:i/>
          <w:iCs/>
          <w:sz w:val="22"/>
        </w:rPr>
      </w:pPr>
      <w:r w:rsidRPr="00353AB8">
        <w:rPr>
          <w:rFonts w:ascii="Franklin Gothic Book" w:hAnsi="Franklin Gothic Book"/>
          <w:sz w:val="22"/>
        </w:rPr>
        <w:lastRenderedPageBreak/>
        <w:t xml:space="preserve">The submission assumed 100% specificity and sensitivity of </w:t>
      </w:r>
      <w:r w:rsidRPr="00353AB8">
        <w:rPr>
          <w:rFonts w:ascii="Franklin Gothic Book" w:hAnsi="Franklin Gothic Book"/>
          <w:i/>
          <w:iCs/>
          <w:sz w:val="22"/>
        </w:rPr>
        <w:t xml:space="preserve">FGFR2 </w:t>
      </w:r>
      <w:r w:rsidRPr="00353AB8">
        <w:rPr>
          <w:rFonts w:ascii="Franklin Gothic Book" w:hAnsi="Franklin Gothic Book"/>
          <w:sz w:val="22"/>
        </w:rPr>
        <w:t>testing. Consequently,</w:t>
      </w:r>
      <w:r w:rsidR="009900F3" w:rsidRPr="00353AB8">
        <w:rPr>
          <w:rFonts w:ascii="Franklin Gothic Book" w:hAnsi="Franklin Gothic Book"/>
          <w:sz w:val="22"/>
        </w:rPr>
        <w:t xml:space="preserve"> the </w:t>
      </w:r>
      <w:r w:rsidR="00522BF3" w:rsidRPr="00353AB8">
        <w:rPr>
          <w:rFonts w:ascii="Franklin Gothic Book" w:hAnsi="Franklin Gothic Book"/>
          <w:sz w:val="22"/>
        </w:rPr>
        <w:t>commentary</w:t>
      </w:r>
      <w:r w:rsidR="009900F3" w:rsidRPr="00353AB8">
        <w:rPr>
          <w:rFonts w:ascii="Franklin Gothic Book" w:hAnsi="Franklin Gothic Book"/>
          <w:sz w:val="22"/>
        </w:rPr>
        <w:t xml:space="preserve"> </w:t>
      </w:r>
      <w:r w:rsidR="00522BF3" w:rsidRPr="00353AB8">
        <w:rPr>
          <w:rFonts w:ascii="Franklin Gothic Book" w:hAnsi="Franklin Gothic Book"/>
          <w:sz w:val="22"/>
        </w:rPr>
        <w:t>noted</w:t>
      </w:r>
      <w:r w:rsidR="009900F3" w:rsidRPr="00353AB8">
        <w:rPr>
          <w:rFonts w:ascii="Franklin Gothic Book" w:hAnsi="Franklin Gothic Book"/>
          <w:sz w:val="22"/>
        </w:rPr>
        <w:t xml:space="preserve"> that the</w:t>
      </w:r>
      <w:r w:rsidRPr="00353AB8">
        <w:rPr>
          <w:rFonts w:ascii="Franklin Gothic Book" w:hAnsi="Franklin Gothic Book"/>
          <w:sz w:val="22"/>
        </w:rPr>
        <w:t xml:space="preserve"> impact</w:t>
      </w:r>
      <w:r w:rsidR="003C6E20" w:rsidRPr="00353AB8">
        <w:rPr>
          <w:rFonts w:ascii="Franklin Gothic Book" w:hAnsi="Franklin Gothic Book"/>
          <w:sz w:val="22"/>
        </w:rPr>
        <w:t>s</w:t>
      </w:r>
      <w:r w:rsidRPr="00353AB8">
        <w:rPr>
          <w:rFonts w:ascii="Franklin Gothic Book" w:hAnsi="Franklin Gothic Book"/>
          <w:sz w:val="22"/>
        </w:rPr>
        <w:t xml:space="preserve"> of false positives and false negatives of the test were not factored into the model. Given concerns regarding the reliability of </w:t>
      </w:r>
      <w:r w:rsidRPr="00353AB8">
        <w:rPr>
          <w:rFonts w:ascii="Franklin Gothic Book" w:hAnsi="Franklin Gothic Book"/>
          <w:i/>
          <w:iCs/>
          <w:sz w:val="22"/>
        </w:rPr>
        <w:t>FGFR2</w:t>
      </w:r>
      <w:r w:rsidRPr="00353AB8">
        <w:rPr>
          <w:rFonts w:ascii="Franklin Gothic Book" w:hAnsi="Franklin Gothic Book"/>
          <w:sz w:val="22"/>
        </w:rPr>
        <w:t xml:space="preserve"> testing using NGS on RNA discussed above</w:t>
      </w:r>
      <w:r w:rsidR="00B45F3E" w:rsidRPr="00353AB8">
        <w:rPr>
          <w:rFonts w:ascii="Franklin Gothic Book" w:hAnsi="Franklin Gothic Book"/>
          <w:sz w:val="22"/>
        </w:rPr>
        <w:t xml:space="preserve"> in Section 9 of the executive summary under concordance</w:t>
      </w:r>
      <w:r w:rsidRPr="00353AB8">
        <w:rPr>
          <w:rFonts w:ascii="Franklin Gothic Book" w:hAnsi="Franklin Gothic Book"/>
          <w:sz w:val="22"/>
        </w:rPr>
        <w:t xml:space="preserve"> it is unclear if this was appropriate</w:t>
      </w:r>
      <w:r w:rsidR="00D23EBD" w:rsidRPr="00353AB8">
        <w:rPr>
          <w:rFonts w:ascii="Franklin Gothic Book" w:hAnsi="Franklin Gothic Book"/>
          <w:sz w:val="22"/>
        </w:rPr>
        <w:t xml:space="preserve">. </w:t>
      </w:r>
      <w:r w:rsidR="00E67A4E" w:rsidRPr="00353AB8">
        <w:rPr>
          <w:rFonts w:ascii="Franklin Gothic Book" w:hAnsi="Franklin Gothic Book"/>
          <w:sz w:val="22"/>
        </w:rPr>
        <w:t>However,</w:t>
      </w:r>
      <w:r w:rsidRPr="00353AB8">
        <w:rPr>
          <w:rFonts w:ascii="Franklin Gothic Book" w:hAnsi="Franklin Gothic Book"/>
          <w:sz w:val="22"/>
        </w:rPr>
        <w:t xml:space="preserve"> no efficacy data for futibatinib in patients with Wild Type </w:t>
      </w:r>
      <w:r w:rsidRPr="00353AB8">
        <w:rPr>
          <w:rFonts w:ascii="Franklin Gothic Book" w:hAnsi="Franklin Gothic Book"/>
          <w:i/>
          <w:iCs/>
          <w:sz w:val="22"/>
        </w:rPr>
        <w:t>FGFR2</w:t>
      </w:r>
      <w:r w:rsidRPr="00353AB8">
        <w:rPr>
          <w:rFonts w:ascii="Franklin Gothic Book" w:hAnsi="Franklin Gothic Book"/>
          <w:sz w:val="22"/>
        </w:rPr>
        <w:t xml:space="preserve"> </w:t>
      </w:r>
      <w:r w:rsidR="00D23EBD" w:rsidRPr="00353AB8">
        <w:rPr>
          <w:rFonts w:ascii="Franklin Gothic Book" w:hAnsi="Franklin Gothic Book"/>
          <w:sz w:val="22"/>
        </w:rPr>
        <w:t>w</w:t>
      </w:r>
      <w:r w:rsidR="003100D0" w:rsidRPr="00353AB8">
        <w:rPr>
          <w:rFonts w:ascii="Franklin Gothic Book" w:hAnsi="Franklin Gothic Book"/>
          <w:sz w:val="22"/>
        </w:rPr>
        <w:t>ere</w:t>
      </w:r>
      <w:r w:rsidR="00D23EBD" w:rsidRPr="00353AB8">
        <w:rPr>
          <w:rFonts w:ascii="Franklin Gothic Book" w:hAnsi="Franklin Gothic Book"/>
          <w:sz w:val="22"/>
        </w:rPr>
        <w:t xml:space="preserve"> available </w:t>
      </w:r>
      <w:r w:rsidRPr="00353AB8">
        <w:rPr>
          <w:rFonts w:ascii="Franklin Gothic Book" w:hAnsi="Franklin Gothic Book"/>
          <w:sz w:val="22"/>
        </w:rPr>
        <w:t xml:space="preserve">to accurately inform false positive results. </w:t>
      </w:r>
      <w:r w:rsidR="00773DAC" w:rsidRPr="00353AB8">
        <w:rPr>
          <w:rFonts w:ascii="Franklin Gothic Book" w:hAnsi="Franklin Gothic Book"/>
          <w:sz w:val="22"/>
        </w:rPr>
        <w:t>As the submission assumed 100% sensitivity and sensitivity of the test, the model did not account for costs of false negative or false positive tests.</w:t>
      </w:r>
    </w:p>
    <w:p w14:paraId="4E83DDD8" w14:textId="55AA90DE" w:rsidR="00BA15E1" w:rsidRPr="00353AB8" w:rsidRDefault="00BA15E1" w:rsidP="00353AB8">
      <w:pPr>
        <w:jc w:val="left"/>
        <w:rPr>
          <w:rFonts w:ascii="Franklin Gothic Book" w:hAnsi="Franklin Gothic Book"/>
          <w:sz w:val="22"/>
        </w:rPr>
      </w:pPr>
      <w:r w:rsidRPr="00353AB8">
        <w:rPr>
          <w:rFonts w:ascii="Franklin Gothic Book" w:hAnsi="Franklin Gothic Book"/>
          <w:sz w:val="22"/>
        </w:rPr>
        <w:t xml:space="preserve">The submission estimated a cost of NGS testing for </w:t>
      </w:r>
      <w:r w:rsidRPr="00353AB8">
        <w:rPr>
          <w:rFonts w:ascii="Franklin Gothic Book" w:hAnsi="Franklin Gothic Book"/>
          <w:i/>
          <w:iCs/>
          <w:sz w:val="22"/>
        </w:rPr>
        <w:t xml:space="preserve">FGFR2 </w:t>
      </w:r>
      <w:r w:rsidRPr="00353AB8">
        <w:rPr>
          <w:rFonts w:ascii="Franklin Gothic Book" w:hAnsi="Franklin Gothic Book"/>
          <w:sz w:val="22"/>
        </w:rPr>
        <w:t>fusion or rearrangement testing from tumour tissue of $1,050 per identified patient</w:t>
      </w:r>
      <w:r w:rsidR="00167257" w:rsidRPr="00353AB8">
        <w:rPr>
          <w:rFonts w:ascii="Franklin Gothic Book" w:hAnsi="Franklin Gothic Book"/>
          <w:sz w:val="22"/>
        </w:rPr>
        <w:t xml:space="preserve"> (see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_Ref198447590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16</w:t>
      </w:r>
      <w:r w:rsidR="001F5863" w:rsidRPr="001F5863">
        <w:rPr>
          <w:rFonts w:ascii="Franklin Gothic Book" w:hAnsi="Franklin Gothic Book"/>
          <w:sz w:val="22"/>
        </w:rPr>
        <w:fldChar w:fldCharType="end"/>
      </w:r>
      <w:r w:rsidR="001F5863" w:rsidRPr="001F5863">
        <w:rPr>
          <w:rFonts w:ascii="Franklin Gothic Book" w:hAnsi="Franklin Gothic Book"/>
          <w:sz w:val="22"/>
        </w:rPr>
        <w:t xml:space="preserve"> </w:t>
      </w:r>
      <w:r w:rsidR="00226E33" w:rsidRPr="001F5863">
        <w:rPr>
          <w:rFonts w:ascii="Franklin Gothic Book" w:hAnsi="Franklin Gothic Book"/>
          <w:sz w:val="22"/>
        </w:rPr>
        <w:t>and</w:t>
      </w:r>
      <w:r w:rsidR="001F5863" w:rsidRPr="001F5863">
        <w:rPr>
          <w:rFonts w:ascii="Franklin Gothic Book" w:hAnsi="Franklin Gothic Book"/>
          <w:sz w:val="22"/>
        </w:rPr>
        <w:t xml:space="preserve"> </w:t>
      </w:r>
      <w:r w:rsidR="001F5863" w:rsidRPr="001F5863">
        <w:rPr>
          <w:rFonts w:ascii="Franklin Gothic Book" w:hAnsi="Franklin Gothic Book"/>
          <w:sz w:val="22"/>
        </w:rPr>
        <w:fldChar w:fldCharType="begin"/>
      </w:r>
      <w:r w:rsidR="001F5863" w:rsidRPr="001F5863">
        <w:rPr>
          <w:rFonts w:ascii="Franklin Gothic Book" w:hAnsi="Franklin Gothic Book"/>
          <w:sz w:val="22"/>
        </w:rPr>
        <w:instrText xml:space="preserve"> REF _Ref198447539  \* MERGEFORMAT </w:instrText>
      </w:r>
      <w:r w:rsidR="001F5863" w:rsidRPr="001F5863">
        <w:rPr>
          <w:rFonts w:ascii="Franklin Gothic Book" w:hAnsi="Franklin Gothic Book"/>
          <w:sz w:val="22"/>
        </w:rPr>
        <w:fldChar w:fldCharType="separate"/>
      </w:r>
      <w:r w:rsidR="001F5863" w:rsidRPr="001F5863">
        <w:rPr>
          <w:rFonts w:ascii="Franklin Gothic Book" w:hAnsi="Franklin Gothic Book"/>
          <w:sz w:val="22"/>
        </w:rPr>
        <w:t xml:space="preserve">Table </w:t>
      </w:r>
      <w:r w:rsidR="001F5863" w:rsidRPr="001F5863">
        <w:rPr>
          <w:rFonts w:ascii="Franklin Gothic Book" w:hAnsi="Franklin Gothic Book"/>
          <w:noProof/>
          <w:sz w:val="22"/>
        </w:rPr>
        <w:t>15</w:t>
      </w:r>
      <w:r w:rsidR="001F5863" w:rsidRPr="001F5863">
        <w:rPr>
          <w:rFonts w:ascii="Franklin Gothic Book" w:hAnsi="Franklin Gothic Book"/>
          <w:sz w:val="22"/>
        </w:rPr>
        <w:fldChar w:fldCharType="end"/>
      </w:r>
      <w:r w:rsidR="00167257" w:rsidRPr="00353AB8">
        <w:rPr>
          <w:rFonts w:ascii="Franklin Gothic Book" w:hAnsi="Franklin Gothic Book"/>
          <w:sz w:val="22"/>
        </w:rPr>
        <w:t>)</w:t>
      </w:r>
      <w:r w:rsidRPr="00353AB8">
        <w:rPr>
          <w:rFonts w:ascii="Franklin Gothic Book" w:hAnsi="Franklin Gothic Book"/>
          <w:sz w:val="22"/>
        </w:rPr>
        <w:t>. This was based on assumed MBS fee for an RNA test of $350, unless testing is done by Omico, where there will be no additional cost to the health system as a consequence of the PBS listing of futibatinib.</w:t>
      </w:r>
    </w:p>
    <w:p w14:paraId="33E2753F" w14:textId="4D4BAB1D" w:rsidR="00BA15E1" w:rsidRPr="00353AB8" w:rsidRDefault="00BA15E1" w:rsidP="00353AB8">
      <w:pPr>
        <w:jc w:val="left"/>
        <w:rPr>
          <w:rFonts w:ascii="Franklin Gothic Book" w:hAnsi="Franklin Gothic Book"/>
          <w:i/>
          <w:iCs/>
          <w:sz w:val="22"/>
        </w:rPr>
      </w:pPr>
      <w:r w:rsidRPr="00353AB8">
        <w:rPr>
          <w:rFonts w:ascii="Franklin Gothic Book" w:hAnsi="Franklin Gothic Book"/>
          <w:sz w:val="22"/>
        </w:rPr>
        <w:t xml:space="preserve">The submission noted that Omico provides Comprehensive Genomic Profiling to patients with advanced and incurable cancer, including CCA, to help identify potential treatments or clinical trials at no cost to the patient via their Cancer Screening Program. The submission claimed that expert opinion indicates that a large proportion of patients in the target PBS population are currently screened via this program. The submission assumed that 40% of testing would be conducted by Omico. </w:t>
      </w:r>
      <w:r w:rsidR="005C0D9C" w:rsidRPr="00353AB8">
        <w:rPr>
          <w:rFonts w:ascii="Franklin Gothic Book" w:hAnsi="Franklin Gothic Book"/>
          <w:sz w:val="22"/>
        </w:rPr>
        <w:t xml:space="preserve">The </w:t>
      </w:r>
      <w:r w:rsidR="00522BF3" w:rsidRPr="00353AB8">
        <w:rPr>
          <w:rFonts w:ascii="Franklin Gothic Book" w:hAnsi="Franklin Gothic Book"/>
          <w:sz w:val="22"/>
        </w:rPr>
        <w:t>commentary</w:t>
      </w:r>
      <w:r w:rsidR="00115CCE" w:rsidRPr="00353AB8">
        <w:rPr>
          <w:rFonts w:ascii="Franklin Gothic Book" w:hAnsi="Franklin Gothic Book"/>
          <w:sz w:val="22"/>
        </w:rPr>
        <w:t xml:space="preserve"> considered that t</w:t>
      </w:r>
      <w:r w:rsidRPr="00353AB8">
        <w:rPr>
          <w:rFonts w:ascii="Franklin Gothic Book" w:hAnsi="Franklin Gothic Book"/>
          <w:sz w:val="22"/>
        </w:rPr>
        <w:t xml:space="preserve">his was inappropriate as once available from the MBS, it is unlikely that current testing by Omico would continue at this rate. </w:t>
      </w:r>
      <w:r w:rsidR="00BE1E04" w:rsidRPr="00353AB8">
        <w:rPr>
          <w:rFonts w:ascii="Franklin Gothic Book" w:hAnsi="Franklin Gothic Book"/>
          <w:sz w:val="22"/>
        </w:rPr>
        <w:t xml:space="preserve">Moreover, patients would be able to claim the MBS rebate even if the service is provided through Omico providers (as long as they provide an MBS eligible service and are an eligible provider). </w:t>
      </w:r>
      <w:r w:rsidRPr="00353AB8">
        <w:rPr>
          <w:rFonts w:ascii="Franklin Gothic Book" w:hAnsi="Franklin Gothic Book"/>
          <w:sz w:val="22"/>
        </w:rPr>
        <w:t xml:space="preserve">To estimate the long-term cost-effectiveness of listing </w:t>
      </w:r>
      <w:r w:rsidRPr="00353AB8">
        <w:rPr>
          <w:rFonts w:ascii="Franklin Gothic Book" w:hAnsi="Franklin Gothic Book"/>
          <w:i/>
          <w:iCs/>
          <w:sz w:val="22"/>
        </w:rPr>
        <w:t>FGFR2</w:t>
      </w:r>
      <w:r w:rsidRPr="00353AB8">
        <w:rPr>
          <w:rFonts w:ascii="Franklin Gothic Book" w:hAnsi="Franklin Gothic Book"/>
          <w:sz w:val="22"/>
        </w:rPr>
        <w:t xml:space="preserve"> testing on the MBS, the assumption of all testing costs being borne by the MBS would be more reasonable. </w:t>
      </w:r>
      <w:r w:rsidR="00773DAC" w:rsidRPr="00353AB8">
        <w:rPr>
          <w:rFonts w:ascii="Franklin Gothic Book" w:hAnsi="Franklin Gothic Book"/>
          <w:sz w:val="22"/>
        </w:rPr>
        <w:t>A</w:t>
      </w:r>
      <w:r w:rsidRPr="00353AB8">
        <w:rPr>
          <w:rFonts w:ascii="Franklin Gothic Book" w:hAnsi="Franklin Gothic Book"/>
          <w:sz w:val="22"/>
        </w:rPr>
        <w:t>djusting testing costs to reflect this had only a small impact (</w:t>
      </w:r>
      <w:r w:rsidR="008D7C1A" w:rsidRPr="008D7C1A">
        <w:rPr>
          <w:rFonts w:ascii="Franklin Gothic Book" w:hAnsi="Franklin Gothic Book"/>
          <w:b/>
          <w:bCs/>
          <w:sz w:val="22"/>
        </w:rPr>
        <w:t>Redacted</w:t>
      </w:r>
      <w:r w:rsidRPr="00353AB8">
        <w:rPr>
          <w:rFonts w:ascii="Franklin Gothic Book" w:hAnsi="Franklin Gothic Book"/>
          <w:sz w:val="22"/>
        </w:rPr>
        <w:t>% increase) on the ICER.</w:t>
      </w:r>
      <w:r w:rsidRPr="00353AB8">
        <w:rPr>
          <w:rFonts w:ascii="Franklin Gothic Book" w:hAnsi="Franklin Gothic Book"/>
          <w:i/>
          <w:iCs/>
          <w:sz w:val="22"/>
        </w:rPr>
        <w:t xml:space="preserve"> </w:t>
      </w:r>
    </w:p>
    <w:p w14:paraId="11B8BA32" w14:textId="6AF050A8" w:rsidR="00BA15E1" w:rsidRPr="00353AB8" w:rsidRDefault="00BA15E1" w:rsidP="00353AB8">
      <w:pPr>
        <w:jc w:val="left"/>
        <w:rPr>
          <w:rFonts w:ascii="Franklin Gothic Book" w:hAnsi="Franklin Gothic Book"/>
          <w:i/>
          <w:iCs/>
          <w:sz w:val="22"/>
        </w:rPr>
      </w:pPr>
      <w:r w:rsidRPr="00353AB8">
        <w:rPr>
          <w:rFonts w:ascii="Franklin Gothic Book" w:hAnsi="Franklin Gothic Book"/>
          <w:sz w:val="22"/>
        </w:rPr>
        <w:t>The cost per patient identified was also based on assumption of 20% prevalence of</w:t>
      </w:r>
      <w:r w:rsidRPr="00353AB8">
        <w:rPr>
          <w:rFonts w:ascii="Franklin Gothic Book" w:hAnsi="Franklin Gothic Book"/>
          <w:i/>
          <w:iCs/>
          <w:sz w:val="22"/>
        </w:rPr>
        <w:t xml:space="preserve"> FGFR2</w:t>
      </w:r>
      <w:r w:rsidRPr="00353AB8">
        <w:rPr>
          <w:rFonts w:ascii="Franklin Gothic Book" w:hAnsi="Franklin Gothic Book"/>
          <w:sz w:val="22"/>
        </w:rPr>
        <w:t xml:space="preserve"> alteration in advanced disease. </w:t>
      </w:r>
      <w:r w:rsidR="00C661A0" w:rsidRPr="00353AB8">
        <w:rPr>
          <w:rFonts w:ascii="Franklin Gothic Book" w:hAnsi="Franklin Gothic Book"/>
          <w:sz w:val="22"/>
        </w:rPr>
        <w:t xml:space="preserve">The </w:t>
      </w:r>
      <w:r w:rsidR="00522BF3" w:rsidRPr="00353AB8">
        <w:rPr>
          <w:rFonts w:ascii="Franklin Gothic Book" w:hAnsi="Franklin Gothic Book"/>
          <w:sz w:val="22"/>
        </w:rPr>
        <w:t>commentary</w:t>
      </w:r>
      <w:r w:rsidR="00C661A0" w:rsidRPr="00353AB8">
        <w:rPr>
          <w:rFonts w:ascii="Franklin Gothic Book" w:hAnsi="Franklin Gothic Book"/>
          <w:sz w:val="22"/>
        </w:rPr>
        <w:t xml:space="preserve"> considered that t</w:t>
      </w:r>
      <w:r w:rsidRPr="00353AB8">
        <w:rPr>
          <w:rFonts w:ascii="Franklin Gothic Book" w:hAnsi="Franklin Gothic Book"/>
          <w:sz w:val="22"/>
        </w:rPr>
        <w:t>his was consistent with the prevalence presented by the submission. However, as previously discussed</w:t>
      </w:r>
      <w:r w:rsidR="00D675D8" w:rsidRPr="00353AB8">
        <w:rPr>
          <w:rFonts w:ascii="Franklin Gothic Book" w:hAnsi="Franklin Gothic Book"/>
          <w:sz w:val="22"/>
        </w:rPr>
        <w:t>,</w:t>
      </w:r>
      <w:r w:rsidRPr="00353AB8">
        <w:rPr>
          <w:rFonts w:ascii="Franklin Gothic Book" w:hAnsi="Franklin Gothic Book"/>
          <w:sz w:val="22"/>
        </w:rPr>
        <w:t xml:space="preserve"> there was substantial variation in estimates of prevalence, with a weighted average prevalence of 10% in all CCA settings (reflective of testing at diagnosis). </w:t>
      </w:r>
      <w:r w:rsidR="009A25D0" w:rsidRPr="00353AB8">
        <w:rPr>
          <w:rFonts w:ascii="Franklin Gothic Book" w:hAnsi="Franklin Gothic Book"/>
          <w:sz w:val="22"/>
        </w:rPr>
        <w:t xml:space="preserve">Assuming a weighted average prevalence of 10% would increase the cost per </w:t>
      </w:r>
      <w:r w:rsidR="0036148B" w:rsidRPr="00353AB8">
        <w:rPr>
          <w:rFonts w:ascii="Franklin Gothic Book" w:hAnsi="Franklin Gothic Book"/>
          <w:sz w:val="22"/>
        </w:rPr>
        <w:t>futibatinib patient identified to $2,100</w:t>
      </w:r>
      <w:r w:rsidR="004642AA" w:rsidRPr="00353AB8">
        <w:rPr>
          <w:rFonts w:ascii="Franklin Gothic Book" w:hAnsi="Franklin Gothic Book"/>
          <w:sz w:val="22"/>
        </w:rPr>
        <w:t xml:space="preserve"> and increased the ICER by </w:t>
      </w:r>
      <w:r w:rsidR="008D7C1A" w:rsidRPr="008D7C1A">
        <w:rPr>
          <w:rFonts w:ascii="Franklin Gothic Book" w:hAnsi="Franklin Gothic Book"/>
          <w:b/>
          <w:bCs/>
          <w:sz w:val="22"/>
        </w:rPr>
        <w:t>Redacted</w:t>
      </w:r>
      <w:r w:rsidR="004642AA" w:rsidRPr="00353AB8">
        <w:rPr>
          <w:rFonts w:ascii="Franklin Gothic Book" w:hAnsi="Franklin Gothic Book"/>
          <w:sz w:val="22"/>
        </w:rPr>
        <w:t>%</w:t>
      </w:r>
      <w:r w:rsidR="0036148B" w:rsidRPr="00353AB8">
        <w:rPr>
          <w:rFonts w:ascii="Franklin Gothic Book" w:hAnsi="Franklin Gothic Book"/>
          <w:sz w:val="22"/>
        </w:rPr>
        <w:t>.</w:t>
      </w:r>
      <w:r w:rsidR="0036148B" w:rsidRPr="00353AB8">
        <w:rPr>
          <w:rFonts w:ascii="Franklin Gothic Book" w:hAnsi="Franklin Gothic Book"/>
          <w:i/>
          <w:iCs/>
          <w:sz w:val="22"/>
        </w:rPr>
        <w:t xml:space="preserve"> </w:t>
      </w:r>
    </w:p>
    <w:p w14:paraId="74471901" w14:textId="205324CF" w:rsidR="00321F16" w:rsidRPr="00353AB8" w:rsidRDefault="00BA15E1" w:rsidP="00353AB8">
      <w:pPr>
        <w:pStyle w:val="MSACESParagraph"/>
        <w:rPr>
          <w:rFonts w:ascii="Franklin Gothic Book" w:hAnsi="Franklin Gothic Book"/>
          <w:i/>
          <w:iCs/>
          <w:sz w:val="22"/>
        </w:rPr>
      </w:pPr>
      <w:r w:rsidRPr="00353AB8">
        <w:rPr>
          <w:rFonts w:ascii="Franklin Gothic Book" w:hAnsi="Franklin Gothic Book"/>
          <w:sz w:val="22"/>
        </w:rPr>
        <w:t>Consistent with the MBS item descriptor, the submission assumed only one test per lifetime. Th</w:t>
      </w:r>
      <w:r w:rsidR="00BA5DEA" w:rsidRPr="00353AB8">
        <w:rPr>
          <w:rFonts w:ascii="Franklin Gothic Book" w:hAnsi="Franklin Gothic Book"/>
          <w:sz w:val="22"/>
        </w:rPr>
        <w:t xml:space="preserve">e </w:t>
      </w:r>
      <w:r w:rsidR="00522BF3" w:rsidRPr="00353AB8">
        <w:rPr>
          <w:rFonts w:ascii="Franklin Gothic Book" w:hAnsi="Franklin Gothic Book"/>
          <w:sz w:val="22"/>
        </w:rPr>
        <w:t>commentary</w:t>
      </w:r>
      <w:r w:rsidR="00BA5DEA" w:rsidRPr="00353AB8">
        <w:rPr>
          <w:rFonts w:ascii="Franklin Gothic Book" w:hAnsi="Franklin Gothic Book"/>
          <w:sz w:val="22"/>
        </w:rPr>
        <w:t xml:space="preserve"> considered that this</w:t>
      </w:r>
      <w:r w:rsidRPr="00353AB8">
        <w:rPr>
          <w:rFonts w:ascii="Franklin Gothic Book" w:hAnsi="Franklin Gothic Book"/>
          <w:sz w:val="22"/>
        </w:rPr>
        <w:t xml:space="preserve"> was reasonable. However, given concerns regarding the stability of the biomarker</w:t>
      </w:r>
      <w:r w:rsidR="00552CDB" w:rsidRPr="00353AB8">
        <w:rPr>
          <w:rFonts w:ascii="Franklin Gothic Book" w:hAnsi="Franklin Gothic Book"/>
          <w:sz w:val="22"/>
        </w:rPr>
        <w:t xml:space="preserve"> and RNA in FFPE</w:t>
      </w:r>
      <w:r w:rsidRPr="00353AB8">
        <w:rPr>
          <w:rFonts w:ascii="Franklin Gothic Book" w:hAnsi="Franklin Gothic Book"/>
          <w:sz w:val="22"/>
        </w:rPr>
        <w:t xml:space="preserve">, it is possible that some patients may benefit from later testing especially if they were first tested in an earlier setting. Nonetheless, doubling </w:t>
      </w:r>
      <w:r w:rsidRPr="00353AB8">
        <w:rPr>
          <w:rFonts w:ascii="Franklin Gothic Book" w:hAnsi="Franklin Gothic Book"/>
          <w:i/>
          <w:iCs/>
          <w:sz w:val="22"/>
        </w:rPr>
        <w:t>FGFR2</w:t>
      </w:r>
      <w:r w:rsidRPr="00353AB8">
        <w:rPr>
          <w:rFonts w:ascii="Franklin Gothic Book" w:hAnsi="Franklin Gothic Book"/>
          <w:sz w:val="22"/>
        </w:rPr>
        <w:t xml:space="preserve"> test cost and assuming 100% of tests were conducted on the MBS had only a small impact (</w:t>
      </w:r>
      <w:r w:rsidR="008D7C1A" w:rsidRPr="008D7C1A">
        <w:rPr>
          <w:rFonts w:ascii="Franklin Gothic Book" w:hAnsi="Franklin Gothic Book"/>
          <w:b/>
          <w:bCs/>
          <w:sz w:val="22"/>
        </w:rPr>
        <w:t>Redacted</w:t>
      </w:r>
      <w:r w:rsidRPr="00353AB8">
        <w:rPr>
          <w:rFonts w:ascii="Franklin Gothic Book" w:hAnsi="Franklin Gothic Book"/>
          <w:sz w:val="22"/>
        </w:rPr>
        <w:t>%) on the ICER</w:t>
      </w:r>
      <w:r w:rsidRPr="00353AB8">
        <w:rPr>
          <w:rFonts w:ascii="Franklin Gothic Book" w:hAnsi="Franklin Gothic Book"/>
          <w:i/>
          <w:iCs/>
          <w:sz w:val="22"/>
        </w:rPr>
        <w:t xml:space="preserve">. </w:t>
      </w:r>
    </w:p>
    <w:p w14:paraId="37B8B7B7" w14:textId="448637FB" w:rsidR="00BA15E1" w:rsidRPr="00353AB8" w:rsidRDefault="001F5863" w:rsidP="00353AB8">
      <w:pPr>
        <w:pStyle w:val="MSACESParagraph"/>
        <w:rPr>
          <w:rFonts w:ascii="Franklin Gothic Book" w:hAnsi="Franklin Gothic Book" w:cstheme="minorHAnsi"/>
          <w:sz w:val="22"/>
        </w:rPr>
      </w:pPr>
      <w:r w:rsidRPr="001F5863">
        <w:rPr>
          <w:rFonts w:ascii="Franklin Gothic Book" w:hAnsi="Franklin Gothic Book" w:cstheme="minorHAnsi"/>
          <w:sz w:val="22"/>
        </w:rPr>
        <w:fldChar w:fldCharType="begin"/>
      </w:r>
      <w:r w:rsidRPr="001F5863">
        <w:rPr>
          <w:rFonts w:ascii="Franklin Gothic Book" w:hAnsi="Franklin Gothic Book" w:cstheme="minorHAnsi"/>
          <w:sz w:val="22"/>
        </w:rPr>
        <w:instrText xml:space="preserve"> REF _Ref198447590  \* MERGEFORMAT </w:instrText>
      </w:r>
      <w:r w:rsidRPr="001F5863">
        <w:rPr>
          <w:rFonts w:ascii="Franklin Gothic Book" w:hAnsi="Franklin Gothic Book" w:cstheme="minorHAnsi"/>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16</w:t>
      </w:r>
      <w:r w:rsidRPr="001F5863">
        <w:rPr>
          <w:rFonts w:ascii="Franklin Gothic Book" w:hAnsi="Franklin Gothic Book" w:cstheme="minorHAnsi"/>
          <w:sz w:val="22"/>
        </w:rPr>
        <w:fldChar w:fldCharType="end"/>
      </w:r>
      <w:r w:rsidR="009A25D0" w:rsidRPr="00353AB8">
        <w:rPr>
          <w:rFonts w:ascii="Franklin Gothic Book" w:hAnsi="Franklin Gothic Book" w:cstheme="minorHAnsi"/>
          <w:sz w:val="22"/>
        </w:rPr>
        <w:t xml:space="preserve"> </w:t>
      </w:r>
      <w:r w:rsidR="00BA15E1" w:rsidRPr="00353AB8">
        <w:rPr>
          <w:rFonts w:ascii="Franklin Gothic Book" w:hAnsi="Franklin Gothic Book" w:cstheme="minorHAnsi"/>
          <w:sz w:val="22"/>
        </w:rPr>
        <w:t xml:space="preserve">presents the estimation of </w:t>
      </w:r>
      <w:r w:rsidR="00BA15E1" w:rsidRPr="00353AB8">
        <w:rPr>
          <w:rFonts w:ascii="Franklin Gothic Book" w:hAnsi="Franklin Gothic Book" w:cstheme="minorHAnsi"/>
          <w:i/>
          <w:iCs/>
          <w:sz w:val="22"/>
        </w:rPr>
        <w:t>FGFR2</w:t>
      </w:r>
      <w:r w:rsidR="00BA15E1" w:rsidRPr="00353AB8">
        <w:rPr>
          <w:rFonts w:ascii="Franklin Gothic Book" w:hAnsi="Franklin Gothic Book" w:cstheme="minorHAnsi"/>
          <w:sz w:val="22"/>
        </w:rPr>
        <w:t xml:space="preserve"> testing costs in the economic evaluation. </w:t>
      </w:r>
    </w:p>
    <w:p w14:paraId="7C5DB73E" w14:textId="41CFEE75" w:rsidR="00BA15E1" w:rsidRPr="00B27879" w:rsidRDefault="009D316D" w:rsidP="009D316D">
      <w:pPr>
        <w:pStyle w:val="Caption"/>
      </w:pPr>
      <w:bookmarkStart w:id="60" w:name="_Ref198447590"/>
      <w:bookmarkStart w:id="61" w:name="_Ref187699264"/>
      <w:r>
        <w:lastRenderedPageBreak/>
        <w:t xml:space="preserve">Table </w:t>
      </w:r>
      <w:r>
        <w:fldChar w:fldCharType="begin"/>
      </w:r>
      <w:r>
        <w:instrText>SEQ Table \* ARABIC</w:instrText>
      </w:r>
      <w:r>
        <w:fldChar w:fldCharType="separate"/>
      </w:r>
      <w:r w:rsidR="005B1C7E">
        <w:rPr>
          <w:noProof/>
        </w:rPr>
        <w:t>16</w:t>
      </w:r>
      <w:r>
        <w:fldChar w:fldCharType="end"/>
      </w:r>
      <w:bookmarkEnd w:id="60"/>
      <w:r>
        <w:tab/>
      </w:r>
      <w:bookmarkEnd w:id="61"/>
      <w:r w:rsidR="00BA15E1" w:rsidRPr="00B27879">
        <w:t>FGFR2 Genetic testing costs</w:t>
      </w:r>
    </w:p>
    <w:tbl>
      <w:tblPr>
        <w:tblStyle w:val="ASDTable1"/>
        <w:tblW w:w="9340" w:type="dxa"/>
        <w:tblLook w:val="04A0" w:firstRow="1" w:lastRow="0" w:firstColumn="1" w:lastColumn="0" w:noHBand="0" w:noVBand="1"/>
      </w:tblPr>
      <w:tblGrid>
        <w:gridCol w:w="5027"/>
        <w:gridCol w:w="1571"/>
        <w:gridCol w:w="1346"/>
        <w:gridCol w:w="1396"/>
      </w:tblGrid>
      <w:tr w:rsidR="007900E9" w:rsidRPr="00B27879" w14:paraId="5EFBF0EF" w14:textId="77777777" w:rsidTr="2914E55D">
        <w:trPr>
          <w:trHeight w:val="20"/>
        </w:trPr>
        <w:tc>
          <w:tcPr>
            <w:tcW w:w="5027" w:type="dxa"/>
            <w:noWrap/>
          </w:tcPr>
          <w:p w14:paraId="324BBF0F" w14:textId="77777777" w:rsidR="00BA15E1" w:rsidRPr="00B27879" w:rsidRDefault="00BA15E1" w:rsidP="00FE3A7F">
            <w:pPr>
              <w:pStyle w:val="TableText"/>
              <w:keepNext/>
              <w:keepLines/>
              <w:rPr>
                <w:b/>
                <w:bCs/>
              </w:rPr>
            </w:pPr>
            <w:r w:rsidRPr="00B27879">
              <w:rPr>
                <w:b/>
                <w:bCs/>
              </w:rPr>
              <w:t>Description</w:t>
            </w:r>
          </w:p>
        </w:tc>
        <w:tc>
          <w:tcPr>
            <w:tcW w:w="1571" w:type="dxa"/>
            <w:noWrap/>
            <w:vAlign w:val="center"/>
          </w:tcPr>
          <w:p w14:paraId="1EED794B" w14:textId="77777777" w:rsidR="00BA15E1" w:rsidRPr="00B27879" w:rsidRDefault="00BA15E1" w:rsidP="00FE3A7F">
            <w:pPr>
              <w:pStyle w:val="TableText"/>
              <w:keepNext/>
              <w:keepLines/>
              <w:jc w:val="center"/>
              <w:rPr>
                <w:b/>
                <w:bCs/>
              </w:rPr>
            </w:pPr>
            <w:r w:rsidRPr="00B27879">
              <w:rPr>
                <w:b/>
                <w:bCs/>
              </w:rPr>
              <w:t>Amount</w:t>
            </w:r>
          </w:p>
        </w:tc>
        <w:tc>
          <w:tcPr>
            <w:tcW w:w="1346" w:type="dxa"/>
            <w:noWrap/>
            <w:vAlign w:val="center"/>
          </w:tcPr>
          <w:p w14:paraId="1752F9BB" w14:textId="77777777" w:rsidR="00BA15E1" w:rsidRPr="00B27879" w:rsidRDefault="00BA15E1" w:rsidP="00FE3A7F">
            <w:pPr>
              <w:pStyle w:val="TableText"/>
              <w:keepNext/>
              <w:keepLines/>
              <w:jc w:val="center"/>
              <w:rPr>
                <w:b/>
                <w:bCs/>
              </w:rPr>
            </w:pPr>
            <w:r w:rsidRPr="00B27879">
              <w:rPr>
                <w:b/>
                <w:bCs/>
              </w:rPr>
              <w:t>Proportion</w:t>
            </w:r>
          </w:p>
        </w:tc>
        <w:tc>
          <w:tcPr>
            <w:tcW w:w="1396" w:type="dxa"/>
            <w:noWrap/>
            <w:vAlign w:val="center"/>
          </w:tcPr>
          <w:p w14:paraId="65433959" w14:textId="77777777" w:rsidR="00BA15E1" w:rsidRPr="00B27879" w:rsidRDefault="00BA15E1" w:rsidP="00FE3A7F">
            <w:pPr>
              <w:pStyle w:val="TableText"/>
              <w:keepNext/>
              <w:keepLines/>
              <w:jc w:val="center"/>
              <w:rPr>
                <w:b/>
                <w:bCs/>
              </w:rPr>
            </w:pPr>
            <w:r w:rsidRPr="00B27879">
              <w:rPr>
                <w:b/>
                <w:bCs/>
              </w:rPr>
              <w:t>Totals</w:t>
            </w:r>
          </w:p>
        </w:tc>
      </w:tr>
      <w:tr w:rsidR="007900E9" w:rsidRPr="00B27879" w14:paraId="22ECEF6D" w14:textId="77777777" w:rsidTr="2914E55D">
        <w:trPr>
          <w:trHeight w:val="20"/>
        </w:trPr>
        <w:tc>
          <w:tcPr>
            <w:tcW w:w="5027" w:type="dxa"/>
            <w:noWrap/>
            <w:hideMark/>
          </w:tcPr>
          <w:p w14:paraId="0256E65B" w14:textId="538BCE0D" w:rsidR="00BA15E1" w:rsidRPr="00B27879" w:rsidRDefault="00BA15E1" w:rsidP="00FE3A7F">
            <w:pPr>
              <w:pStyle w:val="TableText"/>
              <w:keepNext/>
              <w:keepLines/>
            </w:pPr>
            <w:r w:rsidRPr="00B27879">
              <w:t>Genetic testing costs (RNA)</w:t>
            </w:r>
            <w:r w:rsidR="00D96BB0">
              <w:t xml:space="preserve"> MBS</w:t>
            </w:r>
          </w:p>
        </w:tc>
        <w:tc>
          <w:tcPr>
            <w:tcW w:w="1571" w:type="dxa"/>
            <w:noWrap/>
            <w:vAlign w:val="center"/>
            <w:hideMark/>
          </w:tcPr>
          <w:p w14:paraId="5ACFE941" w14:textId="7C1C605A" w:rsidR="00BA15E1" w:rsidRPr="00B27879" w:rsidRDefault="00BA15E1" w:rsidP="00FE3A7F">
            <w:pPr>
              <w:pStyle w:val="TableText"/>
              <w:keepNext/>
              <w:keepLines/>
              <w:jc w:val="center"/>
            </w:pPr>
            <w:r w:rsidRPr="00B27879">
              <w:t>$350.00</w:t>
            </w:r>
          </w:p>
        </w:tc>
        <w:tc>
          <w:tcPr>
            <w:tcW w:w="1346" w:type="dxa"/>
            <w:noWrap/>
            <w:vAlign w:val="center"/>
            <w:hideMark/>
          </w:tcPr>
          <w:p w14:paraId="7534454B" w14:textId="67A94465" w:rsidR="00BA15E1" w:rsidRPr="00B27879" w:rsidRDefault="00BA15E1" w:rsidP="00FE3A7F">
            <w:pPr>
              <w:pStyle w:val="TableText"/>
              <w:keepNext/>
              <w:keepLines/>
              <w:jc w:val="center"/>
            </w:pPr>
            <w:r w:rsidRPr="00B27879">
              <w:t>60%</w:t>
            </w:r>
          </w:p>
        </w:tc>
        <w:tc>
          <w:tcPr>
            <w:tcW w:w="1396" w:type="dxa"/>
            <w:noWrap/>
            <w:vAlign w:val="center"/>
            <w:hideMark/>
          </w:tcPr>
          <w:p w14:paraId="7153478D" w14:textId="63B1BF84" w:rsidR="00BA15E1" w:rsidRPr="00B27879" w:rsidRDefault="00BA15E1" w:rsidP="00FE3A7F">
            <w:pPr>
              <w:pStyle w:val="TableText"/>
              <w:keepNext/>
              <w:keepLines/>
              <w:jc w:val="center"/>
            </w:pPr>
            <w:r w:rsidRPr="00B27879">
              <w:t>$210.00</w:t>
            </w:r>
          </w:p>
        </w:tc>
      </w:tr>
      <w:tr w:rsidR="007900E9" w:rsidRPr="00B27879" w14:paraId="66070D69" w14:textId="77777777" w:rsidTr="2914E55D">
        <w:trPr>
          <w:trHeight w:val="20"/>
        </w:trPr>
        <w:tc>
          <w:tcPr>
            <w:tcW w:w="5027" w:type="dxa"/>
            <w:noWrap/>
            <w:hideMark/>
          </w:tcPr>
          <w:p w14:paraId="76A9DE2B" w14:textId="5FCC7B69" w:rsidR="00BA15E1" w:rsidRPr="00B27879" w:rsidRDefault="00BA15E1" w:rsidP="2914E55D">
            <w:pPr>
              <w:pStyle w:val="TableText"/>
              <w:keepNext/>
              <w:keepLines/>
            </w:pPr>
            <w:r w:rsidRPr="2914E55D">
              <w:t>Genetic testing costs (RNA) Omico</w:t>
            </w:r>
          </w:p>
        </w:tc>
        <w:tc>
          <w:tcPr>
            <w:tcW w:w="1571" w:type="dxa"/>
            <w:noWrap/>
            <w:vAlign w:val="center"/>
            <w:hideMark/>
          </w:tcPr>
          <w:p w14:paraId="6DBD12F3" w14:textId="77777777" w:rsidR="00BA15E1" w:rsidRPr="00B27879" w:rsidRDefault="00BA15E1" w:rsidP="00FE3A7F">
            <w:pPr>
              <w:pStyle w:val="TableText"/>
              <w:keepNext/>
              <w:keepLines/>
              <w:jc w:val="center"/>
            </w:pPr>
            <w:r w:rsidRPr="00B27879">
              <w:t>$0.00</w:t>
            </w:r>
          </w:p>
        </w:tc>
        <w:tc>
          <w:tcPr>
            <w:tcW w:w="1346" w:type="dxa"/>
            <w:noWrap/>
            <w:vAlign w:val="center"/>
            <w:hideMark/>
          </w:tcPr>
          <w:p w14:paraId="098CF3BC" w14:textId="350D0937" w:rsidR="00BA15E1" w:rsidRPr="00B27879" w:rsidRDefault="00BA15E1" w:rsidP="00FE3A7F">
            <w:pPr>
              <w:pStyle w:val="TableText"/>
              <w:keepNext/>
              <w:keepLines/>
              <w:jc w:val="center"/>
            </w:pPr>
            <w:r w:rsidRPr="00B27879">
              <w:t>40%</w:t>
            </w:r>
          </w:p>
        </w:tc>
        <w:tc>
          <w:tcPr>
            <w:tcW w:w="1396" w:type="dxa"/>
            <w:noWrap/>
            <w:vAlign w:val="center"/>
            <w:hideMark/>
          </w:tcPr>
          <w:p w14:paraId="7F6F25B8" w14:textId="77777777" w:rsidR="00BA15E1" w:rsidRPr="00B27879" w:rsidRDefault="00BA15E1" w:rsidP="00FE3A7F">
            <w:pPr>
              <w:pStyle w:val="TableText"/>
              <w:keepNext/>
              <w:keepLines/>
              <w:jc w:val="center"/>
            </w:pPr>
            <w:r w:rsidRPr="00B27879">
              <w:t>$0.00</w:t>
            </w:r>
          </w:p>
        </w:tc>
      </w:tr>
      <w:tr w:rsidR="007900E9" w:rsidRPr="00B27879" w14:paraId="1EEA2F6C" w14:textId="77777777" w:rsidTr="2914E55D">
        <w:trPr>
          <w:trHeight w:val="20"/>
        </w:trPr>
        <w:tc>
          <w:tcPr>
            <w:tcW w:w="5027" w:type="dxa"/>
            <w:noWrap/>
            <w:hideMark/>
          </w:tcPr>
          <w:p w14:paraId="379A61DE" w14:textId="77777777" w:rsidR="00BA15E1" w:rsidRPr="00B27879" w:rsidRDefault="00BA15E1" w:rsidP="00FE3A7F">
            <w:pPr>
              <w:pStyle w:val="TableText"/>
              <w:keepNext/>
              <w:keepLines/>
            </w:pPr>
            <w:r w:rsidRPr="00B27879">
              <w:t>Weighted test cost</w:t>
            </w:r>
          </w:p>
        </w:tc>
        <w:tc>
          <w:tcPr>
            <w:tcW w:w="1571" w:type="dxa"/>
            <w:noWrap/>
            <w:vAlign w:val="center"/>
            <w:hideMark/>
          </w:tcPr>
          <w:p w14:paraId="38A94AA1" w14:textId="77777777" w:rsidR="00BA15E1" w:rsidRPr="00B27879" w:rsidRDefault="00BA15E1" w:rsidP="00FE3A7F">
            <w:pPr>
              <w:pStyle w:val="TableText"/>
              <w:keepNext/>
              <w:keepLines/>
              <w:jc w:val="center"/>
            </w:pPr>
          </w:p>
        </w:tc>
        <w:tc>
          <w:tcPr>
            <w:tcW w:w="1346" w:type="dxa"/>
            <w:noWrap/>
            <w:vAlign w:val="center"/>
            <w:hideMark/>
          </w:tcPr>
          <w:p w14:paraId="51A0D92E" w14:textId="77777777" w:rsidR="00BA15E1" w:rsidRPr="00B27879" w:rsidRDefault="00BA15E1" w:rsidP="00FE3A7F">
            <w:pPr>
              <w:pStyle w:val="TableText"/>
              <w:keepNext/>
              <w:keepLines/>
              <w:jc w:val="center"/>
            </w:pPr>
          </w:p>
        </w:tc>
        <w:tc>
          <w:tcPr>
            <w:tcW w:w="1396" w:type="dxa"/>
            <w:noWrap/>
            <w:vAlign w:val="center"/>
            <w:hideMark/>
          </w:tcPr>
          <w:p w14:paraId="22B8999F" w14:textId="502749C9" w:rsidR="00BA15E1" w:rsidRPr="00B27879" w:rsidRDefault="00BA15E1" w:rsidP="00FE3A7F">
            <w:pPr>
              <w:pStyle w:val="TableText"/>
              <w:keepNext/>
              <w:keepLines/>
              <w:jc w:val="center"/>
            </w:pPr>
            <w:r w:rsidRPr="00B27879">
              <w:t>$210.00</w:t>
            </w:r>
          </w:p>
        </w:tc>
      </w:tr>
      <w:tr w:rsidR="007900E9" w:rsidRPr="00B27879" w14:paraId="441281BE" w14:textId="77777777" w:rsidTr="2914E55D">
        <w:trPr>
          <w:trHeight w:val="20"/>
        </w:trPr>
        <w:tc>
          <w:tcPr>
            <w:tcW w:w="5027" w:type="dxa"/>
            <w:noWrap/>
            <w:hideMark/>
          </w:tcPr>
          <w:p w14:paraId="192A00BA" w14:textId="57B86E1C" w:rsidR="00BA15E1" w:rsidRPr="00B27879" w:rsidRDefault="00BA15E1" w:rsidP="2914E55D">
            <w:pPr>
              <w:pStyle w:val="TableText"/>
              <w:keepNext/>
              <w:keepLines/>
            </w:pPr>
            <w:r w:rsidRPr="2914E55D">
              <w:t>Proportion of people tested eligible for treatment with futibatinib</w:t>
            </w:r>
          </w:p>
          <w:p w14:paraId="7B6AA5C6" w14:textId="77777777" w:rsidR="00BA15E1" w:rsidRPr="00B27879" w:rsidRDefault="00BA15E1" w:rsidP="00FE3A7F">
            <w:pPr>
              <w:pStyle w:val="TableText"/>
              <w:keepNext/>
              <w:keepLines/>
            </w:pPr>
            <w:r w:rsidRPr="00B27879">
              <w:t>(diagnostic yield)</w:t>
            </w:r>
          </w:p>
        </w:tc>
        <w:tc>
          <w:tcPr>
            <w:tcW w:w="1571" w:type="dxa"/>
            <w:noWrap/>
            <w:vAlign w:val="center"/>
            <w:hideMark/>
          </w:tcPr>
          <w:p w14:paraId="4566A4B3" w14:textId="77777777" w:rsidR="00BA15E1" w:rsidRPr="00B27879" w:rsidRDefault="00BA15E1" w:rsidP="00FE3A7F">
            <w:pPr>
              <w:pStyle w:val="TableText"/>
              <w:keepNext/>
              <w:keepLines/>
              <w:jc w:val="center"/>
            </w:pPr>
          </w:p>
        </w:tc>
        <w:tc>
          <w:tcPr>
            <w:tcW w:w="1346" w:type="dxa"/>
            <w:noWrap/>
            <w:vAlign w:val="center"/>
            <w:hideMark/>
          </w:tcPr>
          <w:p w14:paraId="0DC945F7" w14:textId="77777777" w:rsidR="00BA15E1" w:rsidRPr="00B27879" w:rsidRDefault="00BA15E1" w:rsidP="00FE3A7F">
            <w:pPr>
              <w:pStyle w:val="TableText"/>
              <w:keepNext/>
              <w:keepLines/>
              <w:jc w:val="center"/>
            </w:pPr>
          </w:p>
        </w:tc>
        <w:tc>
          <w:tcPr>
            <w:tcW w:w="1396" w:type="dxa"/>
            <w:noWrap/>
            <w:vAlign w:val="center"/>
            <w:hideMark/>
          </w:tcPr>
          <w:p w14:paraId="7D8DCD86" w14:textId="77777777" w:rsidR="00BA15E1" w:rsidRPr="00B27879" w:rsidRDefault="00BA15E1" w:rsidP="00FE3A7F">
            <w:pPr>
              <w:pStyle w:val="TableText"/>
              <w:keepNext/>
              <w:keepLines/>
              <w:jc w:val="center"/>
            </w:pPr>
            <w:r w:rsidRPr="00B27879">
              <w:t>20.00%</w:t>
            </w:r>
          </w:p>
        </w:tc>
      </w:tr>
      <w:tr w:rsidR="007900E9" w:rsidRPr="00B27879" w14:paraId="0A44A7A2" w14:textId="77777777" w:rsidTr="2914E55D">
        <w:trPr>
          <w:trHeight w:val="20"/>
        </w:trPr>
        <w:tc>
          <w:tcPr>
            <w:tcW w:w="5027" w:type="dxa"/>
            <w:noWrap/>
            <w:hideMark/>
          </w:tcPr>
          <w:p w14:paraId="15083DCD" w14:textId="3D685CD8" w:rsidR="00BA15E1" w:rsidRPr="00B27879" w:rsidRDefault="00BA15E1" w:rsidP="00FE3A7F">
            <w:pPr>
              <w:pStyle w:val="TableText"/>
              <w:keepNext/>
              <w:keepLines/>
            </w:pPr>
            <w:r w:rsidRPr="2914E55D">
              <w:t>Cost per futibatinib patient identified in submission base case</w:t>
            </w:r>
          </w:p>
        </w:tc>
        <w:tc>
          <w:tcPr>
            <w:tcW w:w="1571" w:type="dxa"/>
            <w:noWrap/>
            <w:hideMark/>
          </w:tcPr>
          <w:p w14:paraId="7837AAE6" w14:textId="77777777" w:rsidR="00BA15E1" w:rsidRPr="00B27879" w:rsidRDefault="00BA15E1" w:rsidP="00FE3A7F">
            <w:pPr>
              <w:pStyle w:val="TableText"/>
              <w:keepNext/>
              <w:keepLines/>
            </w:pPr>
          </w:p>
        </w:tc>
        <w:tc>
          <w:tcPr>
            <w:tcW w:w="1346" w:type="dxa"/>
            <w:noWrap/>
            <w:hideMark/>
          </w:tcPr>
          <w:p w14:paraId="0AA43A0F" w14:textId="77777777" w:rsidR="00BA15E1" w:rsidRPr="00B27879" w:rsidRDefault="00BA15E1" w:rsidP="00FE3A7F">
            <w:pPr>
              <w:pStyle w:val="TableText"/>
              <w:keepNext/>
              <w:keepLines/>
            </w:pPr>
          </w:p>
        </w:tc>
        <w:tc>
          <w:tcPr>
            <w:tcW w:w="1396" w:type="dxa"/>
            <w:noWrap/>
            <w:vAlign w:val="center"/>
            <w:hideMark/>
          </w:tcPr>
          <w:p w14:paraId="595418B4" w14:textId="0E4696D0" w:rsidR="00BA15E1" w:rsidRPr="00B27879" w:rsidRDefault="00BA15E1" w:rsidP="00FE3A7F">
            <w:pPr>
              <w:pStyle w:val="TableText"/>
              <w:keepNext/>
              <w:keepLines/>
              <w:jc w:val="center"/>
            </w:pPr>
            <w:r w:rsidRPr="00B27879">
              <w:t>$1,050.00</w:t>
            </w:r>
          </w:p>
        </w:tc>
      </w:tr>
      <w:tr w:rsidR="007900E9" w:rsidRPr="00B27879" w14:paraId="018F3C2C" w14:textId="77777777" w:rsidTr="2914E55D">
        <w:trPr>
          <w:trHeight w:val="20"/>
        </w:trPr>
        <w:tc>
          <w:tcPr>
            <w:tcW w:w="5027" w:type="dxa"/>
            <w:noWrap/>
          </w:tcPr>
          <w:p w14:paraId="06DF9718" w14:textId="37F731AB" w:rsidR="00BA15E1" w:rsidRPr="00B27879" w:rsidRDefault="00BA15E1" w:rsidP="00FE3A7F">
            <w:pPr>
              <w:pStyle w:val="TableText"/>
              <w:keepNext/>
              <w:keepLines/>
            </w:pPr>
            <w:r w:rsidRPr="2914E55D">
              <w:t>Cost per futibatinib patient identified assuming 100% MBS</w:t>
            </w:r>
          </w:p>
        </w:tc>
        <w:tc>
          <w:tcPr>
            <w:tcW w:w="1571" w:type="dxa"/>
            <w:noWrap/>
          </w:tcPr>
          <w:p w14:paraId="4AB431C2" w14:textId="77777777" w:rsidR="00BA15E1" w:rsidRPr="00B27879" w:rsidRDefault="00BA15E1" w:rsidP="00FE3A7F">
            <w:pPr>
              <w:pStyle w:val="TableText"/>
              <w:keepNext/>
              <w:keepLines/>
            </w:pPr>
          </w:p>
        </w:tc>
        <w:tc>
          <w:tcPr>
            <w:tcW w:w="1346" w:type="dxa"/>
            <w:noWrap/>
          </w:tcPr>
          <w:p w14:paraId="7DE5C899" w14:textId="77777777" w:rsidR="00BA15E1" w:rsidRPr="00B27879" w:rsidRDefault="00BA15E1" w:rsidP="00FE3A7F">
            <w:pPr>
              <w:pStyle w:val="TableText"/>
              <w:keepNext/>
              <w:keepLines/>
            </w:pPr>
          </w:p>
        </w:tc>
        <w:tc>
          <w:tcPr>
            <w:tcW w:w="1396" w:type="dxa"/>
            <w:noWrap/>
            <w:vAlign w:val="center"/>
          </w:tcPr>
          <w:p w14:paraId="734D8FB6" w14:textId="45146787" w:rsidR="00BA15E1" w:rsidRPr="00B27879" w:rsidRDefault="00BA15E1" w:rsidP="00FE3A7F">
            <w:pPr>
              <w:pStyle w:val="TableText"/>
              <w:keepNext/>
              <w:keepLines/>
              <w:jc w:val="center"/>
              <w:rPr>
                <w:i/>
                <w:iCs/>
              </w:rPr>
            </w:pPr>
            <w:r w:rsidRPr="00B27879">
              <w:rPr>
                <w:i/>
                <w:iCs/>
              </w:rPr>
              <w:t>$1,750.00</w:t>
            </w:r>
          </w:p>
        </w:tc>
      </w:tr>
    </w:tbl>
    <w:p w14:paraId="6F040B9E" w14:textId="77777777" w:rsidR="00BA15E1" w:rsidRPr="00B27879" w:rsidRDefault="00BA15E1" w:rsidP="00BA15E1">
      <w:pPr>
        <w:pStyle w:val="TableFooter"/>
        <w:keepNext/>
        <w:keepLines/>
      </w:pPr>
      <w:r w:rsidRPr="00B27879">
        <w:t>Source: Table 3.17, p218 of the submission.</w:t>
      </w:r>
    </w:p>
    <w:p w14:paraId="093EAFFA" w14:textId="679811B5" w:rsidR="00BA15E1" w:rsidRPr="00B27879" w:rsidRDefault="00BA15E1" w:rsidP="00BA15E1">
      <w:pPr>
        <w:pStyle w:val="TableFooter"/>
        <w:keepNext/>
        <w:keepLines/>
      </w:pPr>
      <w:r w:rsidRPr="2914E55D">
        <w:t>Text in italics indicate values calculated during the evaluation.</w:t>
      </w:r>
    </w:p>
    <w:p w14:paraId="44F1C756" w14:textId="77777777" w:rsidR="00BA15E1" w:rsidRPr="00B27879" w:rsidRDefault="00BA15E1" w:rsidP="00D652F4">
      <w:pPr>
        <w:pStyle w:val="TableFooter"/>
        <w:keepNext/>
        <w:keepLines/>
        <w:spacing w:after="120"/>
      </w:pPr>
      <w:r w:rsidRPr="00B27879">
        <w:t>RNA = ribonucleic acid</w:t>
      </w:r>
    </w:p>
    <w:p w14:paraId="672AB4BD" w14:textId="5D5A13D6" w:rsidR="00BA15E1" w:rsidRPr="00353AB8" w:rsidRDefault="001F5863" w:rsidP="00353AB8">
      <w:pPr>
        <w:pStyle w:val="MSACESParagraph"/>
        <w:rPr>
          <w:rFonts w:ascii="Franklin Gothic Book" w:hAnsi="Franklin Gothic Book"/>
          <w:i/>
          <w:iCs/>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_Ref198447655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17</w:t>
      </w:r>
      <w:r w:rsidRPr="001F5863">
        <w:rPr>
          <w:rFonts w:ascii="Franklin Gothic Book" w:hAnsi="Franklin Gothic Book"/>
          <w:sz w:val="22"/>
        </w:rPr>
        <w:fldChar w:fldCharType="end"/>
      </w:r>
      <w:r>
        <w:rPr>
          <w:rFonts w:ascii="Franklin Gothic Book" w:hAnsi="Franklin Gothic Book"/>
          <w:sz w:val="22"/>
        </w:rPr>
        <w:t xml:space="preserve"> </w:t>
      </w:r>
      <w:r w:rsidR="00A050DB" w:rsidRPr="00353AB8">
        <w:rPr>
          <w:rFonts w:ascii="Franklin Gothic Book" w:hAnsi="Franklin Gothic Book"/>
          <w:sz w:val="22"/>
        </w:rPr>
        <w:t xml:space="preserve">presents the results of the stepped economic evaluation. During the </w:t>
      </w:r>
      <w:r w:rsidR="00522BF3" w:rsidRPr="00353AB8">
        <w:rPr>
          <w:rFonts w:ascii="Franklin Gothic Book" w:hAnsi="Franklin Gothic Book"/>
          <w:sz w:val="22"/>
        </w:rPr>
        <w:t>development of the commentary</w:t>
      </w:r>
      <w:r w:rsidR="00A050DB" w:rsidRPr="00353AB8">
        <w:rPr>
          <w:rFonts w:ascii="Franklin Gothic Book" w:hAnsi="Franklin Gothic Book"/>
          <w:sz w:val="22"/>
        </w:rPr>
        <w:t xml:space="preserve">, an error was identified in the application of the half-cycle correction, which has been corrected in the final estimates. Additionally, during the </w:t>
      </w:r>
      <w:r w:rsidR="00522BF3" w:rsidRPr="00353AB8">
        <w:rPr>
          <w:rFonts w:ascii="Franklin Gothic Book" w:hAnsi="Franklin Gothic Book"/>
          <w:sz w:val="22"/>
        </w:rPr>
        <w:t>development of the commentary</w:t>
      </w:r>
      <w:r w:rsidR="00A050DB" w:rsidRPr="00353AB8">
        <w:rPr>
          <w:rFonts w:ascii="Franklin Gothic Book" w:hAnsi="Franklin Gothic Book"/>
          <w:sz w:val="22"/>
        </w:rPr>
        <w:t>, the half cycle correction was removed for futibatinib costs.</w:t>
      </w:r>
      <w:r w:rsidR="00A050DB" w:rsidRPr="00353AB8">
        <w:rPr>
          <w:rFonts w:ascii="Franklin Gothic Book" w:hAnsi="Franklin Gothic Book"/>
          <w:i/>
          <w:iCs/>
          <w:sz w:val="22"/>
        </w:rPr>
        <w:t xml:space="preserve"> </w:t>
      </w:r>
    </w:p>
    <w:p w14:paraId="15035246" w14:textId="0CC0BEAC" w:rsidR="00A050DB" w:rsidRPr="00B27879" w:rsidRDefault="009D316D" w:rsidP="009D316D">
      <w:pPr>
        <w:pStyle w:val="Caption"/>
      </w:pPr>
      <w:bookmarkStart w:id="62" w:name="_Ref198447655"/>
      <w:bookmarkStart w:id="63" w:name="_Ref187742950"/>
      <w:r>
        <w:t xml:space="preserve">Table </w:t>
      </w:r>
      <w:r>
        <w:fldChar w:fldCharType="begin"/>
      </w:r>
      <w:r>
        <w:instrText>SEQ Table \* ARABIC</w:instrText>
      </w:r>
      <w:r>
        <w:fldChar w:fldCharType="separate"/>
      </w:r>
      <w:r w:rsidR="005B1C7E">
        <w:rPr>
          <w:noProof/>
        </w:rPr>
        <w:t>17</w:t>
      </w:r>
      <w:r>
        <w:fldChar w:fldCharType="end"/>
      </w:r>
      <w:bookmarkEnd w:id="62"/>
      <w:r>
        <w:tab/>
      </w:r>
      <w:bookmarkEnd w:id="63"/>
      <w:r w:rsidR="00A050DB" w:rsidRPr="00B27879">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7900E9" w:rsidRPr="00B27879" w14:paraId="1E0139CC" w14:textId="77777777" w:rsidTr="00FE3A7F">
        <w:trPr>
          <w:trHeight w:val="20"/>
          <w:tblHeader/>
        </w:trPr>
        <w:tc>
          <w:tcPr>
            <w:tcW w:w="1529" w:type="pct"/>
            <w:vAlign w:val="center"/>
          </w:tcPr>
          <w:p w14:paraId="3B7809AB" w14:textId="77777777" w:rsidR="00A050DB" w:rsidRPr="00B27879" w:rsidRDefault="00A050DB" w:rsidP="00FE3A7F">
            <w:pPr>
              <w:pStyle w:val="In-tableHeading"/>
              <w:rPr>
                <w:lang w:val="en-AU"/>
              </w:rPr>
            </w:pPr>
            <w:r w:rsidRPr="00B27879">
              <w:rPr>
                <w:lang w:val="en-AU"/>
              </w:rPr>
              <w:t>Step and component</w:t>
            </w:r>
          </w:p>
        </w:tc>
        <w:tc>
          <w:tcPr>
            <w:tcW w:w="1359" w:type="pct"/>
            <w:vAlign w:val="center"/>
          </w:tcPr>
          <w:p w14:paraId="0717AE7B" w14:textId="77777777" w:rsidR="00A050DB" w:rsidRPr="00B27879" w:rsidRDefault="00A050DB" w:rsidP="00FE3A7F">
            <w:pPr>
              <w:pStyle w:val="In-tableHeading"/>
              <w:jc w:val="center"/>
              <w:rPr>
                <w:lang w:val="en-AU"/>
              </w:rPr>
            </w:pPr>
            <w:r w:rsidRPr="00B27879">
              <w:rPr>
                <w:lang w:val="en-AU"/>
              </w:rPr>
              <w:t>Futibatinib</w:t>
            </w:r>
          </w:p>
        </w:tc>
        <w:tc>
          <w:tcPr>
            <w:tcW w:w="1274" w:type="pct"/>
            <w:vAlign w:val="center"/>
          </w:tcPr>
          <w:p w14:paraId="328D517E" w14:textId="77777777" w:rsidR="00A050DB" w:rsidRPr="00B27879" w:rsidRDefault="00A050DB" w:rsidP="00FE3A7F">
            <w:pPr>
              <w:pStyle w:val="In-tableHeading"/>
              <w:jc w:val="center"/>
              <w:rPr>
                <w:lang w:val="en-AU"/>
              </w:rPr>
            </w:pPr>
            <w:r w:rsidRPr="00B27879">
              <w:rPr>
                <w:lang w:val="en-AU"/>
              </w:rPr>
              <w:t>FOLFOX</w:t>
            </w:r>
          </w:p>
        </w:tc>
        <w:tc>
          <w:tcPr>
            <w:tcW w:w="838" w:type="pct"/>
            <w:vAlign w:val="center"/>
          </w:tcPr>
          <w:p w14:paraId="727C1A13" w14:textId="77777777" w:rsidR="00A050DB" w:rsidRPr="00B27879" w:rsidRDefault="00A050DB" w:rsidP="00FE3A7F">
            <w:pPr>
              <w:pStyle w:val="In-tableHeading"/>
              <w:jc w:val="center"/>
              <w:rPr>
                <w:lang w:val="en-AU"/>
              </w:rPr>
            </w:pPr>
            <w:r w:rsidRPr="00B27879">
              <w:rPr>
                <w:lang w:val="en-AU"/>
              </w:rPr>
              <w:t>Increment</w:t>
            </w:r>
          </w:p>
        </w:tc>
      </w:tr>
      <w:tr w:rsidR="007900E9" w:rsidRPr="00B27879" w14:paraId="67E6E754" w14:textId="77777777" w:rsidTr="00FE3A7F">
        <w:trPr>
          <w:trHeight w:val="20"/>
        </w:trPr>
        <w:tc>
          <w:tcPr>
            <w:tcW w:w="5000" w:type="pct"/>
            <w:gridSpan w:val="4"/>
            <w:vAlign w:val="center"/>
          </w:tcPr>
          <w:p w14:paraId="30131A5B" w14:textId="79DB84A8" w:rsidR="00A050DB" w:rsidRPr="00B27879" w:rsidRDefault="00A050DB" w:rsidP="00FE3A7F">
            <w:pPr>
              <w:pStyle w:val="TableText"/>
            </w:pPr>
            <w:r w:rsidRPr="00B27879">
              <w:t xml:space="preserve">Step 1: Based on the PFS and OS </w:t>
            </w:r>
            <w:r w:rsidR="00E67A4E" w:rsidRPr="00B27879">
              <w:t>data represented</w:t>
            </w:r>
            <w:r w:rsidRPr="00B27879">
              <w:t xml:space="preserve"> with parametric functions. Time horizon of 2 years (OS follow-up time in FOENIX-CCA2). Costs: Drug acquisition, drug administration and AE management</w:t>
            </w:r>
          </w:p>
        </w:tc>
      </w:tr>
      <w:tr w:rsidR="007900E9" w:rsidRPr="00B27879" w14:paraId="5B93A262" w14:textId="77777777" w:rsidTr="00FE3A7F">
        <w:trPr>
          <w:trHeight w:val="20"/>
        </w:trPr>
        <w:tc>
          <w:tcPr>
            <w:tcW w:w="1529" w:type="pct"/>
            <w:vAlign w:val="center"/>
          </w:tcPr>
          <w:p w14:paraId="20456C4A" w14:textId="77777777" w:rsidR="00A050DB" w:rsidRPr="00B27879" w:rsidRDefault="00A050DB" w:rsidP="00FE3A7F">
            <w:pPr>
              <w:pStyle w:val="TableText"/>
              <w:rPr>
                <w:rFonts w:ascii="Times" w:hAnsi="Times"/>
              </w:rPr>
            </w:pPr>
            <w:r w:rsidRPr="00B27879">
              <w:t>Costs</w:t>
            </w:r>
          </w:p>
        </w:tc>
        <w:tc>
          <w:tcPr>
            <w:tcW w:w="1359" w:type="pct"/>
            <w:vAlign w:val="center"/>
          </w:tcPr>
          <w:p w14:paraId="22582681" w14:textId="30B7E2B5" w:rsidR="00A050DB" w:rsidRPr="00B27879" w:rsidRDefault="00A050DB" w:rsidP="00FE3A7F">
            <w:pPr>
              <w:pStyle w:val="TableText"/>
              <w:jc w:val="center"/>
              <w:rPr>
                <w:rFonts w:ascii="Times" w:hAnsi="Times"/>
              </w:rPr>
            </w:pPr>
            <w:r w:rsidRPr="00B27879">
              <w:t>$</w:t>
            </w:r>
            <w:r w:rsidR="00860A80" w:rsidRPr="00860A80">
              <w:rPr>
                <w:b/>
                <w:bCs/>
              </w:rPr>
              <w:t>Redacted</w:t>
            </w:r>
          </w:p>
        </w:tc>
        <w:tc>
          <w:tcPr>
            <w:tcW w:w="1274" w:type="pct"/>
            <w:vAlign w:val="center"/>
          </w:tcPr>
          <w:p w14:paraId="2AC9F19D" w14:textId="77777777" w:rsidR="00A050DB" w:rsidRPr="00B27879" w:rsidRDefault="00A050DB" w:rsidP="00FE3A7F">
            <w:pPr>
              <w:pStyle w:val="TableText"/>
              <w:jc w:val="center"/>
              <w:rPr>
                <w:rFonts w:ascii="Times" w:hAnsi="Times"/>
              </w:rPr>
            </w:pPr>
            <w:r w:rsidRPr="00B27879">
              <w:t>$8,298</w:t>
            </w:r>
          </w:p>
        </w:tc>
        <w:tc>
          <w:tcPr>
            <w:tcW w:w="838" w:type="pct"/>
            <w:vAlign w:val="center"/>
          </w:tcPr>
          <w:p w14:paraId="2046EA34" w14:textId="1980F480" w:rsidR="00A050DB" w:rsidRPr="00B27879" w:rsidRDefault="00A050DB" w:rsidP="00FE3A7F">
            <w:pPr>
              <w:pStyle w:val="TableText"/>
              <w:jc w:val="center"/>
              <w:rPr>
                <w:rFonts w:ascii="Times" w:hAnsi="Times"/>
              </w:rPr>
            </w:pPr>
            <w:r w:rsidRPr="00B27879">
              <w:t>$</w:t>
            </w:r>
            <w:r w:rsidR="00860A80" w:rsidRPr="00860A80">
              <w:rPr>
                <w:b/>
                <w:bCs/>
              </w:rPr>
              <w:t>Redacted</w:t>
            </w:r>
          </w:p>
        </w:tc>
      </w:tr>
      <w:tr w:rsidR="007900E9" w:rsidRPr="00B27879" w14:paraId="7A6D7BA0" w14:textId="77777777" w:rsidTr="00FE3A7F">
        <w:trPr>
          <w:trHeight w:val="20"/>
        </w:trPr>
        <w:tc>
          <w:tcPr>
            <w:tcW w:w="1529" w:type="pct"/>
            <w:vAlign w:val="center"/>
          </w:tcPr>
          <w:p w14:paraId="49C96D1B" w14:textId="77777777" w:rsidR="00A050DB" w:rsidRPr="00B27879" w:rsidRDefault="00A050DB" w:rsidP="00FE3A7F">
            <w:pPr>
              <w:pStyle w:val="TableText"/>
              <w:rPr>
                <w:rFonts w:ascii="Times" w:hAnsi="Times"/>
              </w:rPr>
            </w:pPr>
            <w:r w:rsidRPr="00B27879">
              <w:t>LYG</w:t>
            </w:r>
          </w:p>
        </w:tc>
        <w:tc>
          <w:tcPr>
            <w:tcW w:w="1359" w:type="pct"/>
            <w:vAlign w:val="center"/>
          </w:tcPr>
          <w:p w14:paraId="4F6B870A" w14:textId="3AD48833" w:rsidR="00A050DB" w:rsidRPr="00B27879" w:rsidRDefault="00A050DB" w:rsidP="00FE3A7F">
            <w:pPr>
              <w:pStyle w:val="TableText"/>
              <w:jc w:val="center"/>
              <w:rPr>
                <w:rFonts w:ascii="Times" w:hAnsi="Times"/>
              </w:rPr>
            </w:pPr>
            <w:r w:rsidRPr="00B27879">
              <w:t>1.50</w:t>
            </w:r>
          </w:p>
        </w:tc>
        <w:tc>
          <w:tcPr>
            <w:tcW w:w="1274" w:type="pct"/>
            <w:vAlign w:val="center"/>
          </w:tcPr>
          <w:p w14:paraId="6B28697D" w14:textId="77777777" w:rsidR="00A050DB" w:rsidRPr="00B27879" w:rsidRDefault="00A050DB" w:rsidP="00FE3A7F">
            <w:pPr>
              <w:pStyle w:val="TableText"/>
              <w:jc w:val="center"/>
              <w:rPr>
                <w:rFonts w:ascii="Times" w:hAnsi="Times"/>
              </w:rPr>
            </w:pPr>
            <w:r w:rsidRPr="00B27879">
              <w:t>0.74</w:t>
            </w:r>
          </w:p>
        </w:tc>
        <w:tc>
          <w:tcPr>
            <w:tcW w:w="838" w:type="pct"/>
            <w:vAlign w:val="center"/>
          </w:tcPr>
          <w:p w14:paraId="0863DEF8" w14:textId="0679E46C" w:rsidR="00A050DB" w:rsidRPr="00B27879" w:rsidRDefault="00A050DB" w:rsidP="00FE3A7F">
            <w:pPr>
              <w:pStyle w:val="TableText"/>
              <w:jc w:val="center"/>
            </w:pPr>
            <w:r w:rsidRPr="00B27879">
              <w:t>0.76</w:t>
            </w:r>
          </w:p>
        </w:tc>
      </w:tr>
      <w:tr w:rsidR="007900E9" w:rsidRPr="00B27879" w14:paraId="34D7A7F6" w14:textId="77777777" w:rsidTr="00FE3A7F">
        <w:trPr>
          <w:trHeight w:val="20"/>
        </w:trPr>
        <w:tc>
          <w:tcPr>
            <w:tcW w:w="4162" w:type="pct"/>
            <w:gridSpan w:val="3"/>
            <w:vAlign w:val="center"/>
          </w:tcPr>
          <w:p w14:paraId="552C976B" w14:textId="77777777" w:rsidR="00A050DB" w:rsidRPr="00B27879" w:rsidRDefault="00A050DB" w:rsidP="00FE3A7F">
            <w:pPr>
              <w:pStyle w:val="TableText"/>
              <w:rPr>
                <w:rFonts w:ascii="Times" w:hAnsi="Times"/>
              </w:rPr>
            </w:pPr>
            <w:r w:rsidRPr="00B27879">
              <w:t>Incremental cost/extra LYG gained</w:t>
            </w:r>
          </w:p>
        </w:tc>
        <w:tc>
          <w:tcPr>
            <w:tcW w:w="838" w:type="pct"/>
            <w:vAlign w:val="center"/>
          </w:tcPr>
          <w:p w14:paraId="2AB9CC19" w14:textId="03309591" w:rsidR="00A050DB" w:rsidRPr="00860A80" w:rsidRDefault="00A050DB" w:rsidP="00FE3A7F">
            <w:pPr>
              <w:pStyle w:val="TableText"/>
              <w:jc w:val="center"/>
              <w:rPr>
                <w:rFonts w:ascii="Times" w:hAnsi="Times"/>
                <w:vertAlign w:val="superscript"/>
              </w:rPr>
            </w:pPr>
            <w:r w:rsidRPr="00B27879">
              <w:t>$</w:t>
            </w:r>
            <w:r w:rsidR="00860A80" w:rsidRPr="00860A80">
              <w:rPr>
                <w:b/>
                <w:bCs/>
              </w:rPr>
              <w:t>Redacted</w:t>
            </w:r>
            <w:r w:rsidR="00860A80">
              <w:rPr>
                <w:vertAlign w:val="superscript"/>
              </w:rPr>
              <w:t>1</w:t>
            </w:r>
          </w:p>
        </w:tc>
      </w:tr>
      <w:tr w:rsidR="007900E9" w:rsidRPr="00B27879" w14:paraId="47086C89" w14:textId="77777777" w:rsidTr="00FE3A7F">
        <w:trPr>
          <w:trHeight w:val="20"/>
        </w:trPr>
        <w:tc>
          <w:tcPr>
            <w:tcW w:w="5000" w:type="pct"/>
            <w:gridSpan w:val="4"/>
            <w:vAlign w:val="center"/>
          </w:tcPr>
          <w:p w14:paraId="505349C7" w14:textId="77777777" w:rsidR="00A050DB" w:rsidRPr="00B27879" w:rsidRDefault="00A050DB" w:rsidP="00FE3A7F">
            <w:pPr>
              <w:pStyle w:val="In-tableHeading"/>
              <w:rPr>
                <w:b w:val="0"/>
                <w:bCs/>
                <w:lang w:val="en-AU"/>
              </w:rPr>
            </w:pPr>
            <w:r w:rsidRPr="00B27879">
              <w:rPr>
                <w:b w:val="0"/>
                <w:bCs/>
                <w:lang w:val="en-AU"/>
              </w:rPr>
              <w:t xml:space="preserve">Step 2: PFS and OS data extrapolated with parametric functions until 10 years. 5% discounting of costs and outcomes.  </w:t>
            </w:r>
          </w:p>
          <w:p w14:paraId="26424716" w14:textId="77777777" w:rsidR="00A050DB" w:rsidRPr="00B27879" w:rsidRDefault="00A050DB" w:rsidP="00FE3A7F">
            <w:pPr>
              <w:pStyle w:val="In-tableHeading"/>
              <w:rPr>
                <w:b w:val="0"/>
                <w:bCs/>
                <w:lang w:val="en-AU"/>
              </w:rPr>
            </w:pPr>
            <w:r w:rsidRPr="00B27879">
              <w:rPr>
                <w:b w:val="0"/>
                <w:bCs/>
                <w:lang w:val="en-AU"/>
              </w:rPr>
              <w:t>Costs: as in Step 2 + disease management and monitoring, subsequent therapy and terminal care.</w:t>
            </w:r>
          </w:p>
          <w:p w14:paraId="57ADF121" w14:textId="77777777" w:rsidR="00A050DB" w:rsidRPr="00B27879" w:rsidRDefault="00A050DB" w:rsidP="00FE3A7F">
            <w:pPr>
              <w:pStyle w:val="In-tableHeading"/>
              <w:rPr>
                <w:lang w:val="en-AU"/>
              </w:rPr>
            </w:pPr>
            <w:r w:rsidRPr="00B27879">
              <w:rPr>
                <w:b w:val="0"/>
                <w:bCs/>
                <w:lang w:val="en-AU"/>
              </w:rPr>
              <w:t>Outcomes: LYs gained over the modelled time horizon</w:t>
            </w:r>
          </w:p>
        </w:tc>
      </w:tr>
      <w:tr w:rsidR="007900E9" w:rsidRPr="00B27879" w14:paraId="567B7D89" w14:textId="77777777" w:rsidTr="00FE3A7F">
        <w:trPr>
          <w:trHeight w:val="20"/>
        </w:trPr>
        <w:tc>
          <w:tcPr>
            <w:tcW w:w="1529" w:type="pct"/>
            <w:vAlign w:val="center"/>
          </w:tcPr>
          <w:p w14:paraId="29388CAD" w14:textId="77777777" w:rsidR="00A050DB" w:rsidRPr="00B27879" w:rsidRDefault="00A050DB" w:rsidP="00FE3A7F">
            <w:pPr>
              <w:pStyle w:val="TableText"/>
              <w:rPr>
                <w:rFonts w:ascii="Times" w:hAnsi="Times"/>
              </w:rPr>
            </w:pPr>
            <w:r w:rsidRPr="00B27879">
              <w:t>Costs</w:t>
            </w:r>
          </w:p>
        </w:tc>
        <w:tc>
          <w:tcPr>
            <w:tcW w:w="1359" w:type="pct"/>
          </w:tcPr>
          <w:p w14:paraId="79799891" w14:textId="79E67E97" w:rsidR="00A050DB" w:rsidRPr="00B27879" w:rsidRDefault="00A050DB" w:rsidP="00FE3A7F">
            <w:pPr>
              <w:pStyle w:val="TableText"/>
              <w:jc w:val="center"/>
              <w:rPr>
                <w:rFonts w:ascii="Times" w:hAnsi="Times"/>
              </w:rPr>
            </w:pPr>
            <w:r w:rsidRPr="00B27879">
              <w:rPr>
                <w:rFonts w:cs="Calibri"/>
              </w:rPr>
              <w:t>$</w:t>
            </w:r>
            <w:r w:rsidR="00860A80" w:rsidRPr="00860A80">
              <w:rPr>
                <w:rFonts w:cs="Calibri"/>
                <w:b/>
                <w:bCs/>
              </w:rPr>
              <w:t>Redacted</w:t>
            </w:r>
          </w:p>
        </w:tc>
        <w:tc>
          <w:tcPr>
            <w:tcW w:w="1274" w:type="pct"/>
          </w:tcPr>
          <w:p w14:paraId="48DEFD11" w14:textId="77777777" w:rsidR="00A050DB" w:rsidRPr="00B27879" w:rsidRDefault="00A050DB" w:rsidP="00FE3A7F">
            <w:pPr>
              <w:pStyle w:val="TableText"/>
              <w:jc w:val="center"/>
              <w:rPr>
                <w:rFonts w:ascii="Times" w:hAnsi="Times"/>
              </w:rPr>
            </w:pPr>
            <w:r w:rsidRPr="00B27879">
              <w:rPr>
                <w:rFonts w:cs="Calibri"/>
              </w:rPr>
              <w:t>$60,226</w:t>
            </w:r>
          </w:p>
        </w:tc>
        <w:tc>
          <w:tcPr>
            <w:tcW w:w="838" w:type="pct"/>
          </w:tcPr>
          <w:p w14:paraId="2D9F61E6" w14:textId="1A93596D" w:rsidR="00A050DB" w:rsidRPr="00B27879" w:rsidRDefault="00A050DB" w:rsidP="00FE3A7F">
            <w:pPr>
              <w:pStyle w:val="TableText"/>
              <w:jc w:val="center"/>
              <w:rPr>
                <w:rFonts w:ascii="Times" w:hAnsi="Times"/>
              </w:rPr>
            </w:pPr>
            <w:r w:rsidRPr="00B27879">
              <w:rPr>
                <w:rFonts w:cs="Calibri"/>
              </w:rPr>
              <w:t>$</w:t>
            </w:r>
            <w:r w:rsidR="00860A80" w:rsidRPr="00860A80">
              <w:rPr>
                <w:rFonts w:cs="Calibri"/>
                <w:b/>
                <w:bCs/>
              </w:rPr>
              <w:t>Redacted</w:t>
            </w:r>
          </w:p>
        </w:tc>
      </w:tr>
      <w:tr w:rsidR="007900E9" w:rsidRPr="00B27879" w14:paraId="7616268E" w14:textId="77777777" w:rsidTr="00FE3A7F">
        <w:trPr>
          <w:trHeight w:val="20"/>
        </w:trPr>
        <w:tc>
          <w:tcPr>
            <w:tcW w:w="1529" w:type="pct"/>
            <w:vAlign w:val="center"/>
          </w:tcPr>
          <w:p w14:paraId="5A8BC776" w14:textId="77777777" w:rsidR="00A050DB" w:rsidRPr="00B27879" w:rsidRDefault="00A050DB" w:rsidP="00FE3A7F">
            <w:pPr>
              <w:pStyle w:val="TableText"/>
              <w:rPr>
                <w:rFonts w:ascii="Times" w:hAnsi="Times"/>
              </w:rPr>
            </w:pPr>
            <w:r w:rsidRPr="00B27879">
              <w:t>LYG</w:t>
            </w:r>
          </w:p>
        </w:tc>
        <w:tc>
          <w:tcPr>
            <w:tcW w:w="1359" w:type="pct"/>
          </w:tcPr>
          <w:p w14:paraId="3F6FD9C7" w14:textId="0D3CB930" w:rsidR="00A050DB" w:rsidRPr="00B27879" w:rsidRDefault="00A050DB" w:rsidP="00FE3A7F">
            <w:pPr>
              <w:pStyle w:val="TableText"/>
              <w:jc w:val="center"/>
              <w:rPr>
                <w:rFonts w:ascii="Times" w:hAnsi="Times"/>
              </w:rPr>
            </w:pPr>
            <w:r w:rsidRPr="00B27879">
              <w:rPr>
                <w:rFonts w:cs="Calibri"/>
              </w:rPr>
              <w:t>2.32</w:t>
            </w:r>
          </w:p>
        </w:tc>
        <w:tc>
          <w:tcPr>
            <w:tcW w:w="1274" w:type="pct"/>
          </w:tcPr>
          <w:p w14:paraId="41026DF3" w14:textId="77777777" w:rsidR="00A050DB" w:rsidRPr="00B27879" w:rsidRDefault="00A050DB" w:rsidP="00FE3A7F">
            <w:pPr>
              <w:pStyle w:val="TableText"/>
              <w:jc w:val="center"/>
              <w:rPr>
                <w:rFonts w:ascii="Times" w:hAnsi="Times"/>
              </w:rPr>
            </w:pPr>
            <w:r w:rsidRPr="00B27879">
              <w:rPr>
                <w:rFonts w:cs="Calibri"/>
              </w:rPr>
              <w:t>0.84</w:t>
            </w:r>
          </w:p>
        </w:tc>
        <w:tc>
          <w:tcPr>
            <w:tcW w:w="838" w:type="pct"/>
          </w:tcPr>
          <w:p w14:paraId="1540E822" w14:textId="6D991185" w:rsidR="00A050DB" w:rsidRPr="00B27879" w:rsidRDefault="00A050DB" w:rsidP="00FE3A7F">
            <w:pPr>
              <w:pStyle w:val="TableText"/>
              <w:jc w:val="center"/>
            </w:pPr>
            <w:r w:rsidRPr="00B27879">
              <w:rPr>
                <w:rFonts w:cs="Calibri"/>
              </w:rPr>
              <w:t>1.48</w:t>
            </w:r>
          </w:p>
        </w:tc>
      </w:tr>
      <w:tr w:rsidR="007900E9" w:rsidRPr="00B27879" w14:paraId="645B916E" w14:textId="77777777" w:rsidTr="00FE3A7F">
        <w:trPr>
          <w:trHeight w:val="20"/>
        </w:trPr>
        <w:tc>
          <w:tcPr>
            <w:tcW w:w="4162" w:type="pct"/>
            <w:gridSpan w:val="3"/>
            <w:vAlign w:val="center"/>
          </w:tcPr>
          <w:p w14:paraId="4AD21D5B" w14:textId="77777777" w:rsidR="00A050DB" w:rsidRPr="00B27879" w:rsidRDefault="00A050DB" w:rsidP="00FE3A7F">
            <w:pPr>
              <w:pStyle w:val="TableText"/>
              <w:rPr>
                <w:rFonts w:ascii="Times" w:hAnsi="Times"/>
              </w:rPr>
            </w:pPr>
            <w:r w:rsidRPr="00B27879">
              <w:t>Incremental cost/extra LYG gained</w:t>
            </w:r>
          </w:p>
        </w:tc>
        <w:tc>
          <w:tcPr>
            <w:tcW w:w="838" w:type="pct"/>
            <w:vAlign w:val="center"/>
          </w:tcPr>
          <w:p w14:paraId="79BD0AFD" w14:textId="21DA6AAA" w:rsidR="00A050DB" w:rsidRPr="00B27879" w:rsidRDefault="00A050DB" w:rsidP="00FE3A7F">
            <w:pPr>
              <w:pStyle w:val="TableText"/>
              <w:jc w:val="center"/>
              <w:rPr>
                <w:rFonts w:ascii="Times" w:hAnsi="Times"/>
              </w:rPr>
            </w:pPr>
            <w:r w:rsidRPr="00B27879">
              <w:t>$</w:t>
            </w:r>
            <w:r w:rsidR="00860A80" w:rsidRPr="00860A80">
              <w:rPr>
                <w:b/>
                <w:bCs/>
              </w:rPr>
              <w:t>Redacted</w:t>
            </w:r>
            <w:r w:rsidR="00860A80">
              <w:rPr>
                <w:b/>
                <w:bCs/>
                <w:vertAlign w:val="superscript"/>
              </w:rPr>
              <w:t>2</w:t>
            </w:r>
            <w:r w:rsidR="00860A80">
              <w:rPr>
                <w:b/>
                <w:bCs/>
              </w:rPr>
              <w:t xml:space="preserve"> </w:t>
            </w:r>
          </w:p>
        </w:tc>
      </w:tr>
      <w:tr w:rsidR="007900E9" w:rsidRPr="00B27879" w14:paraId="052D1894" w14:textId="77777777" w:rsidTr="00FE3A7F">
        <w:trPr>
          <w:trHeight w:val="20"/>
        </w:trPr>
        <w:tc>
          <w:tcPr>
            <w:tcW w:w="5000" w:type="pct"/>
            <w:gridSpan w:val="4"/>
            <w:vAlign w:val="center"/>
          </w:tcPr>
          <w:p w14:paraId="27E71D07" w14:textId="77777777" w:rsidR="00A050DB" w:rsidRPr="00B27879" w:rsidRDefault="00A050DB" w:rsidP="00FE3A7F">
            <w:pPr>
              <w:pStyle w:val="In-tableHeading"/>
              <w:rPr>
                <w:b w:val="0"/>
                <w:bCs/>
                <w:lang w:val="en-AU"/>
              </w:rPr>
            </w:pPr>
            <w:r w:rsidRPr="00B27879">
              <w:rPr>
                <w:b w:val="0"/>
                <w:bCs/>
                <w:lang w:val="en-AU"/>
              </w:rPr>
              <w:t>Step 3: KM data used for PFS and OS until unreliable, then data extrapolated with parametric functions until 10 years</w:t>
            </w:r>
          </w:p>
          <w:p w14:paraId="685156E1" w14:textId="77777777" w:rsidR="00A050DB" w:rsidRPr="00B27879" w:rsidRDefault="00A050DB" w:rsidP="00FE3A7F">
            <w:pPr>
              <w:pStyle w:val="In-tableHeading"/>
              <w:rPr>
                <w:b w:val="0"/>
                <w:bCs/>
                <w:lang w:val="en-AU"/>
              </w:rPr>
            </w:pPr>
            <w:r w:rsidRPr="00B27879">
              <w:rPr>
                <w:b w:val="0"/>
                <w:bCs/>
                <w:lang w:val="en-AU"/>
              </w:rPr>
              <w:t>Costs: As in Step 3</w:t>
            </w:r>
          </w:p>
          <w:p w14:paraId="137EDE91" w14:textId="77777777" w:rsidR="00A050DB" w:rsidRPr="00B27879" w:rsidRDefault="00A050DB" w:rsidP="00FE3A7F">
            <w:pPr>
              <w:pStyle w:val="In-tableHeading"/>
              <w:rPr>
                <w:lang w:val="en-AU"/>
              </w:rPr>
            </w:pPr>
            <w:r w:rsidRPr="00B27879">
              <w:rPr>
                <w:b w:val="0"/>
                <w:bCs/>
                <w:lang w:val="en-AU"/>
              </w:rPr>
              <w:t>Outcomes: LYs over the modelled time horizon</w:t>
            </w:r>
          </w:p>
        </w:tc>
      </w:tr>
      <w:tr w:rsidR="007900E9" w:rsidRPr="00B27879" w14:paraId="0BF7AC98" w14:textId="77777777" w:rsidTr="00FE3A7F">
        <w:trPr>
          <w:trHeight w:val="20"/>
        </w:trPr>
        <w:tc>
          <w:tcPr>
            <w:tcW w:w="1529" w:type="pct"/>
            <w:vAlign w:val="center"/>
          </w:tcPr>
          <w:p w14:paraId="2E148636" w14:textId="77777777" w:rsidR="00A050DB" w:rsidRPr="00B27879" w:rsidRDefault="00A050DB" w:rsidP="00FE3A7F">
            <w:pPr>
              <w:pStyle w:val="TableText"/>
              <w:rPr>
                <w:rFonts w:ascii="Times" w:hAnsi="Times"/>
              </w:rPr>
            </w:pPr>
            <w:r w:rsidRPr="00B27879">
              <w:t>Costs</w:t>
            </w:r>
          </w:p>
        </w:tc>
        <w:tc>
          <w:tcPr>
            <w:tcW w:w="1359" w:type="pct"/>
          </w:tcPr>
          <w:p w14:paraId="646D920B" w14:textId="533ABAD9" w:rsidR="00A050DB" w:rsidRPr="00B27879" w:rsidRDefault="00A050DB" w:rsidP="00FE3A7F">
            <w:pPr>
              <w:pStyle w:val="TableText"/>
              <w:jc w:val="center"/>
              <w:rPr>
                <w:rFonts w:ascii="Times" w:hAnsi="Times"/>
              </w:rPr>
            </w:pPr>
            <w:r w:rsidRPr="00B27879">
              <w:rPr>
                <w:rFonts w:cs="Calibri"/>
              </w:rPr>
              <w:t>$</w:t>
            </w:r>
            <w:r w:rsidR="00860A80" w:rsidRPr="00860A80">
              <w:rPr>
                <w:b/>
                <w:bCs/>
              </w:rPr>
              <w:t>Redacted</w:t>
            </w:r>
          </w:p>
        </w:tc>
        <w:tc>
          <w:tcPr>
            <w:tcW w:w="1274" w:type="pct"/>
          </w:tcPr>
          <w:p w14:paraId="5A889453" w14:textId="77777777" w:rsidR="00A050DB" w:rsidRPr="00B27879" w:rsidRDefault="00A050DB" w:rsidP="00FE3A7F">
            <w:pPr>
              <w:pStyle w:val="TableText"/>
              <w:jc w:val="center"/>
              <w:rPr>
                <w:rFonts w:ascii="Times" w:hAnsi="Times"/>
              </w:rPr>
            </w:pPr>
            <w:r w:rsidRPr="00B27879">
              <w:rPr>
                <w:rFonts w:cs="Calibri"/>
              </w:rPr>
              <w:t>$59,994</w:t>
            </w:r>
          </w:p>
        </w:tc>
        <w:tc>
          <w:tcPr>
            <w:tcW w:w="838" w:type="pct"/>
          </w:tcPr>
          <w:p w14:paraId="44AF164F" w14:textId="0F1EEE6D" w:rsidR="00A050DB" w:rsidRPr="00B27879" w:rsidRDefault="00A050DB" w:rsidP="00FE3A7F">
            <w:pPr>
              <w:pStyle w:val="TableText"/>
              <w:jc w:val="center"/>
              <w:rPr>
                <w:rFonts w:ascii="Times" w:hAnsi="Times"/>
              </w:rPr>
            </w:pPr>
            <w:r w:rsidRPr="00B27879">
              <w:rPr>
                <w:rFonts w:cs="Calibri"/>
              </w:rPr>
              <w:t>$</w:t>
            </w:r>
            <w:r w:rsidR="00860A80" w:rsidRPr="00860A80">
              <w:rPr>
                <w:b/>
                <w:bCs/>
              </w:rPr>
              <w:t>Redacted</w:t>
            </w:r>
            <w:r w:rsidR="00860A80" w:rsidRPr="00B27879">
              <w:rPr>
                <w:rFonts w:cs="Calibri"/>
              </w:rPr>
              <w:t xml:space="preserve"> </w:t>
            </w:r>
          </w:p>
        </w:tc>
      </w:tr>
      <w:tr w:rsidR="007900E9" w:rsidRPr="00B27879" w14:paraId="273F1732" w14:textId="77777777" w:rsidTr="00FE3A7F">
        <w:trPr>
          <w:trHeight w:val="20"/>
        </w:trPr>
        <w:tc>
          <w:tcPr>
            <w:tcW w:w="1529" w:type="pct"/>
            <w:vAlign w:val="center"/>
          </w:tcPr>
          <w:p w14:paraId="37A4F92B" w14:textId="77777777" w:rsidR="00A050DB" w:rsidRPr="00B27879" w:rsidRDefault="00A050DB" w:rsidP="00FE3A7F">
            <w:pPr>
              <w:pStyle w:val="TableText"/>
              <w:rPr>
                <w:rFonts w:ascii="Times" w:hAnsi="Times"/>
              </w:rPr>
            </w:pPr>
            <w:r w:rsidRPr="00B27879">
              <w:t>LYG</w:t>
            </w:r>
          </w:p>
        </w:tc>
        <w:tc>
          <w:tcPr>
            <w:tcW w:w="1359" w:type="pct"/>
          </w:tcPr>
          <w:p w14:paraId="4EF7B811" w14:textId="2442062B" w:rsidR="00A050DB" w:rsidRPr="00B27879" w:rsidRDefault="00A050DB" w:rsidP="00FE3A7F">
            <w:pPr>
              <w:pStyle w:val="TableText"/>
              <w:jc w:val="center"/>
              <w:rPr>
                <w:rFonts w:ascii="Times" w:hAnsi="Times"/>
              </w:rPr>
            </w:pPr>
            <w:r w:rsidRPr="00B27879">
              <w:rPr>
                <w:rFonts w:cs="Calibri"/>
              </w:rPr>
              <w:t>2.33</w:t>
            </w:r>
          </w:p>
        </w:tc>
        <w:tc>
          <w:tcPr>
            <w:tcW w:w="1274" w:type="pct"/>
          </w:tcPr>
          <w:p w14:paraId="105D4F07" w14:textId="77777777" w:rsidR="00A050DB" w:rsidRPr="00B27879" w:rsidRDefault="00A050DB" w:rsidP="00FE3A7F">
            <w:pPr>
              <w:pStyle w:val="TableText"/>
              <w:jc w:val="center"/>
              <w:rPr>
                <w:rFonts w:ascii="Times" w:hAnsi="Times"/>
              </w:rPr>
            </w:pPr>
            <w:r w:rsidRPr="00B27879">
              <w:rPr>
                <w:rFonts w:cs="Calibri"/>
              </w:rPr>
              <w:t>0.84</w:t>
            </w:r>
          </w:p>
        </w:tc>
        <w:tc>
          <w:tcPr>
            <w:tcW w:w="838" w:type="pct"/>
          </w:tcPr>
          <w:p w14:paraId="66AD73C4" w14:textId="13F35400" w:rsidR="00A050DB" w:rsidRPr="00B27879" w:rsidRDefault="00A050DB" w:rsidP="00FE3A7F">
            <w:pPr>
              <w:pStyle w:val="TableText"/>
              <w:jc w:val="center"/>
            </w:pPr>
            <w:r w:rsidRPr="00B27879">
              <w:rPr>
                <w:rFonts w:cs="Calibri"/>
              </w:rPr>
              <w:t>1.49</w:t>
            </w:r>
          </w:p>
        </w:tc>
      </w:tr>
      <w:tr w:rsidR="007900E9" w:rsidRPr="00B27879" w14:paraId="5A9EA278" w14:textId="77777777" w:rsidTr="00FE3A7F">
        <w:trPr>
          <w:trHeight w:val="20"/>
        </w:trPr>
        <w:tc>
          <w:tcPr>
            <w:tcW w:w="4162" w:type="pct"/>
            <w:gridSpan w:val="3"/>
            <w:vAlign w:val="center"/>
          </w:tcPr>
          <w:p w14:paraId="3A69AFB5" w14:textId="77777777" w:rsidR="00A050DB" w:rsidRPr="00B27879" w:rsidRDefault="00A050DB" w:rsidP="00FE3A7F">
            <w:pPr>
              <w:pStyle w:val="TableText"/>
              <w:rPr>
                <w:rFonts w:ascii="Times" w:hAnsi="Times"/>
              </w:rPr>
            </w:pPr>
            <w:r w:rsidRPr="00B27879">
              <w:t>Incremental cost/extra LYG gained</w:t>
            </w:r>
          </w:p>
        </w:tc>
        <w:tc>
          <w:tcPr>
            <w:tcW w:w="838" w:type="pct"/>
            <w:vAlign w:val="center"/>
          </w:tcPr>
          <w:p w14:paraId="038684BB" w14:textId="30AD8C0A" w:rsidR="00A050DB" w:rsidRPr="00B27879" w:rsidRDefault="00A050DB" w:rsidP="00FE3A7F">
            <w:pPr>
              <w:pStyle w:val="TableText"/>
              <w:jc w:val="center"/>
              <w:rPr>
                <w:rFonts w:ascii="Times" w:hAnsi="Times"/>
              </w:rPr>
            </w:pPr>
            <w:r w:rsidRPr="00B27879">
              <w:t>$</w:t>
            </w:r>
            <w:r w:rsidR="00860A80" w:rsidRPr="00860A80">
              <w:rPr>
                <w:b/>
                <w:bCs/>
              </w:rPr>
              <w:t>Redacted</w:t>
            </w:r>
            <w:r w:rsidR="00860A80">
              <w:rPr>
                <w:b/>
                <w:bCs/>
                <w:vertAlign w:val="superscript"/>
              </w:rPr>
              <w:t>2</w:t>
            </w:r>
          </w:p>
        </w:tc>
      </w:tr>
      <w:tr w:rsidR="007900E9" w:rsidRPr="00B27879" w14:paraId="658A4C8C" w14:textId="77777777" w:rsidTr="00FE3A7F">
        <w:trPr>
          <w:trHeight w:val="20"/>
        </w:trPr>
        <w:tc>
          <w:tcPr>
            <w:tcW w:w="5000" w:type="pct"/>
            <w:gridSpan w:val="4"/>
            <w:vAlign w:val="center"/>
          </w:tcPr>
          <w:p w14:paraId="12CBB9B3" w14:textId="77777777" w:rsidR="00A050DB" w:rsidRPr="00B27879" w:rsidRDefault="00A050DB" w:rsidP="00FE3A7F">
            <w:pPr>
              <w:pStyle w:val="TableText"/>
            </w:pPr>
            <w:r w:rsidRPr="00B27879">
              <w:t>Step 4: Transformation of LYs to QALYs.</w:t>
            </w:r>
          </w:p>
          <w:p w14:paraId="2C9FD548" w14:textId="77777777" w:rsidR="00A050DB" w:rsidRPr="00B27879" w:rsidRDefault="00A050DB" w:rsidP="00FE3A7F">
            <w:pPr>
              <w:pStyle w:val="TableText"/>
            </w:pPr>
            <w:r w:rsidRPr="00B27879">
              <w:t>Costs: As in Step 3</w:t>
            </w:r>
          </w:p>
          <w:p w14:paraId="0AC5E90D" w14:textId="77777777" w:rsidR="00A050DB" w:rsidRPr="00B27879" w:rsidRDefault="00A050DB" w:rsidP="00FE3A7F">
            <w:pPr>
              <w:pStyle w:val="In-tableHeading"/>
              <w:rPr>
                <w:lang w:val="en-AU"/>
              </w:rPr>
            </w:pPr>
            <w:r w:rsidRPr="00B27879">
              <w:rPr>
                <w:b w:val="0"/>
                <w:lang w:val="en-AU"/>
              </w:rPr>
              <w:t>Outcomes: QALYs over the modelled time horizon</w:t>
            </w:r>
          </w:p>
        </w:tc>
      </w:tr>
      <w:tr w:rsidR="007900E9" w:rsidRPr="00B27879" w14:paraId="1477BB9D" w14:textId="77777777" w:rsidTr="00FE3A7F">
        <w:trPr>
          <w:trHeight w:val="20"/>
        </w:trPr>
        <w:tc>
          <w:tcPr>
            <w:tcW w:w="1529" w:type="pct"/>
            <w:vAlign w:val="center"/>
          </w:tcPr>
          <w:p w14:paraId="05A772E0" w14:textId="77777777" w:rsidR="00A050DB" w:rsidRPr="00B27879" w:rsidRDefault="00A050DB" w:rsidP="00FE3A7F">
            <w:pPr>
              <w:pStyle w:val="TableText"/>
              <w:rPr>
                <w:rFonts w:ascii="Times" w:hAnsi="Times"/>
              </w:rPr>
            </w:pPr>
            <w:r w:rsidRPr="00B27879">
              <w:t>Costs</w:t>
            </w:r>
          </w:p>
        </w:tc>
        <w:tc>
          <w:tcPr>
            <w:tcW w:w="1359" w:type="pct"/>
          </w:tcPr>
          <w:p w14:paraId="03EEB0F4" w14:textId="0CE21734" w:rsidR="00A050DB" w:rsidRPr="00B27879" w:rsidRDefault="00A050DB" w:rsidP="00FE3A7F">
            <w:pPr>
              <w:pStyle w:val="TableText"/>
              <w:jc w:val="center"/>
              <w:rPr>
                <w:rFonts w:ascii="Times" w:hAnsi="Times"/>
              </w:rPr>
            </w:pPr>
            <w:r w:rsidRPr="00B27879">
              <w:rPr>
                <w:rFonts w:cs="Calibri"/>
              </w:rPr>
              <w:t>$</w:t>
            </w:r>
            <w:r w:rsidR="00860A80" w:rsidRPr="00860A80">
              <w:rPr>
                <w:b/>
                <w:bCs/>
              </w:rPr>
              <w:t>Redacted</w:t>
            </w:r>
          </w:p>
        </w:tc>
        <w:tc>
          <w:tcPr>
            <w:tcW w:w="1274" w:type="pct"/>
          </w:tcPr>
          <w:p w14:paraId="77072F3E" w14:textId="77777777" w:rsidR="00A050DB" w:rsidRPr="00B27879" w:rsidRDefault="00A050DB" w:rsidP="00FE3A7F">
            <w:pPr>
              <w:pStyle w:val="TableText"/>
              <w:jc w:val="center"/>
              <w:rPr>
                <w:rFonts w:ascii="Times" w:hAnsi="Times"/>
              </w:rPr>
            </w:pPr>
            <w:r w:rsidRPr="00B27879">
              <w:rPr>
                <w:rFonts w:cs="Calibri"/>
              </w:rPr>
              <w:t>$59,994</w:t>
            </w:r>
          </w:p>
        </w:tc>
        <w:tc>
          <w:tcPr>
            <w:tcW w:w="838" w:type="pct"/>
          </w:tcPr>
          <w:p w14:paraId="69AC5CF9" w14:textId="58A0E8E0" w:rsidR="00A050DB" w:rsidRPr="00B27879" w:rsidRDefault="00A050DB" w:rsidP="00FE3A7F">
            <w:pPr>
              <w:pStyle w:val="TableText"/>
              <w:jc w:val="center"/>
              <w:rPr>
                <w:rFonts w:ascii="Times" w:hAnsi="Times"/>
              </w:rPr>
            </w:pPr>
            <w:r w:rsidRPr="00B27879">
              <w:rPr>
                <w:rFonts w:cs="Calibri"/>
              </w:rPr>
              <w:t>$</w:t>
            </w:r>
            <w:r w:rsidR="00860A80" w:rsidRPr="00860A80">
              <w:rPr>
                <w:b/>
                <w:bCs/>
              </w:rPr>
              <w:t>Redacted</w:t>
            </w:r>
          </w:p>
        </w:tc>
      </w:tr>
      <w:tr w:rsidR="007900E9" w:rsidRPr="00B27879" w14:paraId="6D0810C5" w14:textId="77777777" w:rsidTr="00FE3A7F">
        <w:trPr>
          <w:trHeight w:val="20"/>
        </w:trPr>
        <w:tc>
          <w:tcPr>
            <w:tcW w:w="1529" w:type="pct"/>
            <w:vAlign w:val="center"/>
          </w:tcPr>
          <w:p w14:paraId="506532E0" w14:textId="77777777" w:rsidR="00A050DB" w:rsidRPr="00B27879" w:rsidRDefault="00A050DB" w:rsidP="00FE3A7F">
            <w:pPr>
              <w:pStyle w:val="TableText"/>
              <w:rPr>
                <w:rFonts w:ascii="Times" w:hAnsi="Times"/>
              </w:rPr>
            </w:pPr>
            <w:r w:rsidRPr="00B27879">
              <w:t>QALYS</w:t>
            </w:r>
          </w:p>
        </w:tc>
        <w:tc>
          <w:tcPr>
            <w:tcW w:w="1359" w:type="pct"/>
          </w:tcPr>
          <w:p w14:paraId="555DA818" w14:textId="78EA3633" w:rsidR="00A050DB" w:rsidRPr="00B27879" w:rsidRDefault="00A050DB" w:rsidP="00FE3A7F">
            <w:pPr>
              <w:pStyle w:val="TableText"/>
              <w:jc w:val="center"/>
              <w:rPr>
                <w:rFonts w:ascii="Times" w:hAnsi="Times"/>
              </w:rPr>
            </w:pPr>
            <w:r w:rsidRPr="00B27879">
              <w:rPr>
                <w:rFonts w:cs="Calibri"/>
              </w:rPr>
              <w:t>1.72</w:t>
            </w:r>
          </w:p>
        </w:tc>
        <w:tc>
          <w:tcPr>
            <w:tcW w:w="1274" w:type="pct"/>
          </w:tcPr>
          <w:p w14:paraId="05069011" w14:textId="77777777" w:rsidR="00A050DB" w:rsidRPr="00B27879" w:rsidRDefault="00A050DB" w:rsidP="00FE3A7F">
            <w:pPr>
              <w:pStyle w:val="TableText"/>
              <w:jc w:val="center"/>
              <w:rPr>
                <w:rFonts w:ascii="Times" w:hAnsi="Times"/>
              </w:rPr>
            </w:pPr>
            <w:r w:rsidRPr="00B27879">
              <w:rPr>
                <w:rFonts w:cs="Calibri"/>
              </w:rPr>
              <w:t>0.55</w:t>
            </w:r>
          </w:p>
        </w:tc>
        <w:tc>
          <w:tcPr>
            <w:tcW w:w="838" w:type="pct"/>
          </w:tcPr>
          <w:p w14:paraId="67D18C81" w14:textId="4C2E3731" w:rsidR="00A050DB" w:rsidRPr="00B27879" w:rsidRDefault="00A050DB" w:rsidP="00FE3A7F">
            <w:pPr>
              <w:pStyle w:val="TableText"/>
              <w:jc w:val="center"/>
            </w:pPr>
            <w:r w:rsidRPr="00B27879">
              <w:rPr>
                <w:rFonts w:cs="Calibri"/>
              </w:rPr>
              <w:t>1.17</w:t>
            </w:r>
          </w:p>
        </w:tc>
      </w:tr>
      <w:tr w:rsidR="007900E9" w:rsidRPr="00B27879" w14:paraId="0D36516A" w14:textId="77777777" w:rsidTr="00FE3A7F">
        <w:trPr>
          <w:trHeight w:val="20"/>
        </w:trPr>
        <w:tc>
          <w:tcPr>
            <w:tcW w:w="4162" w:type="pct"/>
            <w:gridSpan w:val="3"/>
            <w:vAlign w:val="center"/>
          </w:tcPr>
          <w:p w14:paraId="69784296" w14:textId="77777777" w:rsidR="00A050DB" w:rsidRPr="00B27879" w:rsidRDefault="00A050DB" w:rsidP="00FE3A7F">
            <w:pPr>
              <w:pStyle w:val="TableText"/>
              <w:rPr>
                <w:rFonts w:ascii="Times" w:hAnsi="Times"/>
              </w:rPr>
            </w:pPr>
            <w:r w:rsidRPr="00B27879">
              <w:t>Incremental cost/extra LYG gained</w:t>
            </w:r>
          </w:p>
        </w:tc>
        <w:tc>
          <w:tcPr>
            <w:tcW w:w="838" w:type="pct"/>
            <w:vAlign w:val="center"/>
          </w:tcPr>
          <w:p w14:paraId="459F596C" w14:textId="3012C20D" w:rsidR="00A050DB" w:rsidRPr="00B27879" w:rsidRDefault="00A050DB" w:rsidP="00FE3A7F">
            <w:pPr>
              <w:pStyle w:val="TableText"/>
              <w:jc w:val="center"/>
              <w:rPr>
                <w:rFonts w:ascii="Times" w:hAnsi="Times"/>
              </w:rPr>
            </w:pPr>
            <w:r w:rsidRPr="00B27879">
              <w:t>$</w:t>
            </w:r>
            <w:r w:rsidR="00860A80" w:rsidRPr="00860A80">
              <w:rPr>
                <w:b/>
                <w:bCs/>
              </w:rPr>
              <w:t>Redacted</w:t>
            </w:r>
            <w:r w:rsidR="00860A80" w:rsidRPr="00860A80">
              <w:rPr>
                <w:b/>
                <w:bCs/>
                <w:vertAlign w:val="superscript"/>
              </w:rPr>
              <w:t>3</w:t>
            </w:r>
          </w:p>
        </w:tc>
      </w:tr>
      <w:tr w:rsidR="007900E9" w:rsidRPr="00B27879" w14:paraId="1BA98946" w14:textId="77777777" w:rsidTr="00FE3A7F">
        <w:trPr>
          <w:trHeight w:val="20"/>
        </w:trPr>
        <w:tc>
          <w:tcPr>
            <w:tcW w:w="5000" w:type="pct"/>
            <w:gridSpan w:val="4"/>
            <w:vAlign w:val="center"/>
          </w:tcPr>
          <w:p w14:paraId="77DE066D" w14:textId="77777777" w:rsidR="00A050DB" w:rsidRPr="00B27879" w:rsidRDefault="00A050DB" w:rsidP="00FE3A7F">
            <w:pPr>
              <w:pStyle w:val="TableText"/>
              <w:rPr>
                <w:i/>
                <w:iCs/>
              </w:rPr>
            </w:pPr>
            <w:r w:rsidRPr="00B27879">
              <w:rPr>
                <w:i/>
                <w:iCs/>
              </w:rPr>
              <w:t xml:space="preserve">Step 5: Evaluation- correct half cycle correction and remove half cycle correction from drug acquisition costs. </w:t>
            </w:r>
          </w:p>
        </w:tc>
      </w:tr>
      <w:tr w:rsidR="007900E9" w:rsidRPr="00B27879" w14:paraId="3D9779E8" w14:textId="77777777" w:rsidTr="00FE3A7F">
        <w:trPr>
          <w:trHeight w:val="20"/>
        </w:trPr>
        <w:tc>
          <w:tcPr>
            <w:tcW w:w="1529" w:type="pct"/>
            <w:vAlign w:val="center"/>
          </w:tcPr>
          <w:p w14:paraId="5203F7B4" w14:textId="77777777" w:rsidR="00A050DB" w:rsidRPr="00B27879" w:rsidRDefault="00A050DB" w:rsidP="00FE3A7F">
            <w:pPr>
              <w:pStyle w:val="TableText"/>
              <w:rPr>
                <w:rFonts w:ascii="Times" w:hAnsi="Times"/>
                <w:i/>
                <w:iCs/>
              </w:rPr>
            </w:pPr>
            <w:r w:rsidRPr="00B27879">
              <w:rPr>
                <w:i/>
                <w:iCs/>
              </w:rPr>
              <w:t>Costs</w:t>
            </w:r>
          </w:p>
        </w:tc>
        <w:tc>
          <w:tcPr>
            <w:tcW w:w="1359" w:type="pct"/>
          </w:tcPr>
          <w:p w14:paraId="7D4293D9" w14:textId="5AAB3D0B" w:rsidR="00A050DB" w:rsidRPr="00B27879" w:rsidRDefault="00A050DB" w:rsidP="00FE3A7F">
            <w:pPr>
              <w:pStyle w:val="TableText"/>
              <w:jc w:val="center"/>
              <w:rPr>
                <w:i/>
                <w:iCs/>
              </w:rPr>
            </w:pPr>
            <w:r w:rsidRPr="00B27879">
              <w:rPr>
                <w:i/>
                <w:iCs/>
              </w:rPr>
              <w:t>$</w:t>
            </w:r>
            <w:r w:rsidR="00860A80" w:rsidRPr="00860A80">
              <w:rPr>
                <w:b/>
                <w:bCs/>
                <w:i/>
                <w:iCs/>
              </w:rPr>
              <w:t>Redacted</w:t>
            </w:r>
          </w:p>
        </w:tc>
        <w:tc>
          <w:tcPr>
            <w:tcW w:w="1274" w:type="pct"/>
          </w:tcPr>
          <w:p w14:paraId="7E2ED567" w14:textId="77777777" w:rsidR="00A050DB" w:rsidRPr="00B27879" w:rsidRDefault="00A050DB" w:rsidP="00FE3A7F">
            <w:pPr>
              <w:pStyle w:val="TableText"/>
              <w:jc w:val="center"/>
              <w:rPr>
                <w:i/>
                <w:iCs/>
              </w:rPr>
            </w:pPr>
            <w:r w:rsidRPr="00B27879">
              <w:rPr>
                <w:i/>
                <w:iCs/>
              </w:rPr>
              <w:t>$59,481</w:t>
            </w:r>
          </w:p>
        </w:tc>
        <w:tc>
          <w:tcPr>
            <w:tcW w:w="838" w:type="pct"/>
          </w:tcPr>
          <w:p w14:paraId="65BDCE12" w14:textId="7651C468" w:rsidR="00A050DB" w:rsidRPr="00B27879" w:rsidRDefault="00A050DB" w:rsidP="00FE3A7F">
            <w:pPr>
              <w:pStyle w:val="TableText"/>
              <w:jc w:val="center"/>
              <w:rPr>
                <w:i/>
                <w:iCs/>
              </w:rPr>
            </w:pPr>
            <w:r w:rsidRPr="00B27879">
              <w:rPr>
                <w:i/>
                <w:iCs/>
              </w:rPr>
              <w:t>$</w:t>
            </w:r>
            <w:r w:rsidR="00860A80" w:rsidRPr="00860A80">
              <w:rPr>
                <w:b/>
                <w:bCs/>
                <w:i/>
                <w:iCs/>
              </w:rPr>
              <w:t>Redacted</w:t>
            </w:r>
          </w:p>
        </w:tc>
      </w:tr>
      <w:tr w:rsidR="007900E9" w:rsidRPr="00B27879" w14:paraId="4963D63F" w14:textId="77777777" w:rsidTr="00FE3A7F">
        <w:trPr>
          <w:trHeight w:val="20"/>
        </w:trPr>
        <w:tc>
          <w:tcPr>
            <w:tcW w:w="1529" w:type="pct"/>
            <w:vAlign w:val="center"/>
          </w:tcPr>
          <w:p w14:paraId="772C8C4C" w14:textId="77777777" w:rsidR="00A050DB" w:rsidRPr="00B27879" w:rsidRDefault="00A050DB" w:rsidP="00FE3A7F">
            <w:pPr>
              <w:pStyle w:val="TableText"/>
              <w:rPr>
                <w:rFonts w:ascii="Times" w:hAnsi="Times"/>
                <w:i/>
                <w:iCs/>
              </w:rPr>
            </w:pPr>
            <w:r w:rsidRPr="00B27879">
              <w:rPr>
                <w:i/>
                <w:iCs/>
              </w:rPr>
              <w:t>QALYS</w:t>
            </w:r>
          </w:p>
        </w:tc>
        <w:tc>
          <w:tcPr>
            <w:tcW w:w="1359" w:type="pct"/>
          </w:tcPr>
          <w:p w14:paraId="030F49B5" w14:textId="24082599" w:rsidR="00A050DB" w:rsidRPr="00B27879" w:rsidRDefault="00A050DB" w:rsidP="00FE3A7F">
            <w:pPr>
              <w:pStyle w:val="TableText"/>
              <w:jc w:val="center"/>
              <w:rPr>
                <w:i/>
                <w:iCs/>
              </w:rPr>
            </w:pPr>
            <w:r w:rsidRPr="00B27879">
              <w:rPr>
                <w:i/>
                <w:iCs/>
              </w:rPr>
              <w:t>1.67</w:t>
            </w:r>
          </w:p>
        </w:tc>
        <w:tc>
          <w:tcPr>
            <w:tcW w:w="1274" w:type="pct"/>
          </w:tcPr>
          <w:p w14:paraId="7C8B4F3C" w14:textId="77777777" w:rsidR="00A050DB" w:rsidRPr="00B27879" w:rsidRDefault="00A050DB" w:rsidP="00FE3A7F">
            <w:pPr>
              <w:pStyle w:val="TableText"/>
              <w:jc w:val="center"/>
              <w:rPr>
                <w:i/>
                <w:iCs/>
              </w:rPr>
            </w:pPr>
            <w:r w:rsidRPr="00B27879">
              <w:rPr>
                <w:i/>
                <w:iCs/>
              </w:rPr>
              <w:t>0.51</w:t>
            </w:r>
          </w:p>
        </w:tc>
        <w:tc>
          <w:tcPr>
            <w:tcW w:w="838" w:type="pct"/>
          </w:tcPr>
          <w:p w14:paraId="076BB0A1" w14:textId="67972D68" w:rsidR="00A050DB" w:rsidRPr="00B27879" w:rsidRDefault="00A050DB" w:rsidP="00FE3A7F">
            <w:pPr>
              <w:pStyle w:val="TableText"/>
              <w:jc w:val="center"/>
              <w:rPr>
                <w:i/>
                <w:iCs/>
              </w:rPr>
            </w:pPr>
            <w:r w:rsidRPr="00B27879">
              <w:rPr>
                <w:i/>
                <w:iCs/>
              </w:rPr>
              <w:t>1.16</w:t>
            </w:r>
          </w:p>
        </w:tc>
      </w:tr>
      <w:tr w:rsidR="007900E9" w:rsidRPr="00B27879" w14:paraId="738A78E6" w14:textId="77777777" w:rsidTr="00FE3A7F">
        <w:trPr>
          <w:trHeight w:val="20"/>
        </w:trPr>
        <w:tc>
          <w:tcPr>
            <w:tcW w:w="4162" w:type="pct"/>
            <w:gridSpan w:val="3"/>
            <w:vAlign w:val="center"/>
          </w:tcPr>
          <w:p w14:paraId="161F0CDA" w14:textId="77777777" w:rsidR="00A050DB" w:rsidRPr="00B27879" w:rsidRDefault="00A050DB" w:rsidP="00FE3A7F">
            <w:pPr>
              <w:pStyle w:val="TableText"/>
              <w:rPr>
                <w:rFonts w:ascii="Times" w:hAnsi="Times"/>
                <w:i/>
                <w:iCs/>
              </w:rPr>
            </w:pPr>
            <w:r w:rsidRPr="00B27879">
              <w:rPr>
                <w:i/>
                <w:iCs/>
              </w:rPr>
              <w:t>Incremental cost/extra LYG gained</w:t>
            </w:r>
          </w:p>
        </w:tc>
        <w:tc>
          <w:tcPr>
            <w:tcW w:w="838" w:type="pct"/>
            <w:vAlign w:val="center"/>
          </w:tcPr>
          <w:p w14:paraId="403CB221" w14:textId="39E8BBD3" w:rsidR="00A050DB" w:rsidRPr="00B27879" w:rsidRDefault="00A050DB" w:rsidP="00FE3A7F">
            <w:pPr>
              <w:pStyle w:val="TableText"/>
              <w:jc w:val="center"/>
              <w:rPr>
                <w:rFonts w:ascii="Times" w:hAnsi="Times"/>
                <w:i/>
                <w:iCs/>
              </w:rPr>
            </w:pPr>
            <w:r w:rsidRPr="00B27879">
              <w:rPr>
                <w:i/>
                <w:iCs/>
              </w:rPr>
              <w:t>$</w:t>
            </w:r>
            <w:r w:rsidR="00860A80" w:rsidRPr="00B00924">
              <w:rPr>
                <w:b/>
                <w:bCs/>
                <w:i/>
                <w:iCs/>
              </w:rPr>
              <w:t>Redacted</w:t>
            </w:r>
            <w:r w:rsidR="00860A80" w:rsidRPr="00B00924">
              <w:rPr>
                <w:b/>
                <w:bCs/>
                <w:i/>
                <w:iCs/>
                <w:vertAlign w:val="superscript"/>
              </w:rPr>
              <w:t>3</w:t>
            </w:r>
            <w:r w:rsidR="00860A80">
              <w:rPr>
                <w:i/>
                <w:iCs/>
              </w:rPr>
              <w:t xml:space="preserve"> </w:t>
            </w:r>
          </w:p>
        </w:tc>
      </w:tr>
    </w:tbl>
    <w:p w14:paraId="224CF263" w14:textId="77777777" w:rsidR="00A050DB" w:rsidRPr="00B27879" w:rsidRDefault="00A050DB" w:rsidP="00A050DB">
      <w:pPr>
        <w:pStyle w:val="TableFooter"/>
      </w:pPr>
      <w:r w:rsidRPr="00B27879">
        <w:t>Source: Table 3.19, p221 of the submission.</w:t>
      </w:r>
    </w:p>
    <w:p w14:paraId="1AE6163F" w14:textId="77777777" w:rsidR="00860A80" w:rsidRDefault="00A050DB" w:rsidP="00FE063B">
      <w:pPr>
        <w:pStyle w:val="TableFooter"/>
        <w:keepNext/>
        <w:keepLines/>
        <w:jc w:val="left"/>
      </w:pPr>
      <w:r w:rsidRPr="00B27879">
        <w:t>AE = adverse events. KM = Kaplan Meier; LYG = life years gained; OS = overall survival; PFS = progression free survival; QALYs = quality adjusted life years</w:t>
      </w:r>
      <w:r w:rsidR="00860A80">
        <w:br/>
        <w:t xml:space="preserve">The redacted values correspond to the following ranges: </w:t>
      </w:r>
    </w:p>
    <w:p w14:paraId="07F04163" w14:textId="6A4C0782" w:rsidR="00860A80" w:rsidRDefault="00860A80" w:rsidP="00860A80">
      <w:pPr>
        <w:pStyle w:val="TableFooter"/>
        <w:keepNext/>
        <w:keepLines/>
      </w:pPr>
      <w:r w:rsidRPr="00DA4122">
        <w:rPr>
          <w:vertAlign w:val="superscript"/>
        </w:rPr>
        <w:t>1</w:t>
      </w:r>
      <w:r>
        <w:t xml:space="preserve"> $155,000 to &lt;$255,000</w:t>
      </w:r>
    </w:p>
    <w:p w14:paraId="270925EB" w14:textId="0FC26E94" w:rsidR="00860A80" w:rsidRDefault="00860A80" w:rsidP="00860A80">
      <w:pPr>
        <w:pStyle w:val="TableFooter"/>
        <w:keepNext/>
        <w:keepLines/>
      </w:pPr>
      <w:r w:rsidRPr="00CA27F8">
        <w:rPr>
          <w:vertAlign w:val="superscript"/>
        </w:rPr>
        <w:t>2</w:t>
      </w:r>
      <w:r>
        <w:t xml:space="preserve"> </w:t>
      </w:r>
      <w:r w:rsidRPr="00CC2F4C">
        <w:t>$75,000 to &lt;$95,000</w:t>
      </w:r>
      <w:r>
        <w:t xml:space="preserve"> </w:t>
      </w:r>
    </w:p>
    <w:p w14:paraId="53F65113" w14:textId="3F8AE848" w:rsidR="00860A80" w:rsidRPr="00FE063B" w:rsidRDefault="00860A80" w:rsidP="00FE063B">
      <w:pPr>
        <w:pStyle w:val="TableFooter"/>
        <w:keepNext/>
        <w:keepLines/>
        <w:spacing w:after="240"/>
      </w:pPr>
      <w:r w:rsidRPr="00CA27F8">
        <w:rPr>
          <w:vertAlign w:val="superscript"/>
        </w:rPr>
        <w:t xml:space="preserve">3 </w:t>
      </w:r>
      <w:r w:rsidRPr="00CA27F8">
        <w:t xml:space="preserve"> $95,000 to &lt;$115,000</w:t>
      </w:r>
    </w:p>
    <w:p w14:paraId="6B037AAB" w14:textId="2E07DD33" w:rsidR="00BA15E1" w:rsidRPr="00353AB8" w:rsidRDefault="001F5863" w:rsidP="00353AB8">
      <w:pPr>
        <w:pStyle w:val="MSACESParagraph"/>
        <w:rPr>
          <w:rFonts w:ascii="Franklin Gothic Book" w:hAnsi="Franklin Gothic Book"/>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_Ref198447684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18</w:t>
      </w:r>
      <w:r w:rsidRPr="001F5863">
        <w:rPr>
          <w:rFonts w:ascii="Franklin Gothic Book" w:hAnsi="Franklin Gothic Book"/>
          <w:sz w:val="22"/>
        </w:rPr>
        <w:fldChar w:fldCharType="end"/>
      </w:r>
      <w:r>
        <w:rPr>
          <w:rFonts w:ascii="Franklin Gothic Book" w:hAnsi="Franklin Gothic Book"/>
          <w:sz w:val="22"/>
        </w:rPr>
        <w:t xml:space="preserve"> </w:t>
      </w:r>
      <w:r w:rsidR="00A050DB" w:rsidRPr="00353AB8">
        <w:rPr>
          <w:rFonts w:ascii="Franklin Gothic Book" w:hAnsi="Franklin Gothic Book"/>
          <w:sz w:val="22"/>
        </w:rPr>
        <w:t>presents test related sensitivity analyses. The model was not highly sensitive to test costs</w:t>
      </w:r>
      <w:r w:rsidR="00582630" w:rsidRPr="00353AB8">
        <w:rPr>
          <w:rFonts w:ascii="Franklin Gothic Book" w:hAnsi="Franklin Gothic Book"/>
          <w:sz w:val="22"/>
        </w:rPr>
        <w:t xml:space="preserve"> (the submission tested test cost up and down by 20%, and the evaluation tested doubled test cost)</w:t>
      </w:r>
      <w:r w:rsidR="00A050DB" w:rsidRPr="00353AB8">
        <w:rPr>
          <w:rFonts w:ascii="Franklin Gothic Book" w:hAnsi="Franklin Gothic Book"/>
          <w:sz w:val="22"/>
        </w:rPr>
        <w:t>. As stated above,</w:t>
      </w:r>
      <w:r w:rsidR="00012E85" w:rsidRPr="00353AB8">
        <w:rPr>
          <w:rFonts w:ascii="Franklin Gothic Book" w:hAnsi="Franklin Gothic Book"/>
          <w:sz w:val="22"/>
        </w:rPr>
        <w:t xml:space="preserve"> the</w:t>
      </w:r>
      <w:r w:rsidR="00A050DB" w:rsidRPr="00353AB8">
        <w:rPr>
          <w:rFonts w:ascii="Franklin Gothic Book" w:hAnsi="Franklin Gothic Book"/>
          <w:sz w:val="22"/>
        </w:rPr>
        <w:t xml:space="preserve"> economic model did not include operability for test accuracy and assumed 100% sensitivity and specificity. </w:t>
      </w:r>
    </w:p>
    <w:p w14:paraId="5ABB6B68" w14:textId="55A1E18E" w:rsidR="00A050DB" w:rsidRPr="00B27879" w:rsidRDefault="009D316D" w:rsidP="009D316D">
      <w:pPr>
        <w:pStyle w:val="Caption"/>
      </w:pPr>
      <w:bookmarkStart w:id="64" w:name="_Ref198447684"/>
      <w:bookmarkStart w:id="65" w:name="_Ref187742963"/>
      <w:r>
        <w:lastRenderedPageBreak/>
        <w:t xml:space="preserve">Table </w:t>
      </w:r>
      <w:r>
        <w:fldChar w:fldCharType="begin"/>
      </w:r>
      <w:r>
        <w:instrText>SEQ Table \* ARABIC</w:instrText>
      </w:r>
      <w:r>
        <w:fldChar w:fldCharType="separate"/>
      </w:r>
      <w:r w:rsidR="005B1C7E">
        <w:rPr>
          <w:noProof/>
        </w:rPr>
        <w:t>18</w:t>
      </w:r>
      <w:r>
        <w:fldChar w:fldCharType="end"/>
      </w:r>
      <w:bookmarkEnd w:id="64"/>
      <w:r>
        <w:tab/>
      </w:r>
      <w:bookmarkEnd w:id="65"/>
      <w:r w:rsidR="00A050DB" w:rsidRPr="00B27879">
        <w:t>Results of test-related sensitivity analyses (corrected for half cycle correction</w:t>
      </w:r>
      <w:r w:rsidR="005162AC">
        <w:t>)</w:t>
      </w:r>
      <w:r w:rsidR="00A050DB" w:rsidRPr="00B27879">
        <w:t xml:space="preserve">. </w:t>
      </w:r>
    </w:p>
    <w:tbl>
      <w:tblPr>
        <w:tblStyle w:val="PBACTableStyle"/>
        <w:tblW w:w="8926" w:type="dxa"/>
        <w:tblLayout w:type="fixed"/>
        <w:tblLook w:val="04A0" w:firstRow="1" w:lastRow="0" w:firstColumn="1" w:lastColumn="0" w:noHBand="0" w:noVBand="1"/>
      </w:tblPr>
      <w:tblGrid>
        <w:gridCol w:w="4106"/>
        <w:gridCol w:w="1276"/>
        <w:gridCol w:w="1276"/>
        <w:gridCol w:w="1134"/>
        <w:gridCol w:w="1134"/>
      </w:tblGrid>
      <w:tr w:rsidR="007900E9" w:rsidRPr="00B27879" w14:paraId="2712078D" w14:textId="77777777" w:rsidTr="005B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3145BF5" w14:textId="77777777" w:rsidR="00A050DB" w:rsidRPr="00B27879" w:rsidRDefault="00A050DB" w:rsidP="00FE3A7F">
            <w:pPr>
              <w:pStyle w:val="In-tableHeading"/>
              <w:jc w:val="left"/>
              <w:rPr>
                <w:b/>
                <w:bCs/>
                <w:color w:val="auto"/>
                <w:lang w:val="en-AU"/>
              </w:rPr>
            </w:pPr>
            <w:r w:rsidRPr="00B27879">
              <w:rPr>
                <w:b/>
                <w:bCs/>
                <w:color w:val="auto"/>
                <w:lang w:val="en-AU"/>
              </w:rPr>
              <w:t>Analyses</w:t>
            </w:r>
          </w:p>
        </w:tc>
        <w:tc>
          <w:tcPr>
            <w:tcW w:w="1276" w:type="dxa"/>
          </w:tcPr>
          <w:p w14:paraId="1F18A46A" w14:textId="77777777" w:rsidR="00A050DB" w:rsidRPr="00B27879" w:rsidRDefault="00A050DB" w:rsidP="00FE3A7F">
            <w:pPr>
              <w:pStyle w:val="In-tableHeading"/>
              <w:cnfStyle w:val="100000000000" w:firstRow="1" w:lastRow="0" w:firstColumn="0" w:lastColumn="0" w:oddVBand="0" w:evenVBand="0" w:oddHBand="0" w:evenHBand="0" w:firstRowFirstColumn="0" w:firstRowLastColumn="0" w:lastRowFirstColumn="0" w:lastRowLastColumn="0"/>
              <w:rPr>
                <w:b/>
                <w:bCs/>
                <w:color w:val="auto"/>
                <w:lang w:val="en-AU"/>
              </w:rPr>
            </w:pPr>
            <w:r w:rsidRPr="00B27879">
              <w:rPr>
                <w:b/>
                <w:bCs/>
                <w:color w:val="auto"/>
                <w:lang w:val="en-AU"/>
              </w:rPr>
              <w:t>Incremental cost</w:t>
            </w:r>
          </w:p>
        </w:tc>
        <w:tc>
          <w:tcPr>
            <w:tcW w:w="1276" w:type="dxa"/>
          </w:tcPr>
          <w:p w14:paraId="0F684B41" w14:textId="77777777" w:rsidR="00A050DB" w:rsidRPr="00B27879" w:rsidRDefault="00A050DB" w:rsidP="00FE3A7F">
            <w:pPr>
              <w:pStyle w:val="In-tableHeading"/>
              <w:cnfStyle w:val="100000000000" w:firstRow="1" w:lastRow="0" w:firstColumn="0" w:lastColumn="0" w:oddVBand="0" w:evenVBand="0" w:oddHBand="0" w:evenHBand="0" w:firstRowFirstColumn="0" w:firstRowLastColumn="0" w:lastRowFirstColumn="0" w:lastRowLastColumn="0"/>
              <w:rPr>
                <w:b/>
                <w:bCs/>
                <w:color w:val="auto"/>
                <w:lang w:val="en-AU"/>
              </w:rPr>
            </w:pPr>
            <w:r w:rsidRPr="00B27879">
              <w:rPr>
                <w:b/>
                <w:bCs/>
                <w:color w:val="auto"/>
                <w:lang w:val="en-AU"/>
              </w:rPr>
              <w:t>Incremental QALY</w:t>
            </w:r>
          </w:p>
        </w:tc>
        <w:tc>
          <w:tcPr>
            <w:tcW w:w="1134" w:type="dxa"/>
          </w:tcPr>
          <w:p w14:paraId="2F1BC0CD" w14:textId="77777777" w:rsidR="00A050DB" w:rsidRPr="00B27879" w:rsidRDefault="00A050DB" w:rsidP="00FE3A7F">
            <w:pPr>
              <w:pStyle w:val="In-tableHeading"/>
              <w:cnfStyle w:val="100000000000" w:firstRow="1" w:lastRow="0" w:firstColumn="0" w:lastColumn="0" w:oddVBand="0" w:evenVBand="0" w:oddHBand="0" w:evenHBand="0" w:firstRowFirstColumn="0" w:firstRowLastColumn="0" w:lastRowFirstColumn="0" w:lastRowLastColumn="0"/>
              <w:rPr>
                <w:b/>
                <w:bCs/>
                <w:color w:val="auto"/>
                <w:lang w:val="en-AU"/>
              </w:rPr>
            </w:pPr>
            <w:r w:rsidRPr="00B27879">
              <w:rPr>
                <w:b/>
                <w:bCs/>
                <w:color w:val="auto"/>
                <w:lang w:val="en-AU"/>
              </w:rPr>
              <w:t>ICER</w:t>
            </w:r>
          </w:p>
        </w:tc>
        <w:tc>
          <w:tcPr>
            <w:tcW w:w="1134" w:type="dxa"/>
          </w:tcPr>
          <w:p w14:paraId="56C03730" w14:textId="77777777" w:rsidR="00A050DB" w:rsidRPr="00B27879" w:rsidRDefault="00A050DB" w:rsidP="00FE3A7F">
            <w:pPr>
              <w:pStyle w:val="TableText"/>
              <w:jc w:val="center"/>
              <w:cnfStyle w:val="100000000000" w:firstRow="1" w:lastRow="0" w:firstColumn="0" w:lastColumn="0" w:oddVBand="0" w:evenVBand="0" w:oddHBand="0" w:evenHBand="0" w:firstRowFirstColumn="0" w:firstRowLastColumn="0" w:lastRowFirstColumn="0" w:lastRowLastColumn="0"/>
              <w:rPr>
                <w:bCs/>
                <w:color w:val="auto"/>
                <w:lang w:val="en-AU"/>
              </w:rPr>
            </w:pPr>
            <w:r w:rsidRPr="00B27879">
              <w:rPr>
                <w:bCs/>
                <w:color w:val="auto"/>
                <w:lang w:val="en-AU"/>
              </w:rPr>
              <w:t>% Change</w:t>
            </w:r>
          </w:p>
        </w:tc>
      </w:tr>
      <w:tr w:rsidR="007900E9" w:rsidRPr="00B27879" w14:paraId="24F317CF"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79B88143" w14:textId="77777777" w:rsidR="00A050DB" w:rsidRPr="00B27879" w:rsidRDefault="00A050DB" w:rsidP="00FE3A7F">
            <w:pPr>
              <w:pStyle w:val="TableText"/>
              <w:rPr>
                <w:b/>
                <w:color w:val="auto"/>
                <w:lang w:val="en-AU"/>
              </w:rPr>
            </w:pPr>
            <w:r w:rsidRPr="00B27879">
              <w:rPr>
                <w:b/>
                <w:color w:val="auto"/>
                <w:lang w:val="en-AU"/>
              </w:rPr>
              <w:t>Base case</w:t>
            </w:r>
          </w:p>
        </w:tc>
        <w:tc>
          <w:tcPr>
            <w:tcW w:w="1276" w:type="dxa"/>
          </w:tcPr>
          <w:p w14:paraId="3643EDC3" w14:textId="307A52D0"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b/>
                <w:i/>
                <w:iCs/>
                <w:color w:val="auto"/>
                <w:lang w:val="en-AU"/>
              </w:rPr>
            </w:pPr>
            <w:r w:rsidRPr="00B7279C">
              <w:rPr>
                <w:rFonts w:cs="Calibri"/>
                <w:b/>
                <w:bCs/>
                <w:i/>
                <w:iCs/>
                <w:color w:val="auto"/>
                <w:lang w:val="en-AU"/>
              </w:rPr>
              <w:t>$</w:t>
            </w:r>
            <w:r w:rsidR="00B00924" w:rsidRPr="00B7279C">
              <w:rPr>
                <w:b/>
                <w:bCs/>
                <w:i/>
                <w:iCs/>
                <w:color w:val="auto"/>
                <w:lang w:val="en-AU"/>
              </w:rPr>
              <w:t>Redacted</w:t>
            </w:r>
          </w:p>
        </w:tc>
        <w:tc>
          <w:tcPr>
            <w:tcW w:w="1276" w:type="dxa"/>
          </w:tcPr>
          <w:p w14:paraId="6705266F"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b/>
                <w:i/>
                <w:iCs/>
                <w:color w:val="auto"/>
                <w:lang w:val="en-AU"/>
              </w:rPr>
            </w:pPr>
            <w:r w:rsidRPr="00B7279C">
              <w:rPr>
                <w:rFonts w:cs="Calibri"/>
                <w:b/>
                <w:bCs/>
                <w:i/>
                <w:iCs/>
                <w:color w:val="auto"/>
                <w:lang w:val="en-AU"/>
              </w:rPr>
              <w:t>1.16</w:t>
            </w:r>
          </w:p>
        </w:tc>
        <w:tc>
          <w:tcPr>
            <w:tcW w:w="1134" w:type="dxa"/>
          </w:tcPr>
          <w:p w14:paraId="4BA04CEF" w14:textId="5FC7C223"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b/>
                <w:i/>
                <w:iCs/>
                <w:color w:val="auto"/>
                <w:lang w:val="en-AU"/>
              </w:rPr>
            </w:pPr>
            <w:r w:rsidRPr="00B7279C">
              <w:rPr>
                <w:rFonts w:cs="Calibri"/>
                <w:b/>
                <w:bCs/>
                <w:i/>
                <w:iCs/>
                <w:color w:val="auto"/>
                <w:lang w:val="en-AU"/>
              </w:rPr>
              <w:t>$</w:t>
            </w:r>
            <w:r w:rsidR="00166A29" w:rsidRPr="00B7279C">
              <w:rPr>
                <w:b/>
                <w:bCs/>
                <w:i/>
                <w:iCs/>
                <w:color w:val="auto"/>
                <w:lang w:val="en-AU"/>
              </w:rPr>
              <w:t>Redacted</w:t>
            </w:r>
            <w:r w:rsidR="00B00924" w:rsidRPr="00B7279C">
              <w:rPr>
                <w:b/>
                <w:bCs/>
                <w:i/>
                <w:iCs/>
                <w:color w:val="auto"/>
                <w:vertAlign w:val="superscript"/>
                <w:lang w:val="en-AU"/>
              </w:rPr>
              <w:t>1</w:t>
            </w:r>
            <w:r w:rsidR="00B00924" w:rsidRPr="00B7279C">
              <w:rPr>
                <w:b/>
                <w:bCs/>
                <w:i/>
                <w:iCs/>
                <w:color w:val="auto"/>
                <w:lang w:val="en-AU"/>
              </w:rPr>
              <w:t xml:space="preserve"> </w:t>
            </w:r>
          </w:p>
        </w:tc>
        <w:tc>
          <w:tcPr>
            <w:tcW w:w="1134" w:type="dxa"/>
          </w:tcPr>
          <w:p w14:paraId="5FB45A25"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i/>
                <w:iCs/>
                <w:color w:val="auto"/>
                <w:lang w:val="en-AU"/>
              </w:rPr>
              <w:t>-</w:t>
            </w:r>
          </w:p>
        </w:tc>
      </w:tr>
      <w:tr w:rsidR="007900E9" w:rsidRPr="00B27879" w14:paraId="0760E334"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77C2304E" w14:textId="77777777" w:rsidR="00A050DB" w:rsidRPr="00B27879" w:rsidRDefault="00A050DB" w:rsidP="00FE3A7F">
            <w:pPr>
              <w:pStyle w:val="TableText"/>
              <w:rPr>
                <w:color w:val="auto"/>
                <w:lang w:val="en-AU"/>
              </w:rPr>
            </w:pPr>
            <w:r w:rsidRPr="00B27879">
              <w:rPr>
                <w:color w:val="auto"/>
                <w:lang w:val="en-AU"/>
              </w:rPr>
              <w:t>Testing cost down by 20% (per identified pt)</w:t>
            </w:r>
          </w:p>
        </w:tc>
        <w:tc>
          <w:tcPr>
            <w:tcW w:w="1276" w:type="dxa"/>
          </w:tcPr>
          <w:p w14:paraId="6FC4196B" w14:textId="0D6FAAFC"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w:t>
            </w:r>
            <w:r w:rsidR="00B00924" w:rsidRPr="00B7279C">
              <w:rPr>
                <w:b/>
                <w:bCs/>
                <w:i/>
                <w:iCs/>
                <w:color w:val="auto"/>
                <w:lang w:val="en-AU"/>
              </w:rPr>
              <w:t>Redacted</w:t>
            </w:r>
          </w:p>
        </w:tc>
        <w:tc>
          <w:tcPr>
            <w:tcW w:w="1276" w:type="dxa"/>
          </w:tcPr>
          <w:p w14:paraId="51100C17"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1.16</w:t>
            </w:r>
          </w:p>
        </w:tc>
        <w:tc>
          <w:tcPr>
            <w:tcW w:w="1134" w:type="dxa"/>
          </w:tcPr>
          <w:p w14:paraId="6FACAFAF" w14:textId="0FFF391A"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w:t>
            </w:r>
            <w:r w:rsidR="00166A29" w:rsidRPr="00B7279C">
              <w:rPr>
                <w:b/>
                <w:bCs/>
                <w:i/>
                <w:iCs/>
                <w:color w:val="auto"/>
                <w:lang w:val="en-AU"/>
              </w:rPr>
              <w:t>Redacted</w:t>
            </w:r>
            <w:r w:rsidR="00B00924" w:rsidRPr="00B7279C">
              <w:rPr>
                <w:b/>
                <w:bCs/>
                <w:i/>
                <w:iCs/>
                <w:color w:val="auto"/>
                <w:vertAlign w:val="superscript"/>
                <w:lang w:val="en-AU"/>
              </w:rPr>
              <w:t>1</w:t>
            </w:r>
          </w:p>
        </w:tc>
        <w:tc>
          <w:tcPr>
            <w:tcW w:w="1134" w:type="dxa"/>
          </w:tcPr>
          <w:p w14:paraId="4EDCCAE7" w14:textId="4D3E4CB9" w:rsidR="00A050DB" w:rsidRPr="00B7279C" w:rsidRDefault="00166A29"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b/>
                <w:bCs/>
                <w:i/>
                <w:iCs/>
                <w:color w:val="auto"/>
                <w:lang w:val="en-AU"/>
              </w:rPr>
              <w:t>Redacted</w:t>
            </w:r>
            <w:r w:rsidR="00A050DB" w:rsidRPr="00B7279C">
              <w:rPr>
                <w:i/>
                <w:iCs/>
                <w:color w:val="auto"/>
                <w:lang w:val="en-AU"/>
              </w:rPr>
              <w:t>%</w:t>
            </w:r>
          </w:p>
        </w:tc>
      </w:tr>
      <w:tr w:rsidR="007900E9" w:rsidRPr="00B27879" w14:paraId="63367FA7"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2AF8E8DB" w14:textId="77777777" w:rsidR="00A050DB" w:rsidRPr="00B27879" w:rsidRDefault="00A050DB" w:rsidP="00FE3A7F">
            <w:pPr>
              <w:pStyle w:val="TableText"/>
              <w:rPr>
                <w:color w:val="auto"/>
                <w:lang w:val="en-AU"/>
              </w:rPr>
            </w:pPr>
            <w:r w:rsidRPr="00B27879">
              <w:rPr>
                <w:color w:val="auto"/>
                <w:lang w:val="en-AU"/>
              </w:rPr>
              <w:t>Testing cost up by 20% (per identified pt)</w:t>
            </w:r>
          </w:p>
        </w:tc>
        <w:tc>
          <w:tcPr>
            <w:tcW w:w="1276" w:type="dxa"/>
          </w:tcPr>
          <w:p w14:paraId="2A09DE6B" w14:textId="6A122A79"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w:t>
            </w:r>
            <w:r w:rsidR="00B00924" w:rsidRPr="00B7279C">
              <w:rPr>
                <w:b/>
                <w:bCs/>
                <w:i/>
                <w:iCs/>
                <w:color w:val="auto"/>
                <w:lang w:val="en-AU"/>
              </w:rPr>
              <w:t>Redacted</w:t>
            </w:r>
          </w:p>
        </w:tc>
        <w:tc>
          <w:tcPr>
            <w:tcW w:w="1276" w:type="dxa"/>
          </w:tcPr>
          <w:p w14:paraId="57A685F0"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1.16</w:t>
            </w:r>
          </w:p>
        </w:tc>
        <w:tc>
          <w:tcPr>
            <w:tcW w:w="1134" w:type="dxa"/>
          </w:tcPr>
          <w:p w14:paraId="2A6D2493" w14:textId="55F458EB"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rFonts w:cs="Calibri"/>
                <w:i/>
                <w:iCs/>
                <w:color w:val="auto"/>
                <w:lang w:val="en-AU"/>
              </w:rPr>
              <w:t>$</w:t>
            </w:r>
            <w:r w:rsidR="00166A29" w:rsidRPr="00B7279C">
              <w:rPr>
                <w:b/>
                <w:bCs/>
                <w:i/>
                <w:iCs/>
                <w:color w:val="auto"/>
                <w:lang w:val="en-AU"/>
              </w:rPr>
              <w:t>Redacted</w:t>
            </w:r>
            <w:r w:rsidR="00B00924" w:rsidRPr="00B7279C">
              <w:rPr>
                <w:b/>
                <w:bCs/>
                <w:i/>
                <w:iCs/>
                <w:color w:val="auto"/>
                <w:vertAlign w:val="superscript"/>
                <w:lang w:val="en-AU"/>
              </w:rPr>
              <w:t>1</w:t>
            </w:r>
          </w:p>
        </w:tc>
        <w:tc>
          <w:tcPr>
            <w:tcW w:w="1134" w:type="dxa"/>
          </w:tcPr>
          <w:p w14:paraId="3820F3D2" w14:textId="1A041DF8" w:rsidR="00A050DB" w:rsidRPr="00B7279C" w:rsidRDefault="00166A29"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b/>
                <w:bCs/>
                <w:i/>
                <w:iCs/>
                <w:color w:val="auto"/>
                <w:lang w:val="en-AU"/>
              </w:rPr>
              <w:t>Redacted</w:t>
            </w:r>
            <w:r w:rsidRPr="00B7279C" w:rsidDel="00166A29">
              <w:rPr>
                <w:i/>
                <w:iCs/>
                <w:color w:val="auto"/>
                <w:lang w:val="en-AU"/>
              </w:rPr>
              <w:t xml:space="preserve"> </w:t>
            </w:r>
            <w:r w:rsidR="00A050DB" w:rsidRPr="00B7279C">
              <w:rPr>
                <w:i/>
                <w:iCs/>
                <w:color w:val="auto"/>
                <w:lang w:val="en-AU"/>
              </w:rPr>
              <w:t>%</w:t>
            </w:r>
          </w:p>
        </w:tc>
      </w:tr>
      <w:tr w:rsidR="007900E9" w:rsidRPr="00B27879" w14:paraId="1B2897F5"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3CCC04A2" w14:textId="2CEC3E37" w:rsidR="00A050DB" w:rsidRPr="00B27879" w:rsidRDefault="00A050DB" w:rsidP="00FE3A7F">
            <w:pPr>
              <w:pStyle w:val="TableText"/>
              <w:rPr>
                <w:i/>
                <w:iCs/>
                <w:color w:val="auto"/>
                <w:lang w:val="en-AU"/>
              </w:rPr>
            </w:pPr>
            <w:r w:rsidRPr="00B27879">
              <w:rPr>
                <w:i/>
                <w:iCs/>
                <w:color w:val="auto"/>
                <w:lang w:val="en-AU"/>
              </w:rPr>
              <w:t>Testing assumed 100% MBS/ 0% Omico (BC: 60%</w:t>
            </w:r>
            <w:r w:rsidR="00E021B3">
              <w:rPr>
                <w:i/>
                <w:iCs/>
                <w:color w:val="auto"/>
                <w:lang w:val="en-AU"/>
              </w:rPr>
              <w:t xml:space="preserve"> MBS/ 40% Omico</w:t>
            </w:r>
            <w:r w:rsidRPr="00B27879">
              <w:rPr>
                <w:i/>
                <w:iCs/>
                <w:color w:val="auto"/>
                <w:lang w:val="en-AU"/>
              </w:rPr>
              <w:t>)</w:t>
            </w:r>
          </w:p>
        </w:tc>
        <w:tc>
          <w:tcPr>
            <w:tcW w:w="1276" w:type="dxa"/>
          </w:tcPr>
          <w:p w14:paraId="79DA81F5" w14:textId="2AFE6A78"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w:t>
            </w:r>
            <w:r w:rsidR="00B00924" w:rsidRPr="00B7279C">
              <w:rPr>
                <w:b/>
                <w:bCs/>
                <w:i/>
                <w:iCs/>
                <w:color w:val="auto"/>
                <w:lang w:val="en-AU"/>
              </w:rPr>
              <w:t>Redacted</w:t>
            </w:r>
          </w:p>
        </w:tc>
        <w:tc>
          <w:tcPr>
            <w:tcW w:w="1276" w:type="dxa"/>
          </w:tcPr>
          <w:p w14:paraId="4EB87C4E"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1.16</w:t>
            </w:r>
          </w:p>
        </w:tc>
        <w:tc>
          <w:tcPr>
            <w:tcW w:w="1134" w:type="dxa"/>
          </w:tcPr>
          <w:p w14:paraId="1685902F" w14:textId="7D4739FC"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w:t>
            </w:r>
            <w:r w:rsidR="00166A29" w:rsidRPr="00B7279C">
              <w:rPr>
                <w:b/>
                <w:bCs/>
                <w:i/>
                <w:iCs/>
                <w:color w:val="auto"/>
                <w:lang w:val="en-AU"/>
              </w:rPr>
              <w:t>Redacted</w:t>
            </w:r>
            <w:r w:rsidR="00B00924" w:rsidRPr="00B7279C">
              <w:rPr>
                <w:b/>
                <w:bCs/>
                <w:i/>
                <w:iCs/>
                <w:color w:val="auto"/>
                <w:vertAlign w:val="superscript"/>
                <w:lang w:val="en-AU"/>
              </w:rPr>
              <w:t>1</w:t>
            </w:r>
          </w:p>
        </w:tc>
        <w:tc>
          <w:tcPr>
            <w:tcW w:w="1134" w:type="dxa"/>
          </w:tcPr>
          <w:p w14:paraId="1CF9185E" w14:textId="308861D3" w:rsidR="00A050DB" w:rsidRPr="00B7279C" w:rsidRDefault="00166A29"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b/>
                <w:bCs/>
                <w:i/>
                <w:iCs/>
                <w:color w:val="auto"/>
                <w:lang w:val="en-AU"/>
              </w:rPr>
              <w:t>Redacted</w:t>
            </w:r>
            <w:r w:rsidRPr="00B7279C" w:rsidDel="00166A29">
              <w:rPr>
                <w:i/>
                <w:iCs/>
                <w:color w:val="auto"/>
                <w:lang w:val="en-AU"/>
              </w:rPr>
              <w:t xml:space="preserve"> </w:t>
            </w:r>
            <w:r w:rsidR="00A050DB" w:rsidRPr="00B7279C">
              <w:rPr>
                <w:i/>
                <w:iCs/>
                <w:color w:val="auto"/>
                <w:lang w:val="en-AU"/>
              </w:rPr>
              <w:t>%</w:t>
            </w:r>
          </w:p>
        </w:tc>
      </w:tr>
      <w:tr w:rsidR="007900E9" w:rsidRPr="00B27879" w14:paraId="5DADAF1A"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7F5A4241" w14:textId="2C67A7E8" w:rsidR="00A050DB" w:rsidRPr="00B27879" w:rsidRDefault="00A050DB" w:rsidP="00FE3A7F">
            <w:pPr>
              <w:pStyle w:val="TableText"/>
              <w:rPr>
                <w:i/>
                <w:iCs/>
                <w:color w:val="auto"/>
                <w:lang w:val="en-AU"/>
              </w:rPr>
            </w:pPr>
            <w:r w:rsidRPr="00B27879">
              <w:rPr>
                <w:i/>
                <w:iCs/>
                <w:color w:val="auto"/>
                <w:lang w:val="en-AU"/>
              </w:rPr>
              <w:t>Testing assumed 100% MBS and test cost doubled ($700)</w:t>
            </w:r>
          </w:p>
        </w:tc>
        <w:tc>
          <w:tcPr>
            <w:tcW w:w="1276" w:type="dxa"/>
          </w:tcPr>
          <w:p w14:paraId="44ACB6EB" w14:textId="7B1D9711"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w:t>
            </w:r>
            <w:r w:rsidR="00B00924" w:rsidRPr="00B7279C">
              <w:rPr>
                <w:b/>
                <w:bCs/>
                <w:i/>
                <w:iCs/>
                <w:color w:val="auto"/>
                <w:lang w:val="en-AU"/>
              </w:rPr>
              <w:t>Redacted</w:t>
            </w:r>
          </w:p>
        </w:tc>
        <w:tc>
          <w:tcPr>
            <w:tcW w:w="1276" w:type="dxa"/>
          </w:tcPr>
          <w:p w14:paraId="30F2203A" w14:textId="77777777"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1.16</w:t>
            </w:r>
          </w:p>
        </w:tc>
        <w:tc>
          <w:tcPr>
            <w:tcW w:w="1134" w:type="dxa"/>
          </w:tcPr>
          <w:p w14:paraId="53CB1627" w14:textId="393968F4" w:rsidR="00A050DB" w:rsidRPr="00B7279C" w:rsidRDefault="00A050DB" w:rsidP="00FE3A7F">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auto"/>
                <w:lang w:val="en-AU"/>
              </w:rPr>
            </w:pPr>
            <w:r w:rsidRPr="00B7279C">
              <w:rPr>
                <w:rFonts w:cs="Calibri"/>
                <w:i/>
                <w:iCs/>
                <w:color w:val="auto"/>
                <w:lang w:val="en-AU"/>
              </w:rPr>
              <w:t>$</w:t>
            </w:r>
            <w:r w:rsidR="00166A29" w:rsidRPr="00B7279C">
              <w:rPr>
                <w:b/>
                <w:bCs/>
                <w:i/>
                <w:iCs/>
                <w:color w:val="auto"/>
                <w:lang w:val="en-AU"/>
              </w:rPr>
              <w:t>Redacted</w:t>
            </w:r>
            <w:r w:rsidR="00B00924" w:rsidRPr="00B7279C">
              <w:rPr>
                <w:b/>
                <w:bCs/>
                <w:i/>
                <w:iCs/>
                <w:color w:val="auto"/>
                <w:vertAlign w:val="superscript"/>
                <w:lang w:val="en-AU"/>
              </w:rPr>
              <w:t>1</w:t>
            </w:r>
          </w:p>
        </w:tc>
        <w:tc>
          <w:tcPr>
            <w:tcW w:w="1134" w:type="dxa"/>
          </w:tcPr>
          <w:p w14:paraId="311DC224" w14:textId="6A7C2331" w:rsidR="00A050DB" w:rsidRPr="00B7279C" w:rsidRDefault="00166A29" w:rsidP="00FE3A7F">
            <w:pPr>
              <w:pStyle w:val="TableText"/>
              <w:jc w:val="center"/>
              <w:cnfStyle w:val="000000000000" w:firstRow="0" w:lastRow="0" w:firstColumn="0" w:lastColumn="0" w:oddVBand="0" w:evenVBand="0" w:oddHBand="0" w:evenHBand="0" w:firstRowFirstColumn="0" w:firstRowLastColumn="0" w:lastRowFirstColumn="0" w:lastRowLastColumn="0"/>
              <w:rPr>
                <w:i/>
                <w:iCs/>
                <w:color w:val="auto"/>
                <w:lang w:val="en-AU"/>
              </w:rPr>
            </w:pPr>
            <w:r w:rsidRPr="00B7279C">
              <w:rPr>
                <w:b/>
                <w:bCs/>
                <w:i/>
                <w:iCs/>
                <w:color w:val="auto"/>
                <w:lang w:val="en-AU"/>
              </w:rPr>
              <w:t>Redacted</w:t>
            </w:r>
            <w:r w:rsidRPr="00B7279C" w:rsidDel="00166A29">
              <w:rPr>
                <w:i/>
                <w:iCs/>
                <w:color w:val="auto"/>
                <w:lang w:val="en-AU"/>
              </w:rPr>
              <w:t xml:space="preserve"> </w:t>
            </w:r>
            <w:r w:rsidR="00A050DB" w:rsidRPr="00B7279C">
              <w:rPr>
                <w:i/>
                <w:iCs/>
                <w:color w:val="auto"/>
                <w:lang w:val="en-AU"/>
              </w:rPr>
              <w:t>%</w:t>
            </w:r>
          </w:p>
        </w:tc>
      </w:tr>
      <w:tr w:rsidR="004642AA" w:rsidRPr="00B27879" w14:paraId="5BBD575D" w14:textId="77777777" w:rsidTr="005B11D1">
        <w:tc>
          <w:tcPr>
            <w:cnfStyle w:val="001000000000" w:firstRow="0" w:lastRow="0" w:firstColumn="1" w:lastColumn="0" w:oddVBand="0" w:evenVBand="0" w:oddHBand="0" w:evenHBand="0" w:firstRowFirstColumn="0" w:firstRowLastColumn="0" w:lastRowFirstColumn="0" w:lastRowLastColumn="0"/>
            <w:tcW w:w="4106" w:type="dxa"/>
          </w:tcPr>
          <w:p w14:paraId="5BF5C0C4" w14:textId="68C6770F" w:rsidR="004642AA" w:rsidRPr="00B27879" w:rsidRDefault="004642AA" w:rsidP="004642AA">
            <w:pPr>
              <w:pStyle w:val="TableText"/>
              <w:rPr>
                <w:i/>
                <w:iCs/>
              </w:rPr>
            </w:pPr>
            <w:r>
              <w:rPr>
                <w:i/>
                <w:iCs/>
              </w:rPr>
              <w:t>Assume 10% prevalence for testing costs (BC: 20%)</w:t>
            </w:r>
          </w:p>
        </w:tc>
        <w:tc>
          <w:tcPr>
            <w:tcW w:w="1276" w:type="dxa"/>
          </w:tcPr>
          <w:p w14:paraId="7DF0FA3D" w14:textId="375F04BD" w:rsidR="004642AA" w:rsidRPr="00B7279C" w:rsidRDefault="004642AA" w:rsidP="004642AA">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rPr>
            </w:pPr>
            <w:r w:rsidRPr="00B7279C">
              <w:rPr>
                <w:rFonts w:cs="Calibri"/>
                <w:i/>
                <w:iCs/>
              </w:rPr>
              <w:t>$</w:t>
            </w:r>
            <w:r w:rsidR="00B00924" w:rsidRPr="00B7279C">
              <w:rPr>
                <w:b/>
                <w:bCs/>
                <w:i/>
                <w:iCs/>
                <w:color w:val="auto"/>
                <w:lang w:val="en-AU"/>
              </w:rPr>
              <w:t>Redacted</w:t>
            </w:r>
          </w:p>
        </w:tc>
        <w:tc>
          <w:tcPr>
            <w:tcW w:w="1276" w:type="dxa"/>
          </w:tcPr>
          <w:p w14:paraId="20BCEA9A" w14:textId="43CCA074" w:rsidR="004642AA" w:rsidRPr="00B7279C" w:rsidRDefault="004642AA" w:rsidP="004642AA">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rPr>
            </w:pPr>
            <w:r w:rsidRPr="00B7279C">
              <w:rPr>
                <w:rFonts w:cs="Calibri"/>
              </w:rPr>
              <w:t>1.16</w:t>
            </w:r>
          </w:p>
        </w:tc>
        <w:tc>
          <w:tcPr>
            <w:tcW w:w="1134" w:type="dxa"/>
          </w:tcPr>
          <w:p w14:paraId="0A80D3EA" w14:textId="53459CC0" w:rsidR="004642AA" w:rsidRPr="00B7279C" w:rsidRDefault="004642AA" w:rsidP="004642AA">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rPr>
            </w:pPr>
            <w:r w:rsidRPr="00B7279C">
              <w:rPr>
                <w:rFonts w:cs="Calibri"/>
                <w:i/>
                <w:iCs/>
              </w:rPr>
              <w:t>$</w:t>
            </w:r>
            <w:r w:rsidR="00166A29" w:rsidRPr="00B7279C">
              <w:rPr>
                <w:b/>
                <w:bCs/>
                <w:i/>
                <w:iCs/>
                <w:color w:val="auto"/>
                <w:lang w:val="en-AU"/>
              </w:rPr>
              <w:t>Redacted</w:t>
            </w:r>
            <w:r w:rsidR="00B00924" w:rsidRPr="00B7279C">
              <w:rPr>
                <w:b/>
                <w:bCs/>
                <w:i/>
                <w:iCs/>
                <w:color w:val="auto"/>
                <w:vertAlign w:val="superscript"/>
                <w:lang w:val="en-AU"/>
              </w:rPr>
              <w:t>1</w:t>
            </w:r>
          </w:p>
        </w:tc>
        <w:tc>
          <w:tcPr>
            <w:tcW w:w="1134" w:type="dxa"/>
          </w:tcPr>
          <w:p w14:paraId="0B4E73CE" w14:textId="309B66A4" w:rsidR="004642AA" w:rsidRPr="00B7279C" w:rsidRDefault="00166A29" w:rsidP="004642AA">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B7279C">
              <w:rPr>
                <w:b/>
                <w:bCs/>
                <w:i/>
                <w:iCs/>
                <w:color w:val="auto"/>
                <w:lang w:val="en-AU"/>
              </w:rPr>
              <w:t>Redacted</w:t>
            </w:r>
            <w:r w:rsidRPr="00B7279C" w:rsidDel="00166A29">
              <w:rPr>
                <w:i/>
                <w:iCs/>
              </w:rPr>
              <w:t xml:space="preserve"> </w:t>
            </w:r>
            <w:r w:rsidR="004642AA" w:rsidRPr="00B7279C">
              <w:rPr>
                <w:i/>
                <w:iCs/>
              </w:rPr>
              <w:t>%</w:t>
            </w:r>
          </w:p>
        </w:tc>
      </w:tr>
    </w:tbl>
    <w:p w14:paraId="5A422B41" w14:textId="309F42E3" w:rsidR="00A050DB" w:rsidRPr="00B27879" w:rsidRDefault="00A050DB" w:rsidP="2914E55D">
      <w:pPr>
        <w:pStyle w:val="TableFooter"/>
        <w:rPr>
          <w:sz w:val="20"/>
        </w:rPr>
      </w:pPr>
      <w:r w:rsidRPr="2914E55D">
        <w:t xml:space="preserve">Source. Attached Economic model, adjusted to remove half cycle correction for futibatinib acquisition costs and corrected error for half cycle correction in costs and outcomes. </w:t>
      </w:r>
    </w:p>
    <w:p w14:paraId="3782460A" w14:textId="0B7388DD" w:rsidR="00A050DB" w:rsidRPr="00B27879" w:rsidRDefault="00A050DB" w:rsidP="00A050DB">
      <w:pPr>
        <w:pStyle w:val="TableFigureFooter"/>
      </w:pPr>
      <w:r w:rsidRPr="2914E55D">
        <w:t xml:space="preserve">AE = adverse events; BC = base case; EOL = end of life; FUTI = futibatinib; ICER = incremental cost effectiveness ratio; KM = Kaplan Meier; MBS = Medicare Benefits Scheme; OS = overall survival; PBAC = Pharmaceutical Benefits Advisory Committee; PD = progressive disease; PF = progression free disease; QALY = quality adjusted life year; RDI = relative dose intensity; </w:t>
      </w:r>
    </w:p>
    <w:p w14:paraId="1BC5B6EA" w14:textId="77777777" w:rsidR="00A050DB" w:rsidRPr="00B27879" w:rsidRDefault="00A050DB" w:rsidP="00A050DB">
      <w:pPr>
        <w:pStyle w:val="TableFigureFooter"/>
      </w:pPr>
      <w:r w:rsidRPr="00B27879">
        <w:rPr>
          <w:vertAlign w:val="superscript"/>
        </w:rPr>
        <w:t>a</w:t>
      </w:r>
      <w:r w:rsidRPr="00B27879">
        <w:t xml:space="preserve"> Time horizon of 5 years and using utilities to durvalumab PBAC submission (PF 0.857; PD 0.766)</w:t>
      </w:r>
    </w:p>
    <w:p w14:paraId="44EF3793" w14:textId="24396438" w:rsidR="00166A29" w:rsidRPr="00B27879" w:rsidRDefault="00A050DB" w:rsidP="00C27915">
      <w:pPr>
        <w:pStyle w:val="TableFigureFooter"/>
        <w:spacing w:after="240"/>
      </w:pPr>
      <w:r w:rsidRPr="2914E55D">
        <w:t xml:space="preserve">Text in italics indicate analyses or values calculated during the evaluation. </w:t>
      </w:r>
      <w:r w:rsidR="00166A29">
        <w:br/>
      </w:r>
      <w:r w:rsidR="00B00924">
        <w:rPr>
          <w:vertAlign w:val="superscript"/>
        </w:rPr>
        <w:t>1</w:t>
      </w:r>
      <w:r w:rsidR="00166A29">
        <w:t>The redacted values correspond to the following range:</w:t>
      </w:r>
      <w:r w:rsidR="00B00924">
        <w:t xml:space="preserve"> </w:t>
      </w:r>
      <w:r w:rsidR="00B00924" w:rsidRPr="00CA27F8">
        <w:t>$95,000 to &lt;$115,000</w:t>
      </w:r>
      <w:r w:rsidR="00166A29">
        <w:t xml:space="preserve"> </w:t>
      </w:r>
    </w:p>
    <w:p w14:paraId="03159EDD" w14:textId="478280F5" w:rsidR="000C29ED" w:rsidRPr="00353AB8" w:rsidRDefault="00295F94" w:rsidP="00353AB8">
      <w:pPr>
        <w:pStyle w:val="MSACESParagraph"/>
        <w:rPr>
          <w:rFonts w:ascii="Franklin Gothic Book" w:hAnsi="Franklin Gothic Book"/>
          <w:sz w:val="22"/>
        </w:rPr>
      </w:pPr>
      <w:r w:rsidRPr="00353AB8">
        <w:rPr>
          <w:rFonts w:ascii="Franklin Gothic Book" w:hAnsi="Franklin Gothic Book"/>
          <w:sz w:val="22"/>
        </w:rPr>
        <w:t xml:space="preserve">The </w:t>
      </w:r>
      <w:r w:rsidR="00522BF3" w:rsidRPr="00353AB8">
        <w:rPr>
          <w:rFonts w:ascii="Franklin Gothic Book" w:hAnsi="Franklin Gothic Book"/>
          <w:sz w:val="22"/>
        </w:rPr>
        <w:t>commentary</w:t>
      </w:r>
      <w:r w:rsidRPr="00353AB8">
        <w:rPr>
          <w:rFonts w:ascii="Franklin Gothic Book" w:hAnsi="Franklin Gothic Book"/>
          <w:sz w:val="22"/>
        </w:rPr>
        <w:t xml:space="preserve"> considered that o</w:t>
      </w:r>
      <w:r w:rsidR="000C29ED" w:rsidRPr="00353AB8">
        <w:rPr>
          <w:rFonts w:ascii="Franklin Gothic Book" w:hAnsi="Franklin Gothic Book"/>
          <w:sz w:val="22"/>
        </w:rPr>
        <w:t xml:space="preserve">verall, it was extremely likely that the submission’s ICER was underestimated due to overestimated incremental futibatinib benefit in the MAIC, the lack of convergence of OS assumed, and the cost of futibatinib </w:t>
      </w:r>
      <w:r w:rsidR="000E6EFD" w:rsidRPr="00353AB8">
        <w:rPr>
          <w:rFonts w:ascii="Franklin Gothic Book" w:hAnsi="Franklin Gothic Book"/>
          <w:sz w:val="22"/>
        </w:rPr>
        <w:t>(</w:t>
      </w:r>
      <w:r w:rsidR="00897D31" w:rsidRPr="00353AB8">
        <w:rPr>
          <w:rFonts w:ascii="Franklin Gothic Book" w:hAnsi="Franklin Gothic Book"/>
          <w:sz w:val="22"/>
        </w:rPr>
        <w:t xml:space="preserve">which </w:t>
      </w:r>
      <w:r w:rsidR="000C29ED" w:rsidRPr="00353AB8">
        <w:rPr>
          <w:rFonts w:ascii="Franklin Gothic Book" w:hAnsi="Franklin Gothic Book"/>
          <w:sz w:val="22"/>
        </w:rPr>
        <w:t>may be underestimated due to misalignment between the model’s cycle length (every three weeks) with the dispensing frequency (every four weeks)</w:t>
      </w:r>
      <w:r w:rsidR="000E6EFD" w:rsidRPr="00353AB8">
        <w:rPr>
          <w:rFonts w:ascii="Franklin Gothic Book" w:hAnsi="Franklin Gothic Book"/>
          <w:sz w:val="22"/>
        </w:rPr>
        <w:t>)</w:t>
      </w:r>
      <w:r w:rsidR="00972DC3" w:rsidRPr="00353AB8">
        <w:rPr>
          <w:rFonts w:ascii="Franklin Gothic Book" w:hAnsi="Franklin Gothic Book"/>
          <w:sz w:val="22"/>
        </w:rPr>
        <w:t>, the assumption of a 83.26% dose intensity from the start of the model,</w:t>
      </w:r>
      <w:r w:rsidR="000C29ED" w:rsidRPr="00353AB8">
        <w:rPr>
          <w:rFonts w:ascii="Franklin Gothic Book" w:hAnsi="Franklin Gothic Book"/>
          <w:sz w:val="22"/>
        </w:rPr>
        <w:t xml:space="preserve"> and the lack of adjustment for post progression use as observed in FOENIX-CCA2. </w:t>
      </w:r>
      <w:r w:rsidR="00D22F94" w:rsidRPr="00353AB8">
        <w:rPr>
          <w:rFonts w:ascii="Franklin Gothic Book" w:hAnsi="Franklin Gothic Book"/>
          <w:sz w:val="22"/>
        </w:rPr>
        <w:t>See</w:t>
      </w:r>
      <w:r w:rsidR="003B4C4E">
        <w:rPr>
          <w:rFonts w:ascii="Franklin Gothic Book" w:hAnsi="Franklin Gothic Book"/>
          <w:sz w:val="22"/>
        </w:rPr>
        <w:t xml:space="preserve"> the</w:t>
      </w:r>
      <w:r w:rsidR="00D22F94" w:rsidRPr="00353AB8">
        <w:rPr>
          <w:rFonts w:ascii="Franklin Gothic Book" w:hAnsi="Franklin Gothic Book"/>
          <w:sz w:val="22"/>
        </w:rPr>
        <w:t xml:space="preserve"> PBAC</w:t>
      </w:r>
      <w:r w:rsidR="005F6C9D">
        <w:rPr>
          <w:rFonts w:ascii="Franklin Gothic Book" w:hAnsi="Franklin Gothic Book"/>
          <w:sz w:val="22"/>
        </w:rPr>
        <w:t xml:space="preserve"> public summary document</w:t>
      </w:r>
      <w:r w:rsidR="00D22F94" w:rsidRPr="00353AB8">
        <w:rPr>
          <w:rFonts w:ascii="Franklin Gothic Book" w:hAnsi="Franklin Gothic Book"/>
          <w:sz w:val="22"/>
        </w:rPr>
        <w:t xml:space="preserve"> for a</w:t>
      </w:r>
      <w:r w:rsidR="000C29ED" w:rsidRPr="00353AB8">
        <w:rPr>
          <w:rFonts w:ascii="Franklin Gothic Book" w:hAnsi="Franklin Gothic Book"/>
          <w:sz w:val="22"/>
        </w:rPr>
        <w:t xml:space="preserve"> more</w:t>
      </w:r>
      <w:r w:rsidR="00D22F94" w:rsidRPr="00353AB8">
        <w:rPr>
          <w:rFonts w:ascii="Franklin Gothic Book" w:hAnsi="Franklin Gothic Book"/>
          <w:sz w:val="22"/>
        </w:rPr>
        <w:t xml:space="preserve"> detailed description of the economic evaluation.</w:t>
      </w:r>
      <w:r w:rsidR="000C29ED" w:rsidRPr="00353AB8">
        <w:rPr>
          <w:rFonts w:ascii="Franklin Gothic Book" w:hAnsi="Franklin Gothic Book"/>
          <w:sz w:val="22"/>
        </w:rPr>
        <w:t xml:space="preserve"> </w:t>
      </w:r>
    </w:p>
    <w:p w14:paraId="2948932C" w14:textId="77777777" w:rsidR="00EE5014" w:rsidRPr="00353AB8" w:rsidRDefault="00EE5014" w:rsidP="00353AB8">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66" w:name="_Toc187865650"/>
      <w:r w:rsidRPr="00353AB8">
        <w:rPr>
          <w:rFonts w:ascii="Franklin Gothic Medium" w:hAnsi="Franklin Gothic Medium"/>
          <w:b w:val="0"/>
          <w:i w:val="0"/>
          <w:snapToGrid/>
          <w:color w:val="000000" w:themeColor="text1"/>
          <w:sz w:val="32"/>
          <w:szCs w:val="26"/>
        </w:rPr>
        <w:t>Financial/budgetary impacts</w:t>
      </w:r>
      <w:bookmarkEnd w:id="66"/>
    </w:p>
    <w:p w14:paraId="279C8D3B" w14:textId="54BD62D7" w:rsidR="003072EC" w:rsidRPr="00353AB8" w:rsidRDefault="000C29ED" w:rsidP="00353AB8">
      <w:pPr>
        <w:pStyle w:val="MSACESParagraph"/>
        <w:rPr>
          <w:rFonts w:ascii="Franklin Gothic Book" w:hAnsi="Franklin Gothic Book"/>
          <w:i/>
          <w:iCs/>
          <w:sz w:val="22"/>
        </w:rPr>
      </w:pPr>
      <w:r w:rsidRPr="00353AB8">
        <w:rPr>
          <w:rFonts w:ascii="Franklin Gothic Book" w:hAnsi="Franklin Gothic Book"/>
          <w:sz w:val="22"/>
        </w:rPr>
        <w:t xml:space="preserve">The submission took an epidemiological approach to provide the financial estimates. </w:t>
      </w:r>
      <w:r w:rsidR="003072EC" w:rsidRPr="00353AB8">
        <w:rPr>
          <w:rFonts w:ascii="Franklin Gothic Book" w:hAnsi="Franklin Gothic Book"/>
          <w:sz w:val="22"/>
        </w:rPr>
        <w:t>The submission assumed that testing will only occur once patients progress after first line durvalumab, and only in patients who will consider futibatinib (</w:t>
      </w:r>
      <w:r w:rsidR="00B00924" w:rsidRPr="00B00924">
        <w:rPr>
          <w:rFonts w:ascii="Franklin Gothic Book" w:hAnsi="Franklin Gothic Book"/>
          <w:b/>
          <w:bCs/>
          <w:sz w:val="22"/>
        </w:rPr>
        <w:t>Redacted</w:t>
      </w:r>
      <w:r w:rsidR="003072EC" w:rsidRPr="00353AB8">
        <w:rPr>
          <w:rFonts w:ascii="Franklin Gothic Book" w:hAnsi="Franklin Gothic Book"/>
          <w:sz w:val="22"/>
        </w:rPr>
        <w:t xml:space="preserve">% uptake rate). </w:t>
      </w:r>
      <w:r w:rsidR="00F1305E" w:rsidRPr="00353AB8">
        <w:rPr>
          <w:rFonts w:ascii="Franklin Gothic Book" w:hAnsi="Franklin Gothic Book"/>
          <w:sz w:val="22"/>
        </w:rPr>
        <w:t xml:space="preserve">The </w:t>
      </w:r>
      <w:r w:rsidR="00522BF3" w:rsidRPr="00353AB8">
        <w:rPr>
          <w:rFonts w:ascii="Franklin Gothic Book" w:hAnsi="Franklin Gothic Book"/>
          <w:sz w:val="22"/>
        </w:rPr>
        <w:t>commentary</w:t>
      </w:r>
      <w:r w:rsidR="00F1305E" w:rsidRPr="00353AB8">
        <w:rPr>
          <w:rFonts w:ascii="Franklin Gothic Book" w:hAnsi="Franklin Gothic Book"/>
          <w:sz w:val="22"/>
        </w:rPr>
        <w:t xml:space="preserve"> considered that t</w:t>
      </w:r>
      <w:r w:rsidR="003072EC" w:rsidRPr="00353AB8">
        <w:rPr>
          <w:rFonts w:ascii="Franklin Gothic Book" w:hAnsi="Franklin Gothic Book"/>
          <w:sz w:val="22"/>
        </w:rPr>
        <w:t xml:space="preserve">his </w:t>
      </w:r>
      <w:r w:rsidR="00D96295" w:rsidRPr="00353AB8">
        <w:rPr>
          <w:rFonts w:ascii="Franklin Gothic Book" w:hAnsi="Franklin Gothic Book"/>
          <w:sz w:val="22"/>
        </w:rPr>
        <w:t>wa</w:t>
      </w:r>
      <w:r w:rsidR="003072EC" w:rsidRPr="00353AB8">
        <w:rPr>
          <w:rFonts w:ascii="Franklin Gothic Book" w:hAnsi="Franklin Gothic Book"/>
          <w:sz w:val="22"/>
        </w:rPr>
        <w:t xml:space="preserve">s </w:t>
      </w:r>
      <w:r w:rsidR="006A5534" w:rsidRPr="00353AB8">
        <w:rPr>
          <w:rFonts w:ascii="Franklin Gothic Book" w:hAnsi="Franklin Gothic Book"/>
          <w:sz w:val="22"/>
        </w:rPr>
        <w:t xml:space="preserve">not consistent with </w:t>
      </w:r>
      <w:r w:rsidR="007B04C9" w:rsidRPr="00353AB8">
        <w:rPr>
          <w:rFonts w:ascii="Franklin Gothic Book" w:hAnsi="Franklin Gothic Book"/>
          <w:sz w:val="22"/>
        </w:rPr>
        <w:t xml:space="preserve">the </w:t>
      </w:r>
      <w:r w:rsidR="006A5534" w:rsidRPr="00353AB8">
        <w:rPr>
          <w:rFonts w:ascii="Franklin Gothic Book" w:hAnsi="Franklin Gothic Book"/>
          <w:sz w:val="22"/>
        </w:rPr>
        <w:t xml:space="preserve">proposed </w:t>
      </w:r>
      <w:r w:rsidR="007B04C9" w:rsidRPr="00353AB8">
        <w:rPr>
          <w:rFonts w:ascii="Franklin Gothic Book" w:hAnsi="Franklin Gothic Book"/>
          <w:sz w:val="22"/>
        </w:rPr>
        <w:t xml:space="preserve">test population </w:t>
      </w:r>
      <w:r w:rsidR="006A5534" w:rsidRPr="00353AB8">
        <w:rPr>
          <w:rFonts w:ascii="Franklin Gothic Book" w:hAnsi="Franklin Gothic Book"/>
          <w:sz w:val="22"/>
        </w:rPr>
        <w:t>of</w:t>
      </w:r>
      <w:r w:rsidR="007B04C9" w:rsidRPr="00353AB8">
        <w:rPr>
          <w:rFonts w:ascii="Franklin Gothic Book" w:hAnsi="Franklin Gothic Book"/>
          <w:sz w:val="22"/>
        </w:rPr>
        <w:t xml:space="preserve"> ‘adult patients with locally advanced or metastatic CCA’, and as such, the number of tests may be underestimated.</w:t>
      </w:r>
      <w:r w:rsidR="003072EC" w:rsidRPr="00353AB8">
        <w:rPr>
          <w:rFonts w:ascii="Franklin Gothic Book" w:hAnsi="Franklin Gothic Book"/>
          <w:sz w:val="22"/>
        </w:rPr>
        <w:t xml:space="preserve"> </w:t>
      </w:r>
      <w:r w:rsidR="00454DBA" w:rsidRPr="00353AB8">
        <w:rPr>
          <w:rFonts w:ascii="Franklin Gothic Book" w:hAnsi="Franklin Gothic Book"/>
          <w:sz w:val="22"/>
        </w:rPr>
        <w:t xml:space="preserve">However, the number of tests was based on number of patient-years of treatment with futibatinib </w:t>
      </w:r>
      <w:r w:rsidR="006E6296" w:rsidRPr="00353AB8">
        <w:rPr>
          <w:rFonts w:ascii="Franklin Gothic Book" w:hAnsi="Franklin Gothic Book"/>
          <w:sz w:val="22"/>
        </w:rPr>
        <w:t xml:space="preserve">in incident patients </w:t>
      </w:r>
      <w:r w:rsidR="00454DBA" w:rsidRPr="00353AB8">
        <w:rPr>
          <w:rFonts w:ascii="Franklin Gothic Book" w:hAnsi="Franklin Gothic Book"/>
          <w:sz w:val="22"/>
        </w:rPr>
        <w:t>rather than the number of patients treated</w:t>
      </w:r>
      <w:r w:rsidR="006E6296" w:rsidRPr="00353AB8">
        <w:rPr>
          <w:rFonts w:ascii="Franklin Gothic Book" w:hAnsi="Franklin Gothic Book"/>
          <w:sz w:val="22"/>
        </w:rPr>
        <w:t>.</w:t>
      </w:r>
      <w:r w:rsidR="00454DBA" w:rsidRPr="00353AB8">
        <w:rPr>
          <w:rFonts w:ascii="Franklin Gothic Book" w:hAnsi="Franklin Gothic Book"/>
          <w:sz w:val="22"/>
        </w:rPr>
        <w:t xml:space="preserve"> </w:t>
      </w:r>
      <w:r w:rsidR="006E6296" w:rsidRPr="00353AB8">
        <w:rPr>
          <w:rFonts w:ascii="Franklin Gothic Book" w:hAnsi="Franklin Gothic Book"/>
          <w:sz w:val="22"/>
        </w:rPr>
        <w:t>A</w:t>
      </w:r>
      <w:r w:rsidR="00454DBA" w:rsidRPr="00353AB8">
        <w:rPr>
          <w:rFonts w:ascii="Franklin Gothic Book" w:hAnsi="Franklin Gothic Book"/>
          <w:sz w:val="22"/>
        </w:rPr>
        <w:t xml:space="preserve">s the treatment duration per patient </w:t>
      </w:r>
      <w:r w:rsidR="006E6296" w:rsidRPr="00353AB8">
        <w:rPr>
          <w:rFonts w:ascii="Franklin Gothic Book" w:hAnsi="Franklin Gothic Book"/>
          <w:sz w:val="22"/>
        </w:rPr>
        <w:t xml:space="preserve">(12.5 months) </w:t>
      </w:r>
      <w:r w:rsidR="00454DBA" w:rsidRPr="00353AB8">
        <w:rPr>
          <w:rFonts w:ascii="Franklin Gothic Book" w:hAnsi="Franklin Gothic Book"/>
          <w:sz w:val="22"/>
        </w:rPr>
        <w:t>exceeded one year,</w:t>
      </w:r>
      <w:r w:rsidR="006E6296" w:rsidRPr="00353AB8">
        <w:rPr>
          <w:rFonts w:ascii="Franklin Gothic Book" w:hAnsi="Franklin Gothic Book"/>
          <w:sz w:val="22"/>
        </w:rPr>
        <w:t xml:space="preserve"> the number of patient-years was higher than the number of patients treated.</w:t>
      </w:r>
      <w:r w:rsidR="00454DBA" w:rsidRPr="00353AB8">
        <w:rPr>
          <w:rFonts w:ascii="Franklin Gothic Book" w:hAnsi="Franklin Gothic Book"/>
          <w:sz w:val="22"/>
        </w:rPr>
        <w:t xml:space="preserve"> </w:t>
      </w:r>
      <w:r w:rsidR="006E6296" w:rsidRPr="00353AB8">
        <w:rPr>
          <w:rFonts w:ascii="Franklin Gothic Book" w:hAnsi="Franklin Gothic Book"/>
          <w:sz w:val="22"/>
        </w:rPr>
        <w:t>T</w:t>
      </w:r>
      <w:r w:rsidR="00454DBA" w:rsidRPr="00353AB8">
        <w:rPr>
          <w:rFonts w:ascii="Franklin Gothic Book" w:hAnsi="Franklin Gothic Book"/>
          <w:sz w:val="22"/>
        </w:rPr>
        <w:t xml:space="preserve">his resulted in </w:t>
      </w:r>
      <w:r w:rsidR="00677912" w:rsidRPr="00353AB8">
        <w:rPr>
          <w:rFonts w:ascii="Franklin Gothic Book" w:hAnsi="Franklin Gothic Book"/>
          <w:sz w:val="22"/>
        </w:rPr>
        <w:t xml:space="preserve">an estimated </w:t>
      </w:r>
      <w:r w:rsidR="00BA16BC" w:rsidRPr="00353AB8">
        <w:rPr>
          <w:rFonts w:ascii="Franklin Gothic Book" w:hAnsi="Franklin Gothic Book"/>
          <w:sz w:val="22"/>
        </w:rPr>
        <w:t>5.2 test</w:t>
      </w:r>
      <w:r w:rsidR="00677912" w:rsidRPr="00353AB8">
        <w:rPr>
          <w:rFonts w:ascii="Franklin Gothic Book" w:hAnsi="Franklin Gothic Book"/>
          <w:sz w:val="22"/>
        </w:rPr>
        <w:t>s</w:t>
      </w:r>
      <w:r w:rsidR="00BA16BC" w:rsidRPr="00353AB8">
        <w:rPr>
          <w:rFonts w:ascii="Franklin Gothic Book" w:hAnsi="Franklin Gothic Book"/>
          <w:sz w:val="22"/>
        </w:rPr>
        <w:t xml:space="preserve"> per patient treated</w:t>
      </w:r>
      <w:r w:rsidR="006E6296" w:rsidRPr="00353AB8">
        <w:rPr>
          <w:rFonts w:ascii="Franklin Gothic Book" w:hAnsi="Franklin Gothic Book"/>
          <w:sz w:val="22"/>
        </w:rPr>
        <w:t>, which was inconsistent with the assumption of 20% prevalence</w:t>
      </w:r>
      <w:r w:rsidR="00677912" w:rsidRPr="00353AB8">
        <w:rPr>
          <w:rFonts w:ascii="Franklin Gothic Book" w:hAnsi="Franklin Gothic Book"/>
          <w:sz w:val="22"/>
        </w:rPr>
        <w:t xml:space="preserve"> (with no retesting) and may be a slight overestimate</w:t>
      </w:r>
      <w:r w:rsidR="00BA16BC" w:rsidRPr="00353AB8">
        <w:rPr>
          <w:rFonts w:ascii="Franklin Gothic Book" w:hAnsi="Franklin Gothic Book"/>
          <w:sz w:val="22"/>
        </w:rPr>
        <w:t>.</w:t>
      </w:r>
      <w:r w:rsidR="006E6296" w:rsidRPr="00353AB8">
        <w:rPr>
          <w:rFonts w:ascii="Franklin Gothic Book" w:hAnsi="Franklin Gothic Book"/>
          <w:i/>
          <w:iCs/>
          <w:sz w:val="22"/>
        </w:rPr>
        <w:t xml:space="preserve"> </w:t>
      </w:r>
    </w:p>
    <w:p w14:paraId="6EAEE11F" w14:textId="37FCFF82" w:rsidR="00696F95" w:rsidRPr="00353AB8" w:rsidRDefault="001F5863" w:rsidP="00353AB8">
      <w:pPr>
        <w:pStyle w:val="MSACESParagraph"/>
        <w:rPr>
          <w:rFonts w:ascii="Franklin Gothic Book" w:hAnsi="Franklin Gothic Book"/>
          <w:sz w:val="22"/>
        </w:rPr>
      </w:pPr>
      <w:r w:rsidRPr="001F5863">
        <w:rPr>
          <w:rFonts w:ascii="Franklin Gothic Book" w:hAnsi="Franklin Gothic Book"/>
          <w:sz w:val="22"/>
        </w:rPr>
        <w:fldChar w:fldCharType="begin"/>
      </w:r>
      <w:r w:rsidRPr="001F5863">
        <w:rPr>
          <w:rFonts w:ascii="Franklin Gothic Book" w:hAnsi="Franklin Gothic Book"/>
          <w:sz w:val="22"/>
        </w:rPr>
        <w:instrText xml:space="preserve"> REF _Ref198447718  \* MERGEFORMAT </w:instrText>
      </w:r>
      <w:r w:rsidRPr="001F5863">
        <w:rPr>
          <w:rFonts w:ascii="Franklin Gothic Book" w:hAnsi="Franklin Gothic Book"/>
          <w:sz w:val="22"/>
        </w:rPr>
        <w:fldChar w:fldCharType="separate"/>
      </w:r>
      <w:r w:rsidRPr="001F5863">
        <w:rPr>
          <w:rFonts w:ascii="Franklin Gothic Book" w:hAnsi="Franklin Gothic Book"/>
          <w:sz w:val="22"/>
        </w:rPr>
        <w:t xml:space="preserve">Table </w:t>
      </w:r>
      <w:r w:rsidRPr="001F5863">
        <w:rPr>
          <w:rFonts w:ascii="Franklin Gothic Book" w:hAnsi="Franklin Gothic Book"/>
          <w:noProof/>
          <w:sz w:val="22"/>
        </w:rPr>
        <w:t>19</w:t>
      </w:r>
      <w:r w:rsidRPr="001F5863">
        <w:rPr>
          <w:rFonts w:ascii="Franklin Gothic Book" w:hAnsi="Franklin Gothic Book"/>
          <w:sz w:val="22"/>
        </w:rPr>
        <w:fldChar w:fldCharType="end"/>
      </w:r>
      <w:r>
        <w:rPr>
          <w:rFonts w:ascii="Franklin Gothic Book" w:hAnsi="Franklin Gothic Book"/>
          <w:sz w:val="22"/>
        </w:rPr>
        <w:t xml:space="preserve"> </w:t>
      </w:r>
      <w:r w:rsidR="00506D42" w:rsidRPr="00353AB8">
        <w:rPr>
          <w:rFonts w:ascii="Franklin Gothic Book" w:hAnsi="Franklin Gothic Book"/>
          <w:sz w:val="22"/>
        </w:rPr>
        <w:t xml:space="preserve">presents the estimated use and financial implications of </w:t>
      </w:r>
      <w:r w:rsidR="00506D42" w:rsidRPr="00353AB8">
        <w:rPr>
          <w:rFonts w:ascii="Franklin Gothic Book" w:hAnsi="Franklin Gothic Book"/>
          <w:i/>
          <w:iCs/>
          <w:sz w:val="22"/>
        </w:rPr>
        <w:t>FGFR2</w:t>
      </w:r>
      <w:r w:rsidR="00506D42" w:rsidRPr="00353AB8">
        <w:rPr>
          <w:rFonts w:ascii="Franklin Gothic Book" w:hAnsi="Franklin Gothic Book"/>
          <w:sz w:val="22"/>
        </w:rPr>
        <w:t xml:space="preserve"> testing to the MBS. The submission estimated a test cost of $350, consistent with the economic evaluation and a diagnostic yield of 20%</w:t>
      </w:r>
      <w:r w:rsidR="007B04C9" w:rsidRPr="00353AB8">
        <w:rPr>
          <w:rFonts w:ascii="Franklin Gothic Book" w:hAnsi="Franklin Gothic Book"/>
          <w:sz w:val="22"/>
        </w:rPr>
        <w:t xml:space="preserve">. Based on these estimates, the cost to detect one FGFR2 fusion/rearrangement was $1750. </w:t>
      </w:r>
      <w:r w:rsidR="00F35EFA" w:rsidRPr="00353AB8">
        <w:rPr>
          <w:rFonts w:ascii="Franklin Gothic Book" w:hAnsi="Franklin Gothic Book"/>
          <w:sz w:val="22"/>
        </w:rPr>
        <w:t xml:space="preserve">Sensitivity analyses around the testing population is also presented below. </w:t>
      </w:r>
      <w:r w:rsidR="00522BF3" w:rsidRPr="00353AB8">
        <w:rPr>
          <w:rFonts w:ascii="Franklin Gothic Book" w:hAnsi="Franklin Gothic Book"/>
          <w:sz w:val="22"/>
        </w:rPr>
        <w:t>The commentary considered that a</w:t>
      </w:r>
      <w:r w:rsidR="005C2980" w:rsidRPr="00353AB8">
        <w:rPr>
          <w:rFonts w:ascii="Franklin Gothic Book" w:hAnsi="Franklin Gothic Book"/>
          <w:sz w:val="22"/>
        </w:rPr>
        <w:t xml:space="preserve"> key uncertainty was the use of adult population (aged 18 to 100) instead of all Australian population (age 0-100) </w:t>
      </w:r>
      <w:r w:rsidR="00EC3570" w:rsidRPr="00353AB8">
        <w:rPr>
          <w:rFonts w:ascii="Franklin Gothic Book" w:hAnsi="Franklin Gothic Book"/>
          <w:sz w:val="22"/>
        </w:rPr>
        <w:t xml:space="preserve">to derive number of CCA patients </w:t>
      </w:r>
      <w:r w:rsidR="005C2980" w:rsidRPr="00353AB8">
        <w:rPr>
          <w:rFonts w:ascii="Franklin Gothic Book" w:hAnsi="Franklin Gothic Book"/>
          <w:sz w:val="22"/>
        </w:rPr>
        <w:t>in the estimates</w:t>
      </w:r>
      <w:r w:rsidR="00E6101A" w:rsidRPr="00353AB8">
        <w:rPr>
          <w:rFonts w:ascii="Franklin Gothic Book" w:hAnsi="Franklin Gothic Book"/>
          <w:sz w:val="22"/>
        </w:rPr>
        <w:t xml:space="preserve"> despite the incidence rate </w:t>
      </w:r>
      <w:r w:rsidR="00C46D78" w:rsidRPr="00353AB8">
        <w:rPr>
          <w:rFonts w:ascii="Franklin Gothic Book" w:hAnsi="Franklin Gothic Book"/>
          <w:sz w:val="22"/>
        </w:rPr>
        <w:t>being based on the full population</w:t>
      </w:r>
      <w:r w:rsidR="005C2980" w:rsidRPr="00353AB8">
        <w:rPr>
          <w:rFonts w:ascii="Franklin Gothic Book" w:hAnsi="Franklin Gothic Book"/>
          <w:sz w:val="22"/>
        </w:rPr>
        <w:t xml:space="preserve">. </w:t>
      </w:r>
      <w:r w:rsidR="004F14EC" w:rsidRPr="00353AB8">
        <w:rPr>
          <w:rFonts w:ascii="Franklin Gothic Book" w:hAnsi="Franklin Gothic Book"/>
          <w:sz w:val="22"/>
        </w:rPr>
        <w:t>Given that paediatric CCA is</w:t>
      </w:r>
      <w:r w:rsidR="0043426D" w:rsidRPr="00353AB8">
        <w:rPr>
          <w:rFonts w:ascii="Franklin Gothic Book" w:hAnsi="Franklin Gothic Book"/>
          <w:sz w:val="22"/>
        </w:rPr>
        <w:t xml:space="preserve"> </w:t>
      </w:r>
      <w:r w:rsidR="000F181F" w:rsidRPr="00353AB8">
        <w:rPr>
          <w:rFonts w:ascii="Franklin Gothic Book" w:hAnsi="Franklin Gothic Book"/>
          <w:sz w:val="22"/>
        </w:rPr>
        <w:t>extremely rare</w:t>
      </w:r>
      <w:r w:rsidR="00D523D8" w:rsidRPr="00353AB8">
        <w:rPr>
          <w:rFonts w:ascii="Franklin Gothic Book" w:hAnsi="Franklin Gothic Book"/>
          <w:sz w:val="22"/>
        </w:rPr>
        <w:t>, the incidence rate in adults would be higher than the incidence</w:t>
      </w:r>
      <w:r w:rsidR="00924F65" w:rsidRPr="00353AB8">
        <w:rPr>
          <w:rFonts w:ascii="Franklin Gothic Book" w:hAnsi="Franklin Gothic Book"/>
          <w:sz w:val="22"/>
        </w:rPr>
        <w:t xml:space="preserve"> rate</w:t>
      </w:r>
      <w:r w:rsidR="00D523D8" w:rsidRPr="00353AB8">
        <w:rPr>
          <w:rFonts w:ascii="Franklin Gothic Book" w:hAnsi="Franklin Gothic Book"/>
          <w:sz w:val="22"/>
        </w:rPr>
        <w:t xml:space="preserve"> </w:t>
      </w:r>
      <w:r w:rsidR="00ED51DA" w:rsidRPr="00353AB8">
        <w:rPr>
          <w:rFonts w:ascii="Franklin Gothic Book" w:hAnsi="Franklin Gothic Book"/>
          <w:sz w:val="22"/>
        </w:rPr>
        <w:t>in</w:t>
      </w:r>
      <w:r w:rsidR="00D523D8" w:rsidRPr="00353AB8">
        <w:rPr>
          <w:rFonts w:ascii="Franklin Gothic Book" w:hAnsi="Franklin Gothic Book"/>
          <w:sz w:val="22"/>
        </w:rPr>
        <w:t xml:space="preserve"> the full population. Therefore, </w:t>
      </w:r>
      <w:r w:rsidR="004F14EC" w:rsidRPr="00353AB8">
        <w:rPr>
          <w:rFonts w:ascii="Franklin Gothic Book" w:hAnsi="Franklin Gothic Book"/>
          <w:sz w:val="22"/>
        </w:rPr>
        <w:t>the application of the incidence rate of the full population to the adult only population will result in an underestimate of the number of cases.</w:t>
      </w:r>
      <w:r w:rsidR="005C2980" w:rsidRPr="00353AB8">
        <w:rPr>
          <w:rFonts w:ascii="Franklin Gothic Book" w:hAnsi="Franklin Gothic Book"/>
          <w:sz w:val="22"/>
        </w:rPr>
        <w:t xml:space="preserve"> During the </w:t>
      </w:r>
      <w:r w:rsidR="00522BF3" w:rsidRPr="00353AB8">
        <w:rPr>
          <w:rFonts w:ascii="Franklin Gothic Book" w:hAnsi="Franklin Gothic Book"/>
          <w:sz w:val="22"/>
        </w:rPr>
        <w:t>development of the commentary</w:t>
      </w:r>
      <w:r w:rsidR="005C2980" w:rsidRPr="00353AB8">
        <w:rPr>
          <w:rFonts w:ascii="Franklin Gothic Book" w:hAnsi="Franklin Gothic Book"/>
          <w:sz w:val="22"/>
        </w:rPr>
        <w:t>, financial estimates using all Australian populations were calculated</w:t>
      </w:r>
      <w:r w:rsidR="00CB30FB" w:rsidRPr="00353AB8">
        <w:rPr>
          <w:rFonts w:ascii="Franklin Gothic Book" w:hAnsi="Franklin Gothic Book"/>
          <w:sz w:val="22"/>
        </w:rPr>
        <w:t xml:space="preserve"> and included below.</w:t>
      </w:r>
    </w:p>
    <w:p w14:paraId="7D2EDC16" w14:textId="3E61A75A" w:rsidR="00135214" w:rsidRPr="00353AB8" w:rsidRDefault="00167C37" w:rsidP="00353AB8">
      <w:pPr>
        <w:pStyle w:val="MSACESParagraph"/>
        <w:rPr>
          <w:rFonts w:ascii="Franklin Gothic Book" w:hAnsi="Franklin Gothic Book"/>
          <w:sz w:val="22"/>
        </w:rPr>
      </w:pPr>
      <w:r w:rsidRPr="00353AB8">
        <w:rPr>
          <w:rFonts w:ascii="Franklin Gothic Book" w:hAnsi="Franklin Gothic Book"/>
          <w:sz w:val="22"/>
        </w:rPr>
        <w:lastRenderedPageBreak/>
        <w:t>As discussed in Section 10</w:t>
      </w:r>
      <w:r w:rsidR="004409E0" w:rsidRPr="00353AB8">
        <w:rPr>
          <w:rFonts w:ascii="Franklin Gothic Book" w:hAnsi="Franklin Gothic Book"/>
          <w:sz w:val="22"/>
        </w:rPr>
        <w:t xml:space="preserve">, Economic Evaluation of the </w:t>
      </w:r>
      <w:r w:rsidR="00B05722" w:rsidRPr="00353AB8">
        <w:rPr>
          <w:rFonts w:ascii="Franklin Gothic Book" w:hAnsi="Franklin Gothic Book"/>
          <w:sz w:val="22"/>
        </w:rPr>
        <w:t>MSAC executive summary</w:t>
      </w:r>
      <w:r w:rsidRPr="00353AB8">
        <w:rPr>
          <w:rFonts w:ascii="Franklin Gothic Book" w:hAnsi="Franklin Gothic Book"/>
          <w:sz w:val="22"/>
        </w:rPr>
        <w:t>, it was unlikely testing via Omico would continue at the same rate after MBS item recommended. Moreover, patients would be able to claim the MBS rebate even if service is provided through Omico providers as long as the provider is eligible and as such the distribution of Omico relative to non-Omico would not impact the financial estimates.</w:t>
      </w:r>
    </w:p>
    <w:p w14:paraId="2254BBCB" w14:textId="790CD4BC" w:rsidR="00306E6E" w:rsidRPr="00353AB8" w:rsidRDefault="00306E6E" w:rsidP="00353AB8">
      <w:pPr>
        <w:pStyle w:val="MSACESParagraph"/>
        <w:rPr>
          <w:rFonts w:ascii="Franklin Gothic Book" w:hAnsi="Franklin Gothic Book"/>
          <w:sz w:val="22"/>
        </w:rPr>
      </w:pPr>
      <w:r w:rsidRPr="00353AB8">
        <w:rPr>
          <w:rFonts w:ascii="Franklin Gothic Book" w:hAnsi="Franklin Gothic Book"/>
          <w:sz w:val="22"/>
        </w:rPr>
        <w:t xml:space="preserve">The submission (p216) notes that the futibatinib PI states: Ophthalmological examination should be performed prior to initiation of therapy, 6 weeks thereafter, and urgently at any time for visual symptoms. </w:t>
      </w:r>
      <w:r w:rsidR="005A7476" w:rsidRPr="00353AB8">
        <w:rPr>
          <w:rFonts w:ascii="Franklin Gothic Book" w:hAnsi="Franklin Gothic Book"/>
          <w:sz w:val="22"/>
        </w:rPr>
        <w:t xml:space="preserve">In the financial estimates, two </w:t>
      </w:r>
      <w:r w:rsidRPr="00353AB8">
        <w:rPr>
          <w:rFonts w:ascii="Franklin Gothic Book" w:hAnsi="Franklin Gothic Book"/>
          <w:sz w:val="22"/>
        </w:rPr>
        <w:t>optical coherence tomography (OCT</w:t>
      </w:r>
      <w:r w:rsidR="005A7476" w:rsidRPr="00353AB8">
        <w:rPr>
          <w:rFonts w:ascii="Franklin Gothic Book" w:hAnsi="Franklin Gothic Book"/>
          <w:sz w:val="22"/>
        </w:rPr>
        <w:t>; MBS item 11219</w:t>
      </w:r>
      <w:r w:rsidRPr="00353AB8">
        <w:rPr>
          <w:rFonts w:ascii="Franklin Gothic Book" w:hAnsi="Franklin Gothic Book"/>
          <w:sz w:val="22"/>
        </w:rPr>
        <w:t xml:space="preserve">) was included for each patient </w:t>
      </w:r>
      <w:r w:rsidR="00F97EF4" w:rsidRPr="00353AB8">
        <w:rPr>
          <w:rFonts w:ascii="Franklin Gothic Book" w:hAnsi="Franklin Gothic Book"/>
          <w:sz w:val="22"/>
        </w:rPr>
        <w:t>treated with futibatinib</w:t>
      </w:r>
      <w:r w:rsidR="00CD167E" w:rsidRPr="00353AB8">
        <w:rPr>
          <w:rFonts w:ascii="Franklin Gothic Book" w:hAnsi="Franklin Gothic Book"/>
          <w:sz w:val="22"/>
        </w:rPr>
        <w:t xml:space="preserve"> (assumed treatment duration of 56.05 weeks)</w:t>
      </w:r>
      <w:r w:rsidRPr="00353AB8">
        <w:rPr>
          <w:rFonts w:ascii="Franklin Gothic Book" w:hAnsi="Franklin Gothic Book"/>
          <w:sz w:val="22"/>
        </w:rPr>
        <w:t>.</w:t>
      </w:r>
      <w:r w:rsidR="005A7476" w:rsidRPr="00353AB8">
        <w:rPr>
          <w:rFonts w:ascii="Franklin Gothic Book" w:hAnsi="Franklin Gothic Book"/>
          <w:sz w:val="22"/>
        </w:rPr>
        <w:t xml:space="preserve"> </w:t>
      </w:r>
    </w:p>
    <w:p w14:paraId="13D1EEDD" w14:textId="412FC088" w:rsidR="00976E69" w:rsidRPr="00353AB8" w:rsidRDefault="00976E69" w:rsidP="00353AB8">
      <w:pPr>
        <w:pStyle w:val="MSACESParagraph"/>
        <w:rPr>
          <w:rFonts w:ascii="Franklin Gothic Book" w:hAnsi="Franklin Gothic Book"/>
          <w:i/>
          <w:iCs/>
          <w:sz w:val="22"/>
        </w:rPr>
      </w:pPr>
      <w:r w:rsidRPr="00353AB8">
        <w:rPr>
          <w:rFonts w:ascii="Franklin Gothic Book" w:hAnsi="Franklin Gothic Book"/>
          <w:sz w:val="22"/>
        </w:rPr>
        <w:t xml:space="preserve">An 80% rebate was applied to all MBS item costs. </w:t>
      </w:r>
      <w:r w:rsidR="00C73E87" w:rsidRPr="00353AB8">
        <w:rPr>
          <w:rFonts w:ascii="Franklin Gothic Book" w:hAnsi="Franklin Gothic Book"/>
          <w:sz w:val="22"/>
        </w:rPr>
        <w:t xml:space="preserve">The </w:t>
      </w:r>
      <w:r w:rsidR="00522BF3" w:rsidRPr="00353AB8">
        <w:rPr>
          <w:rFonts w:ascii="Franklin Gothic Book" w:hAnsi="Franklin Gothic Book"/>
          <w:sz w:val="22"/>
        </w:rPr>
        <w:t>commentary noted</w:t>
      </w:r>
      <w:r w:rsidR="00A127C4" w:rsidRPr="00353AB8">
        <w:rPr>
          <w:rFonts w:ascii="Franklin Gothic Book" w:hAnsi="Franklin Gothic Book"/>
          <w:sz w:val="22"/>
        </w:rPr>
        <w:t xml:space="preserve"> that n</w:t>
      </w:r>
      <w:r w:rsidRPr="00353AB8">
        <w:rPr>
          <w:rFonts w:ascii="Franklin Gothic Book" w:hAnsi="Franklin Gothic Book"/>
          <w:sz w:val="22"/>
        </w:rPr>
        <w:t xml:space="preserve">o justification was provided for this by the submission, although it was acknowledged that </w:t>
      </w:r>
      <w:r w:rsidR="00A51554" w:rsidRPr="00353AB8">
        <w:rPr>
          <w:rFonts w:ascii="Franklin Gothic Book" w:hAnsi="Franklin Gothic Book"/>
          <w:sz w:val="22"/>
        </w:rPr>
        <w:t xml:space="preserve">the MSAC guidelines (p214) indicate that if proportion of the different levels of MBS benefit (75% or 85%) was unknown, a pragmatic approach assuming the 80% level of MBS item may be used. </w:t>
      </w:r>
      <w:r w:rsidR="005F19AF" w:rsidRPr="00353AB8">
        <w:rPr>
          <w:rFonts w:ascii="Franklin Gothic Book" w:hAnsi="Franklin Gothic Book"/>
          <w:sz w:val="22"/>
        </w:rPr>
        <w:t xml:space="preserve">The financial impact to the MBS assuming an 85% rebate was </w:t>
      </w:r>
      <w:r w:rsidR="00A56861" w:rsidRPr="00353AB8">
        <w:rPr>
          <w:rFonts w:ascii="Franklin Gothic Book" w:hAnsi="Franklin Gothic Book"/>
          <w:sz w:val="22"/>
        </w:rPr>
        <w:t xml:space="preserve">calculated as a sensitivity analysis during the evaluation. </w:t>
      </w:r>
    </w:p>
    <w:p w14:paraId="7E515629" w14:textId="70051773" w:rsidR="00854EF0" w:rsidRPr="00B27879" w:rsidRDefault="009D316D" w:rsidP="009D316D">
      <w:pPr>
        <w:pStyle w:val="Caption"/>
      </w:pPr>
      <w:bookmarkStart w:id="67" w:name="_Ref198447718"/>
      <w:bookmarkStart w:id="68" w:name="_Ref187864669"/>
      <w:r>
        <w:lastRenderedPageBreak/>
        <w:t xml:space="preserve">Table </w:t>
      </w:r>
      <w:r>
        <w:fldChar w:fldCharType="begin"/>
      </w:r>
      <w:r>
        <w:instrText>SEQ Table \* ARABIC</w:instrText>
      </w:r>
      <w:r>
        <w:fldChar w:fldCharType="separate"/>
      </w:r>
      <w:r w:rsidR="005B1C7E">
        <w:rPr>
          <w:noProof/>
        </w:rPr>
        <w:t>19</w:t>
      </w:r>
      <w:r>
        <w:fldChar w:fldCharType="end"/>
      </w:r>
      <w:bookmarkEnd w:id="67"/>
      <w:r>
        <w:tab/>
      </w:r>
      <w:bookmarkEnd w:id="68"/>
      <w:r w:rsidR="00854EF0" w:rsidRPr="00B27879">
        <w:t xml:space="preserve">Estimated use </w:t>
      </w:r>
      <w:r w:rsidR="001B28C4" w:rsidRPr="00B27879">
        <w:t xml:space="preserve">of </w:t>
      </w:r>
      <w:r w:rsidR="001B28C4" w:rsidRPr="00B27879">
        <w:rPr>
          <w:i/>
        </w:rPr>
        <w:t>FGFR2</w:t>
      </w:r>
      <w:r w:rsidR="001B28C4" w:rsidRPr="00B27879">
        <w:t xml:space="preserve"> testing </w:t>
      </w:r>
      <w:r w:rsidR="00854EF0" w:rsidRPr="00B27879">
        <w:t>and financial implications</w:t>
      </w:r>
      <w:r w:rsidR="001B28C4" w:rsidRPr="00B27879">
        <w:t xml:space="preserve"> to MBS budget</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7"/>
        <w:gridCol w:w="833"/>
        <w:gridCol w:w="834"/>
        <w:gridCol w:w="833"/>
        <w:gridCol w:w="834"/>
        <w:gridCol w:w="833"/>
        <w:gridCol w:w="834"/>
      </w:tblGrid>
      <w:tr w:rsidR="007900E9" w:rsidRPr="00B27879" w14:paraId="431B8525" w14:textId="77777777" w:rsidTr="2914E55D">
        <w:trPr>
          <w:tblHeader/>
        </w:trPr>
        <w:tc>
          <w:tcPr>
            <w:tcW w:w="3937" w:type="dxa"/>
            <w:vAlign w:val="center"/>
          </w:tcPr>
          <w:p w14:paraId="11634F3E" w14:textId="77777777" w:rsidR="00854EF0" w:rsidRPr="00B27879" w:rsidRDefault="00854EF0" w:rsidP="007727F0">
            <w:pPr>
              <w:pStyle w:val="TableText"/>
              <w:keepNext/>
              <w:keepLines/>
              <w:rPr>
                <w:b/>
              </w:rPr>
            </w:pPr>
          </w:p>
        </w:tc>
        <w:tc>
          <w:tcPr>
            <w:tcW w:w="833" w:type="dxa"/>
            <w:vAlign w:val="center"/>
          </w:tcPr>
          <w:p w14:paraId="29E3CA2D" w14:textId="77777777" w:rsidR="00854EF0" w:rsidRPr="00B27879" w:rsidRDefault="00854EF0" w:rsidP="007727F0">
            <w:pPr>
              <w:pStyle w:val="TableText"/>
              <w:keepNext/>
              <w:keepLines/>
              <w:jc w:val="center"/>
              <w:rPr>
                <w:b/>
              </w:rPr>
            </w:pPr>
            <w:r w:rsidRPr="00B27879">
              <w:rPr>
                <w:b/>
              </w:rPr>
              <w:t>Year 1</w:t>
            </w:r>
          </w:p>
        </w:tc>
        <w:tc>
          <w:tcPr>
            <w:tcW w:w="834" w:type="dxa"/>
            <w:vAlign w:val="center"/>
          </w:tcPr>
          <w:p w14:paraId="22CFF338" w14:textId="77777777" w:rsidR="00854EF0" w:rsidRPr="00B27879" w:rsidRDefault="00854EF0" w:rsidP="007727F0">
            <w:pPr>
              <w:pStyle w:val="TableText"/>
              <w:keepNext/>
              <w:keepLines/>
              <w:jc w:val="center"/>
              <w:rPr>
                <w:b/>
              </w:rPr>
            </w:pPr>
            <w:r w:rsidRPr="00B27879">
              <w:rPr>
                <w:b/>
              </w:rPr>
              <w:t>Year 2</w:t>
            </w:r>
          </w:p>
        </w:tc>
        <w:tc>
          <w:tcPr>
            <w:tcW w:w="833" w:type="dxa"/>
            <w:vAlign w:val="center"/>
          </w:tcPr>
          <w:p w14:paraId="1EB28124" w14:textId="77777777" w:rsidR="00854EF0" w:rsidRPr="00B27879" w:rsidRDefault="00854EF0" w:rsidP="007727F0">
            <w:pPr>
              <w:pStyle w:val="TableText"/>
              <w:keepNext/>
              <w:keepLines/>
              <w:jc w:val="center"/>
              <w:rPr>
                <w:b/>
              </w:rPr>
            </w:pPr>
            <w:r w:rsidRPr="00B27879">
              <w:rPr>
                <w:b/>
              </w:rPr>
              <w:t>Year 3</w:t>
            </w:r>
          </w:p>
        </w:tc>
        <w:tc>
          <w:tcPr>
            <w:tcW w:w="834" w:type="dxa"/>
            <w:vAlign w:val="center"/>
          </w:tcPr>
          <w:p w14:paraId="4110F4BB" w14:textId="77777777" w:rsidR="00854EF0" w:rsidRPr="00B27879" w:rsidRDefault="00854EF0" w:rsidP="007727F0">
            <w:pPr>
              <w:pStyle w:val="TableText"/>
              <w:keepNext/>
              <w:keepLines/>
              <w:jc w:val="center"/>
              <w:rPr>
                <w:b/>
              </w:rPr>
            </w:pPr>
            <w:r w:rsidRPr="00B27879">
              <w:rPr>
                <w:b/>
              </w:rPr>
              <w:t>Year 4</w:t>
            </w:r>
          </w:p>
        </w:tc>
        <w:tc>
          <w:tcPr>
            <w:tcW w:w="833" w:type="dxa"/>
            <w:vAlign w:val="center"/>
          </w:tcPr>
          <w:p w14:paraId="42897BAE" w14:textId="77777777" w:rsidR="00854EF0" w:rsidRPr="00B27879" w:rsidRDefault="00854EF0" w:rsidP="007727F0">
            <w:pPr>
              <w:pStyle w:val="TableText"/>
              <w:keepNext/>
              <w:keepLines/>
              <w:jc w:val="center"/>
              <w:rPr>
                <w:b/>
              </w:rPr>
            </w:pPr>
            <w:r w:rsidRPr="00B27879">
              <w:rPr>
                <w:b/>
              </w:rPr>
              <w:t>Year 5</w:t>
            </w:r>
          </w:p>
        </w:tc>
        <w:tc>
          <w:tcPr>
            <w:tcW w:w="834" w:type="dxa"/>
            <w:vAlign w:val="center"/>
          </w:tcPr>
          <w:p w14:paraId="2F5AA292" w14:textId="77777777" w:rsidR="00854EF0" w:rsidRPr="00B27879" w:rsidRDefault="00854EF0" w:rsidP="007727F0">
            <w:pPr>
              <w:pStyle w:val="TableText"/>
              <w:keepNext/>
              <w:keepLines/>
              <w:jc w:val="center"/>
              <w:rPr>
                <w:b/>
              </w:rPr>
            </w:pPr>
            <w:r w:rsidRPr="00B27879">
              <w:rPr>
                <w:b/>
              </w:rPr>
              <w:t>Year 6</w:t>
            </w:r>
          </w:p>
        </w:tc>
      </w:tr>
      <w:tr w:rsidR="007900E9" w:rsidRPr="00B27879" w14:paraId="6682B17E" w14:textId="77777777" w:rsidTr="2914E55D">
        <w:tc>
          <w:tcPr>
            <w:tcW w:w="8938" w:type="dxa"/>
            <w:gridSpan w:val="7"/>
            <w:vAlign w:val="center"/>
          </w:tcPr>
          <w:p w14:paraId="11CFA892" w14:textId="1B0D6090" w:rsidR="00854EF0" w:rsidRPr="00B27879" w:rsidRDefault="00854EF0" w:rsidP="007727F0">
            <w:pPr>
              <w:pStyle w:val="TableText"/>
              <w:keepNext/>
              <w:keepLines/>
              <w:rPr>
                <w:b/>
              </w:rPr>
            </w:pPr>
            <w:r w:rsidRPr="00B27879">
              <w:rPr>
                <w:b/>
              </w:rPr>
              <w:t xml:space="preserve">Estimated extent of use of </w:t>
            </w:r>
            <w:r w:rsidR="00A050DB" w:rsidRPr="00B27879">
              <w:rPr>
                <w:b/>
              </w:rPr>
              <w:t>FGFR2 testing</w:t>
            </w:r>
          </w:p>
        </w:tc>
      </w:tr>
      <w:tr w:rsidR="00E406D4" w:rsidRPr="00B27879" w14:paraId="69FE7B15" w14:textId="77777777" w:rsidTr="2914E55D">
        <w:tc>
          <w:tcPr>
            <w:tcW w:w="3937" w:type="dxa"/>
          </w:tcPr>
          <w:p w14:paraId="5B459DA1" w14:textId="0DA224B6" w:rsidR="00E406D4" w:rsidRPr="00B27879" w:rsidRDefault="00E406D4" w:rsidP="00E406D4">
            <w:pPr>
              <w:pStyle w:val="TableText"/>
              <w:keepNext/>
              <w:keepLines/>
            </w:pPr>
            <w:r w:rsidRPr="00B27879">
              <w:t>Total CCA population</w:t>
            </w:r>
          </w:p>
        </w:tc>
        <w:tc>
          <w:tcPr>
            <w:tcW w:w="833" w:type="dxa"/>
            <w:vAlign w:val="center"/>
          </w:tcPr>
          <w:p w14:paraId="18BD1490" w14:textId="0085B3F7"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28CAA172" w14:textId="2455C6C0"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3" w:type="dxa"/>
            <w:vAlign w:val="center"/>
          </w:tcPr>
          <w:p w14:paraId="00A050AF" w14:textId="09B67A30"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2143FAE1" w14:textId="387A3886"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3" w:type="dxa"/>
            <w:vAlign w:val="center"/>
          </w:tcPr>
          <w:p w14:paraId="47FC5125" w14:textId="43D74DE6"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35C1E1C1" w14:textId="35D45137"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r>
      <w:tr w:rsidR="00E406D4" w:rsidRPr="00B27879" w14:paraId="797711ED" w14:textId="77777777" w:rsidTr="2914E55D">
        <w:tc>
          <w:tcPr>
            <w:tcW w:w="3937" w:type="dxa"/>
            <w:vAlign w:val="bottom"/>
          </w:tcPr>
          <w:p w14:paraId="3186688C" w14:textId="5FDE9B71" w:rsidR="00E406D4" w:rsidRPr="00B27879" w:rsidRDefault="00E406D4" w:rsidP="00E406D4">
            <w:pPr>
              <w:pStyle w:val="TableText"/>
              <w:keepNext/>
              <w:keepLines/>
            </w:pPr>
            <w:r w:rsidRPr="00B27879">
              <w:t>Patients diagnosed with advanced CCA (locally advanced, metastatic) (80% of all CCA)</w:t>
            </w:r>
          </w:p>
        </w:tc>
        <w:tc>
          <w:tcPr>
            <w:tcW w:w="833" w:type="dxa"/>
            <w:vAlign w:val="center"/>
          </w:tcPr>
          <w:p w14:paraId="0C65A29F" w14:textId="2D3C6A99"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321C667C" w14:textId="01D22B3B"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3" w:type="dxa"/>
            <w:vAlign w:val="center"/>
          </w:tcPr>
          <w:p w14:paraId="069469C8" w14:textId="76D11A06"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06AAE31E" w14:textId="4EE03CBC"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3" w:type="dxa"/>
            <w:vAlign w:val="center"/>
          </w:tcPr>
          <w:p w14:paraId="64D7B7FC" w14:textId="0B86E013"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c>
          <w:tcPr>
            <w:tcW w:w="834" w:type="dxa"/>
            <w:vAlign w:val="center"/>
          </w:tcPr>
          <w:p w14:paraId="42BA2054" w14:textId="504F0255" w:rsidR="00E406D4" w:rsidRPr="00CE008B" w:rsidRDefault="00E406D4" w:rsidP="00E406D4">
            <w:pPr>
              <w:pStyle w:val="TableNumber"/>
              <w:keepNext/>
              <w:keepLines/>
              <w:tabs>
                <w:tab w:val="clear" w:pos="396"/>
                <w:tab w:val="decimal" w:pos="0"/>
              </w:tabs>
              <w:rPr>
                <w:b/>
                <w:bCs/>
                <w:i/>
                <w:iCs/>
              </w:rPr>
            </w:pPr>
            <w:r w:rsidRPr="00CE008B">
              <w:rPr>
                <w:b/>
                <w:bCs/>
              </w:rPr>
              <w:t>Redacted</w:t>
            </w:r>
            <w:r w:rsidRPr="00CE008B">
              <w:rPr>
                <w:b/>
                <w:bCs/>
                <w:vertAlign w:val="superscript"/>
              </w:rPr>
              <w:t>1</w:t>
            </w:r>
          </w:p>
        </w:tc>
      </w:tr>
      <w:tr w:rsidR="00DB5543" w:rsidRPr="00B27879" w14:paraId="25BDEAD5" w14:textId="77777777" w:rsidTr="00B7279C">
        <w:tc>
          <w:tcPr>
            <w:tcW w:w="3937" w:type="dxa"/>
            <w:vAlign w:val="center"/>
          </w:tcPr>
          <w:p w14:paraId="3EE0216A" w14:textId="7A12BED2" w:rsidR="00DB5543" w:rsidRPr="00B27879" w:rsidRDefault="00DB5543" w:rsidP="00DB5543">
            <w:pPr>
              <w:pStyle w:val="TableText"/>
              <w:keepNext/>
              <w:keepLines/>
              <w:rPr>
                <w:vertAlign w:val="superscript"/>
              </w:rPr>
            </w:pPr>
            <w:r w:rsidRPr="2914E55D">
              <w:t>Number of patients tested</w:t>
            </w:r>
            <w:r w:rsidRPr="2914E55D">
              <w:rPr>
                <w:vertAlign w:val="superscript"/>
              </w:rPr>
              <w:t>a</w:t>
            </w:r>
          </w:p>
        </w:tc>
        <w:tc>
          <w:tcPr>
            <w:tcW w:w="833" w:type="dxa"/>
            <w:vAlign w:val="center"/>
          </w:tcPr>
          <w:p w14:paraId="376EB5E7" w14:textId="02195106" w:rsidR="00DB5543" w:rsidRPr="00CE008B" w:rsidRDefault="00DB5543" w:rsidP="00DB5543">
            <w:pPr>
              <w:pStyle w:val="TableNumber"/>
              <w:keepNext/>
              <w:keepLines/>
              <w:tabs>
                <w:tab w:val="clear" w:pos="396"/>
                <w:tab w:val="decimal" w:pos="0"/>
              </w:tabs>
              <w:rPr>
                <w:b/>
                <w:bCs/>
                <w:i/>
                <w:iCs/>
              </w:rPr>
            </w:pPr>
            <w:r w:rsidRPr="00CE008B">
              <w:rPr>
                <w:b/>
                <w:bCs/>
              </w:rPr>
              <w:t>Redacted</w:t>
            </w:r>
            <w:r w:rsidRPr="00CE008B">
              <w:rPr>
                <w:b/>
                <w:bCs/>
                <w:vertAlign w:val="superscript"/>
              </w:rPr>
              <w:t>2</w:t>
            </w:r>
          </w:p>
        </w:tc>
        <w:tc>
          <w:tcPr>
            <w:tcW w:w="834" w:type="dxa"/>
          </w:tcPr>
          <w:p w14:paraId="2D4522F4" w14:textId="2045F400" w:rsidR="00DB5543" w:rsidRPr="00CE008B" w:rsidRDefault="00DB5543" w:rsidP="00DB5543">
            <w:pPr>
              <w:pStyle w:val="TableNumber"/>
              <w:keepNext/>
              <w:keepLines/>
              <w:tabs>
                <w:tab w:val="clear" w:pos="396"/>
                <w:tab w:val="decimal" w:pos="0"/>
              </w:tabs>
              <w:rPr>
                <w:i/>
                <w:iCs/>
              </w:rPr>
            </w:pPr>
            <w:r w:rsidRPr="00CE008B">
              <w:rPr>
                <w:b/>
                <w:bCs/>
              </w:rPr>
              <w:t>Redacted</w:t>
            </w:r>
            <w:r w:rsidRPr="00CE008B">
              <w:rPr>
                <w:b/>
                <w:bCs/>
                <w:vertAlign w:val="superscript"/>
              </w:rPr>
              <w:t>2</w:t>
            </w:r>
            <w:r w:rsidRPr="00CE008B">
              <w:rPr>
                <w:i/>
                <w:iCs/>
              </w:rPr>
              <w:t xml:space="preserve"> </w:t>
            </w:r>
          </w:p>
        </w:tc>
        <w:tc>
          <w:tcPr>
            <w:tcW w:w="833" w:type="dxa"/>
          </w:tcPr>
          <w:p w14:paraId="505AC1C8" w14:textId="36AE6CE9" w:rsidR="00DB5543" w:rsidRPr="00CE008B" w:rsidRDefault="00DB5543" w:rsidP="00DB5543">
            <w:pPr>
              <w:pStyle w:val="TableNumber"/>
              <w:keepNext/>
              <w:keepLines/>
              <w:tabs>
                <w:tab w:val="clear" w:pos="396"/>
                <w:tab w:val="decimal" w:pos="0"/>
              </w:tabs>
              <w:rPr>
                <w:i/>
                <w:iCs/>
              </w:rPr>
            </w:pPr>
            <w:r w:rsidRPr="00CE008B">
              <w:rPr>
                <w:b/>
                <w:bCs/>
              </w:rPr>
              <w:t>Redacted</w:t>
            </w:r>
            <w:r w:rsidRPr="00CE008B">
              <w:rPr>
                <w:b/>
                <w:bCs/>
                <w:vertAlign w:val="superscript"/>
              </w:rPr>
              <w:t>2</w:t>
            </w:r>
          </w:p>
        </w:tc>
        <w:tc>
          <w:tcPr>
            <w:tcW w:w="834" w:type="dxa"/>
          </w:tcPr>
          <w:p w14:paraId="44C8F903" w14:textId="5C94E702" w:rsidR="00DB5543" w:rsidRPr="00CE008B" w:rsidRDefault="00DB5543" w:rsidP="00DB5543">
            <w:pPr>
              <w:pStyle w:val="TableNumber"/>
              <w:keepNext/>
              <w:keepLines/>
              <w:tabs>
                <w:tab w:val="clear" w:pos="396"/>
                <w:tab w:val="decimal" w:pos="0"/>
              </w:tabs>
              <w:rPr>
                <w:i/>
                <w:iCs/>
              </w:rPr>
            </w:pPr>
            <w:r w:rsidRPr="00CE008B">
              <w:rPr>
                <w:b/>
                <w:bCs/>
              </w:rPr>
              <w:t>Redacted</w:t>
            </w:r>
            <w:r w:rsidRPr="00CE008B">
              <w:rPr>
                <w:b/>
                <w:bCs/>
                <w:vertAlign w:val="superscript"/>
              </w:rPr>
              <w:t>2</w:t>
            </w:r>
          </w:p>
        </w:tc>
        <w:tc>
          <w:tcPr>
            <w:tcW w:w="833" w:type="dxa"/>
          </w:tcPr>
          <w:p w14:paraId="6D05BC62" w14:textId="576F12B0" w:rsidR="00DB5543" w:rsidRPr="00CE008B" w:rsidRDefault="00DB5543" w:rsidP="00DB5543">
            <w:pPr>
              <w:pStyle w:val="TableNumber"/>
              <w:keepNext/>
              <w:keepLines/>
              <w:tabs>
                <w:tab w:val="clear" w:pos="396"/>
                <w:tab w:val="decimal" w:pos="0"/>
              </w:tabs>
              <w:rPr>
                <w:i/>
                <w:iCs/>
              </w:rPr>
            </w:pPr>
            <w:r w:rsidRPr="00CE008B">
              <w:rPr>
                <w:b/>
                <w:bCs/>
              </w:rPr>
              <w:t>Redacted</w:t>
            </w:r>
            <w:r w:rsidRPr="00CE008B">
              <w:rPr>
                <w:b/>
                <w:bCs/>
                <w:vertAlign w:val="superscript"/>
              </w:rPr>
              <w:t>2</w:t>
            </w:r>
          </w:p>
        </w:tc>
        <w:tc>
          <w:tcPr>
            <w:tcW w:w="834" w:type="dxa"/>
          </w:tcPr>
          <w:p w14:paraId="1018E2B5" w14:textId="5B2CD768" w:rsidR="00DB5543" w:rsidRPr="00CE008B" w:rsidRDefault="00DB5543" w:rsidP="00DB5543">
            <w:pPr>
              <w:pStyle w:val="TableNumber"/>
              <w:keepNext/>
              <w:keepLines/>
              <w:tabs>
                <w:tab w:val="clear" w:pos="396"/>
                <w:tab w:val="decimal" w:pos="0"/>
              </w:tabs>
              <w:rPr>
                <w:i/>
                <w:iCs/>
              </w:rPr>
            </w:pPr>
            <w:r w:rsidRPr="00CE008B">
              <w:rPr>
                <w:b/>
                <w:bCs/>
              </w:rPr>
              <w:t>Redacted</w:t>
            </w:r>
            <w:r w:rsidRPr="00CE008B">
              <w:rPr>
                <w:b/>
                <w:bCs/>
                <w:vertAlign w:val="superscript"/>
              </w:rPr>
              <w:t>2</w:t>
            </w:r>
          </w:p>
        </w:tc>
      </w:tr>
      <w:tr w:rsidR="00DB5543" w:rsidRPr="00B27879" w14:paraId="719C5941" w14:textId="77777777" w:rsidTr="2914E55D">
        <w:tc>
          <w:tcPr>
            <w:tcW w:w="3937" w:type="dxa"/>
            <w:vAlign w:val="center"/>
          </w:tcPr>
          <w:p w14:paraId="2D1EC66C" w14:textId="2B987AE7" w:rsidR="00DB5543" w:rsidRPr="00B27879" w:rsidRDefault="00DB5543" w:rsidP="00DB5543">
            <w:pPr>
              <w:pStyle w:val="TableText"/>
              <w:keepNext/>
              <w:keepLines/>
            </w:pPr>
            <w:r w:rsidRPr="00B27879">
              <w:t>Number of patients likely to receive a positive test result (20% diagnostic yield)</w:t>
            </w:r>
          </w:p>
        </w:tc>
        <w:tc>
          <w:tcPr>
            <w:tcW w:w="833" w:type="dxa"/>
            <w:vAlign w:val="center"/>
          </w:tcPr>
          <w:p w14:paraId="10AEF727" w14:textId="62509914" w:rsidR="00DB5543" w:rsidRPr="00CE008B" w:rsidRDefault="00DB5543" w:rsidP="00DB5543">
            <w:pPr>
              <w:pStyle w:val="TableNumber"/>
              <w:keepNext/>
              <w:keepLines/>
              <w:tabs>
                <w:tab w:val="clear" w:pos="396"/>
                <w:tab w:val="decimal" w:pos="0"/>
              </w:tabs>
            </w:pPr>
            <w:r w:rsidRPr="00CE008B">
              <w:rPr>
                <w:b/>
                <w:bCs/>
              </w:rPr>
              <w:t>Redacted</w:t>
            </w:r>
            <w:r w:rsidRPr="00CE008B">
              <w:rPr>
                <w:b/>
                <w:bCs/>
                <w:vertAlign w:val="superscript"/>
              </w:rPr>
              <w:t>2</w:t>
            </w:r>
          </w:p>
        </w:tc>
        <w:tc>
          <w:tcPr>
            <w:tcW w:w="834" w:type="dxa"/>
            <w:vAlign w:val="center"/>
          </w:tcPr>
          <w:p w14:paraId="234C4572" w14:textId="490D8E79" w:rsidR="00DB5543" w:rsidRPr="00CE008B" w:rsidRDefault="00DB5543" w:rsidP="00DB5543">
            <w:pPr>
              <w:pStyle w:val="TableText"/>
              <w:keepNext/>
              <w:keepLines/>
              <w:tabs>
                <w:tab w:val="decimal" w:pos="0"/>
              </w:tabs>
              <w:jc w:val="center"/>
            </w:pPr>
            <w:r w:rsidRPr="00CE008B">
              <w:rPr>
                <w:b/>
                <w:bCs/>
              </w:rPr>
              <w:t>Redacted</w:t>
            </w:r>
            <w:r w:rsidRPr="00CE008B">
              <w:rPr>
                <w:b/>
                <w:bCs/>
                <w:vertAlign w:val="superscript"/>
              </w:rPr>
              <w:t>2</w:t>
            </w:r>
          </w:p>
        </w:tc>
        <w:tc>
          <w:tcPr>
            <w:tcW w:w="833" w:type="dxa"/>
            <w:vAlign w:val="center"/>
          </w:tcPr>
          <w:p w14:paraId="4010FBAF" w14:textId="281F9B9D" w:rsidR="00DB5543" w:rsidRPr="00CE008B" w:rsidRDefault="00DB5543" w:rsidP="00DB5543">
            <w:pPr>
              <w:pStyle w:val="TableText"/>
              <w:keepNext/>
              <w:keepLines/>
              <w:tabs>
                <w:tab w:val="decimal" w:pos="0"/>
              </w:tabs>
              <w:jc w:val="center"/>
            </w:pPr>
            <w:r w:rsidRPr="00CE008B">
              <w:rPr>
                <w:b/>
                <w:bCs/>
              </w:rPr>
              <w:t>Redacted</w:t>
            </w:r>
            <w:r w:rsidRPr="00CE008B">
              <w:rPr>
                <w:b/>
                <w:bCs/>
                <w:vertAlign w:val="superscript"/>
              </w:rPr>
              <w:t>2</w:t>
            </w:r>
          </w:p>
        </w:tc>
        <w:tc>
          <w:tcPr>
            <w:tcW w:w="834" w:type="dxa"/>
            <w:vAlign w:val="center"/>
          </w:tcPr>
          <w:p w14:paraId="6694372C" w14:textId="5FA19FD7" w:rsidR="00DB5543" w:rsidRPr="00CE008B" w:rsidRDefault="00DB5543" w:rsidP="00DB5543">
            <w:pPr>
              <w:pStyle w:val="TableText"/>
              <w:keepNext/>
              <w:keepLines/>
              <w:tabs>
                <w:tab w:val="decimal" w:pos="0"/>
              </w:tabs>
              <w:jc w:val="center"/>
            </w:pPr>
            <w:r w:rsidRPr="00CE008B">
              <w:rPr>
                <w:b/>
                <w:bCs/>
              </w:rPr>
              <w:t>Redacted</w:t>
            </w:r>
            <w:r w:rsidRPr="00CE008B">
              <w:rPr>
                <w:b/>
                <w:bCs/>
                <w:vertAlign w:val="superscript"/>
              </w:rPr>
              <w:t>2</w:t>
            </w:r>
          </w:p>
        </w:tc>
        <w:tc>
          <w:tcPr>
            <w:tcW w:w="833" w:type="dxa"/>
            <w:vAlign w:val="center"/>
          </w:tcPr>
          <w:p w14:paraId="5F158194" w14:textId="567DD1B9" w:rsidR="00DB5543" w:rsidRPr="00CE008B" w:rsidRDefault="00DB5543" w:rsidP="00DB5543">
            <w:pPr>
              <w:pStyle w:val="TableText"/>
              <w:keepNext/>
              <w:keepLines/>
              <w:tabs>
                <w:tab w:val="decimal" w:pos="0"/>
              </w:tabs>
              <w:jc w:val="center"/>
            </w:pPr>
            <w:r w:rsidRPr="00CE008B">
              <w:rPr>
                <w:b/>
                <w:bCs/>
              </w:rPr>
              <w:t>Redacted</w:t>
            </w:r>
            <w:r w:rsidRPr="00CE008B">
              <w:rPr>
                <w:b/>
                <w:bCs/>
                <w:vertAlign w:val="superscript"/>
              </w:rPr>
              <w:t>2</w:t>
            </w:r>
          </w:p>
        </w:tc>
        <w:tc>
          <w:tcPr>
            <w:tcW w:w="834" w:type="dxa"/>
            <w:vAlign w:val="center"/>
          </w:tcPr>
          <w:p w14:paraId="5718E880" w14:textId="33E37F26" w:rsidR="00DB5543" w:rsidRPr="00CE008B" w:rsidRDefault="00DB5543" w:rsidP="00DB5543">
            <w:pPr>
              <w:pStyle w:val="TableText"/>
              <w:keepNext/>
              <w:keepLines/>
              <w:tabs>
                <w:tab w:val="decimal" w:pos="0"/>
              </w:tabs>
              <w:jc w:val="center"/>
            </w:pPr>
            <w:r w:rsidRPr="00CE008B">
              <w:rPr>
                <w:b/>
                <w:bCs/>
              </w:rPr>
              <w:t>Redacted</w:t>
            </w:r>
            <w:r w:rsidRPr="00CE008B">
              <w:rPr>
                <w:b/>
                <w:bCs/>
                <w:vertAlign w:val="superscript"/>
              </w:rPr>
              <w:t>2</w:t>
            </w:r>
          </w:p>
        </w:tc>
      </w:tr>
      <w:tr w:rsidR="00DB5543" w:rsidRPr="00B27879" w14:paraId="5784153F" w14:textId="77777777" w:rsidTr="2914E55D">
        <w:tc>
          <w:tcPr>
            <w:tcW w:w="8938" w:type="dxa"/>
            <w:gridSpan w:val="7"/>
            <w:vAlign w:val="center"/>
          </w:tcPr>
          <w:p w14:paraId="1618FBE4" w14:textId="23EF0B7B" w:rsidR="00DB5543" w:rsidRPr="00CE008B" w:rsidRDefault="00DB5543" w:rsidP="00DB5543">
            <w:pPr>
              <w:pStyle w:val="TableText"/>
              <w:keepNext/>
              <w:keepLines/>
              <w:rPr>
                <w:b/>
                <w:bCs/>
              </w:rPr>
            </w:pPr>
            <w:r w:rsidRPr="00CE008B">
              <w:rPr>
                <w:b/>
                <w:bCs/>
              </w:rPr>
              <w:t>Estimated financial implications of FGFR2 testing and listing of futibatinib to the MBS</w:t>
            </w:r>
          </w:p>
        </w:tc>
      </w:tr>
      <w:tr w:rsidR="00563933" w:rsidRPr="00B27879" w14:paraId="05573C32" w14:textId="77777777" w:rsidTr="2914E55D">
        <w:tc>
          <w:tcPr>
            <w:tcW w:w="3937" w:type="dxa"/>
            <w:vAlign w:val="center"/>
          </w:tcPr>
          <w:p w14:paraId="012FED4E" w14:textId="2D338A2C" w:rsidR="00563933" w:rsidRPr="002041D1" w:rsidRDefault="00563933" w:rsidP="00563933">
            <w:pPr>
              <w:pStyle w:val="TableText"/>
              <w:keepNext/>
              <w:keepLines/>
              <w:rPr>
                <w:vertAlign w:val="superscript"/>
              </w:rPr>
            </w:pPr>
            <w:r w:rsidRPr="00B27879">
              <w:t xml:space="preserve">Cost to MBS for </w:t>
            </w:r>
            <w:r w:rsidRPr="00B27879">
              <w:rPr>
                <w:i/>
                <w:iCs/>
              </w:rPr>
              <w:t>FGFR2</w:t>
            </w:r>
            <w:r w:rsidRPr="00B27879">
              <w:t xml:space="preserve"> testing </w:t>
            </w:r>
            <w:r>
              <w:rPr>
                <w:vertAlign w:val="superscript"/>
              </w:rPr>
              <w:t>b</w:t>
            </w:r>
          </w:p>
        </w:tc>
        <w:tc>
          <w:tcPr>
            <w:tcW w:w="833" w:type="dxa"/>
            <w:vAlign w:val="center"/>
          </w:tcPr>
          <w:p w14:paraId="26AF6D87" w14:textId="39919F95" w:rsidR="00563933" w:rsidRPr="00CE008B" w:rsidRDefault="00563933"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3309A39E" w14:textId="22A3FB9C" w:rsidR="00563933" w:rsidRPr="00CE008B" w:rsidRDefault="004852CD"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13D6C5FF" w14:textId="07F85968"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31767E73" w14:textId="5D8A9411"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29DDC374" w14:textId="285F2D3D"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3BA007C7" w14:textId="3D614750"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6676811B" w14:textId="77777777" w:rsidTr="2914E55D">
        <w:tc>
          <w:tcPr>
            <w:tcW w:w="3937" w:type="dxa"/>
          </w:tcPr>
          <w:p w14:paraId="459D60A3" w14:textId="1926AB3A" w:rsidR="00563933" w:rsidRPr="002041D1" w:rsidRDefault="00563933" w:rsidP="00563933">
            <w:pPr>
              <w:pStyle w:val="TableText"/>
              <w:keepNext/>
              <w:keepLines/>
              <w:rPr>
                <w:vertAlign w:val="superscript"/>
              </w:rPr>
            </w:pPr>
            <w:r w:rsidRPr="00B27879">
              <w:rPr>
                <w:bCs/>
              </w:rPr>
              <w:t xml:space="preserve">Cost to MBS for OCT </w:t>
            </w:r>
            <w:r>
              <w:rPr>
                <w:bCs/>
                <w:vertAlign w:val="superscript"/>
              </w:rPr>
              <w:t>c</w:t>
            </w:r>
          </w:p>
        </w:tc>
        <w:tc>
          <w:tcPr>
            <w:tcW w:w="833" w:type="dxa"/>
            <w:vAlign w:val="center"/>
          </w:tcPr>
          <w:p w14:paraId="41912B2D" w14:textId="57F9A665"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79322EA4" w14:textId="1F7164D5"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15344CDB" w14:textId="5C3607AF"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12752A07" w14:textId="1FD1A948"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33DA186C" w14:textId="4957E76D"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50E7C4D2" w14:textId="4C562A3F" w:rsidR="00563933" w:rsidRPr="00CE008B" w:rsidRDefault="0052720E"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466ED478" w14:textId="77777777" w:rsidTr="2914E55D">
        <w:tc>
          <w:tcPr>
            <w:tcW w:w="3937" w:type="dxa"/>
          </w:tcPr>
          <w:p w14:paraId="3C627642" w14:textId="2B987825" w:rsidR="00563933" w:rsidRPr="002041D1" w:rsidRDefault="00563933" w:rsidP="00563933">
            <w:pPr>
              <w:pStyle w:val="TableText"/>
              <w:keepNext/>
              <w:keepLines/>
              <w:rPr>
                <w:bCs/>
                <w:vertAlign w:val="superscript"/>
              </w:rPr>
            </w:pPr>
            <w:r w:rsidRPr="00B27879">
              <w:rPr>
                <w:bCs/>
              </w:rPr>
              <w:t xml:space="preserve">Cost offset to MBS </w:t>
            </w:r>
            <w:r>
              <w:rPr>
                <w:bCs/>
              </w:rPr>
              <w:t>f</w:t>
            </w:r>
            <w:r w:rsidRPr="00B27879">
              <w:rPr>
                <w:bCs/>
              </w:rPr>
              <w:t>or reduction in FOLFOX</w:t>
            </w:r>
            <w:r>
              <w:rPr>
                <w:bCs/>
              </w:rPr>
              <w:t xml:space="preserve"> </w:t>
            </w:r>
            <w:r>
              <w:rPr>
                <w:bCs/>
                <w:vertAlign w:val="superscript"/>
              </w:rPr>
              <w:t>d</w:t>
            </w:r>
          </w:p>
        </w:tc>
        <w:tc>
          <w:tcPr>
            <w:tcW w:w="833" w:type="dxa"/>
            <w:vAlign w:val="center"/>
          </w:tcPr>
          <w:p w14:paraId="285F95D3" w14:textId="209F9113"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c>
          <w:tcPr>
            <w:tcW w:w="834" w:type="dxa"/>
            <w:vAlign w:val="center"/>
          </w:tcPr>
          <w:p w14:paraId="76037CF1" w14:textId="248D45BE"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c>
          <w:tcPr>
            <w:tcW w:w="833" w:type="dxa"/>
            <w:vAlign w:val="center"/>
          </w:tcPr>
          <w:p w14:paraId="7EDD19B7" w14:textId="5AB95A92"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c>
          <w:tcPr>
            <w:tcW w:w="834" w:type="dxa"/>
            <w:vAlign w:val="center"/>
          </w:tcPr>
          <w:p w14:paraId="03307E8A" w14:textId="13D476FF"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c>
          <w:tcPr>
            <w:tcW w:w="833" w:type="dxa"/>
            <w:vAlign w:val="center"/>
          </w:tcPr>
          <w:p w14:paraId="76732DC0" w14:textId="58E5D3F3"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c>
          <w:tcPr>
            <w:tcW w:w="834" w:type="dxa"/>
            <w:vAlign w:val="center"/>
          </w:tcPr>
          <w:p w14:paraId="3BAF12BE" w14:textId="0400FDC7" w:rsidR="00563933" w:rsidRPr="00CE008B" w:rsidRDefault="0052720E" w:rsidP="00563933">
            <w:pPr>
              <w:pStyle w:val="TableText"/>
              <w:keepNext/>
              <w:keepLines/>
              <w:jc w:val="center"/>
              <w:rPr>
                <w:i/>
                <w:iCs/>
              </w:rPr>
            </w:pPr>
            <w:r w:rsidRPr="00CE008B">
              <w:rPr>
                <w:b/>
                <w:bCs/>
              </w:rPr>
              <w:t>$Redacted</w:t>
            </w:r>
            <w:r w:rsidRPr="00CE008B">
              <w:rPr>
                <w:b/>
                <w:bCs/>
                <w:vertAlign w:val="superscript"/>
              </w:rPr>
              <w:t>4</w:t>
            </w:r>
          </w:p>
        </w:tc>
      </w:tr>
      <w:tr w:rsidR="00563933" w:rsidRPr="00B27879" w14:paraId="17251A58" w14:textId="77777777" w:rsidTr="2914E55D">
        <w:tc>
          <w:tcPr>
            <w:tcW w:w="3937" w:type="dxa"/>
          </w:tcPr>
          <w:p w14:paraId="3F50FFB2" w14:textId="303FB25E" w:rsidR="00563933" w:rsidRPr="00B27879" w:rsidRDefault="00563933" w:rsidP="00563933">
            <w:pPr>
              <w:pStyle w:val="TableText"/>
              <w:keepNext/>
              <w:keepLines/>
              <w:rPr>
                <w:bCs/>
              </w:rPr>
            </w:pPr>
            <w:r w:rsidRPr="00B27879">
              <w:rPr>
                <w:b/>
              </w:rPr>
              <w:t>Net cost to MBS</w:t>
            </w:r>
          </w:p>
        </w:tc>
        <w:tc>
          <w:tcPr>
            <w:tcW w:w="833" w:type="dxa"/>
          </w:tcPr>
          <w:p w14:paraId="216E2589" w14:textId="35146F5E" w:rsidR="00563933" w:rsidRPr="00CE008B" w:rsidRDefault="0052720E" w:rsidP="00563933">
            <w:pPr>
              <w:pStyle w:val="TableText"/>
              <w:keepNext/>
              <w:keepLines/>
              <w:jc w:val="center"/>
            </w:pPr>
            <w:r w:rsidRPr="00CE008B">
              <w:rPr>
                <w:b/>
                <w:bCs/>
              </w:rPr>
              <w:t>$Redacted</w:t>
            </w:r>
            <w:r w:rsidRPr="00CE008B">
              <w:rPr>
                <w:b/>
                <w:bCs/>
                <w:vertAlign w:val="superscript"/>
              </w:rPr>
              <w:t>4</w:t>
            </w:r>
          </w:p>
        </w:tc>
        <w:tc>
          <w:tcPr>
            <w:tcW w:w="834" w:type="dxa"/>
          </w:tcPr>
          <w:p w14:paraId="19A2BDDB" w14:textId="6C014C34" w:rsidR="00563933" w:rsidRPr="00CE008B" w:rsidRDefault="0052720E" w:rsidP="00563933">
            <w:pPr>
              <w:pStyle w:val="TableText"/>
              <w:keepNext/>
              <w:keepLines/>
              <w:jc w:val="center"/>
            </w:pPr>
            <w:r w:rsidRPr="00CE008B">
              <w:rPr>
                <w:b/>
                <w:bCs/>
              </w:rPr>
              <w:t>$Redacted</w:t>
            </w:r>
            <w:r w:rsidRPr="00CE008B">
              <w:rPr>
                <w:b/>
                <w:bCs/>
                <w:vertAlign w:val="superscript"/>
              </w:rPr>
              <w:t>3</w:t>
            </w:r>
          </w:p>
        </w:tc>
        <w:tc>
          <w:tcPr>
            <w:tcW w:w="833" w:type="dxa"/>
          </w:tcPr>
          <w:p w14:paraId="135A402C" w14:textId="08D545AE" w:rsidR="00563933" w:rsidRPr="00CE008B" w:rsidRDefault="0052720E" w:rsidP="00563933">
            <w:pPr>
              <w:pStyle w:val="TableText"/>
              <w:keepNext/>
              <w:keepLines/>
              <w:jc w:val="center"/>
            </w:pPr>
            <w:r w:rsidRPr="00CE008B">
              <w:rPr>
                <w:b/>
                <w:bCs/>
              </w:rPr>
              <w:t>$Redacted</w:t>
            </w:r>
            <w:r w:rsidRPr="00CE008B">
              <w:rPr>
                <w:b/>
                <w:bCs/>
                <w:vertAlign w:val="superscript"/>
              </w:rPr>
              <w:t>3</w:t>
            </w:r>
          </w:p>
        </w:tc>
        <w:tc>
          <w:tcPr>
            <w:tcW w:w="834" w:type="dxa"/>
          </w:tcPr>
          <w:p w14:paraId="085C81A6" w14:textId="78DECF24" w:rsidR="00563933" w:rsidRPr="00CE008B" w:rsidRDefault="0052720E" w:rsidP="00563933">
            <w:pPr>
              <w:pStyle w:val="TableText"/>
              <w:keepNext/>
              <w:keepLines/>
              <w:jc w:val="center"/>
            </w:pPr>
            <w:r w:rsidRPr="00CE008B">
              <w:rPr>
                <w:b/>
                <w:bCs/>
              </w:rPr>
              <w:t>$Redacted</w:t>
            </w:r>
            <w:r w:rsidRPr="00CE008B">
              <w:rPr>
                <w:b/>
                <w:bCs/>
                <w:vertAlign w:val="superscript"/>
              </w:rPr>
              <w:t>3</w:t>
            </w:r>
          </w:p>
        </w:tc>
        <w:tc>
          <w:tcPr>
            <w:tcW w:w="833" w:type="dxa"/>
          </w:tcPr>
          <w:p w14:paraId="5FE6707B" w14:textId="16BD9B5B" w:rsidR="00563933" w:rsidRPr="00CE008B" w:rsidRDefault="0052720E" w:rsidP="00563933">
            <w:pPr>
              <w:pStyle w:val="TableText"/>
              <w:keepNext/>
              <w:keepLines/>
              <w:jc w:val="center"/>
            </w:pPr>
            <w:r w:rsidRPr="00CE008B">
              <w:rPr>
                <w:b/>
                <w:bCs/>
              </w:rPr>
              <w:t>$Redacted</w:t>
            </w:r>
            <w:r w:rsidRPr="00CE008B">
              <w:rPr>
                <w:b/>
                <w:bCs/>
                <w:vertAlign w:val="superscript"/>
              </w:rPr>
              <w:t>3</w:t>
            </w:r>
          </w:p>
        </w:tc>
        <w:tc>
          <w:tcPr>
            <w:tcW w:w="834" w:type="dxa"/>
          </w:tcPr>
          <w:p w14:paraId="2675FAD9" w14:textId="02FDAE88" w:rsidR="00563933" w:rsidRPr="00CE008B" w:rsidRDefault="0052720E" w:rsidP="00563933">
            <w:pPr>
              <w:pStyle w:val="TableText"/>
              <w:keepNext/>
              <w:keepLines/>
              <w:jc w:val="center"/>
            </w:pPr>
            <w:r w:rsidRPr="00CE008B">
              <w:rPr>
                <w:b/>
                <w:bCs/>
              </w:rPr>
              <w:t>$Redacted</w:t>
            </w:r>
            <w:r w:rsidRPr="00CE008B">
              <w:rPr>
                <w:b/>
                <w:bCs/>
                <w:vertAlign w:val="superscript"/>
              </w:rPr>
              <w:t>3</w:t>
            </w:r>
          </w:p>
        </w:tc>
      </w:tr>
      <w:tr w:rsidR="00563933" w:rsidRPr="00B27879" w14:paraId="6B38B95A" w14:textId="77777777" w:rsidTr="2914E55D">
        <w:tc>
          <w:tcPr>
            <w:tcW w:w="8938" w:type="dxa"/>
            <w:gridSpan w:val="7"/>
            <w:vAlign w:val="center"/>
          </w:tcPr>
          <w:p w14:paraId="3755A21B" w14:textId="6707E4FB" w:rsidR="00563933" w:rsidRPr="00CE008B" w:rsidRDefault="00563933" w:rsidP="00563933">
            <w:pPr>
              <w:pStyle w:val="TableText"/>
              <w:keepNext/>
              <w:keepLines/>
              <w:rPr>
                <w:b/>
              </w:rPr>
            </w:pPr>
            <w:r w:rsidRPr="00CE008B">
              <w:rPr>
                <w:b/>
              </w:rPr>
              <w:t xml:space="preserve">Sensitivity analyses around cost of </w:t>
            </w:r>
            <w:r w:rsidRPr="00CE008B">
              <w:rPr>
                <w:b/>
                <w:i/>
                <w:iCs/>
              </w:rPr>
              <w:t>FGFR2</w:t>
            </w:r>
            <w:r w:rsidRPr="00CE008B">
              <w:rPr>
                <w:b/>
              </w:rPr>
              <w:t xml:space="preserve"> testing</w:t>
            </w:r>
          </w:p>
        </w:tc>
      </w:tr>
      <w:tr w:rsidR="00563933" w:rsidRPr="00B27879" w14:paraId="4326DF98" w14:textId="77777777" w:rsidTr="2914E55D">
        <w:tc>
          <w:tcPr>
            <w:tcW w:w="3937" w:type="dxa"/>
            <w:vAlign w:val="center"/>
          </w:tcPr>
          <w:p w14:paraId="7A2B9FD6" w14:textId="1345E95A" w:rsidR="00563933" w:rsidRPr="00B27879" w:rsidRDefault="00563933" w:rsidP="00563933">
            <w:pPr>
              <w:pStyle w:val="TableText"/>
              <w:keepNext/>
              <w:keepLines/>
              <w:rPr>
                <w:i/>
                <w:iCs/>
                <w:vertAlign w:val="superscript"/>
              </w:rPr>
            </w:pPr>
            <w:r w:rsidRPr="00B27879">
              <w:rPr>
                <w:i/>
                <w:iCs/>
              </w:rPr>
              <w:t xml:space="preserve">Cost to MBS of FGFR2 testing assuming testing in entire CCA population </w:t>
            </w:r>
            <w:r>
              <w:rPr>
                <w:i/>
                <w:iCs/>
                <w:vertAlign w:val="superscript"/>
              </w:rPr>
              <w:t>e</w:t>
            </w:r>
          </w:p>
        </w:tc>
        <w:tc>
          <w:tcPr>
            <w:tcW w:w="833" w:type="dxa"/>
            <w:vAlign w:val="center"/>
          </w:tcPr>
          <w:p w14:paraId="769FD58A" w14:textId="591D3AEC" w:rsidR="00563933" w:rsidRPr="00CE008B" w:rsidRDefault="00465258"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6CD018A0" w14:textId="516A4D52" w:rsidR="00563933" w:rsidRPr="00CE008B" w:rsidRDefault="00465258"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064D97F5" w14:textId="76252E9C" w:rsidR="00563933" w:rsidRPr="00CE008B" w:rsidRDefault="00465258"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69CB3FC8" w14:textId="0B79FF20"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355ADB2F" w14:textId="623D2A31"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799779C1" w14:textId="5F888326"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2BE4E7AB" w14:textId="77777777" w:rsidTr="2914E55D">
        <w:tc>
          <w:tcPr>
            <w:tcW w:w="3937" w:type="dxa"/>
            <w:vAlign w:val="center"/>
          </w:tcPr>
          <w:p w14:paraId="4B719798" w14:textId="7C15E73A" w:rsidR="00563933" w:rsidRPr="00B27879" w:rsidRDefault="00563933" w:rsidP="00563933">
            <w:pPr>
              <w:pStyle w:val="TableText"/>
              <w:keepNext/>
              <w:keepLines/>
              <w:rPr>
                <w:i/>
                <w:iCs/>
              </w:rPr>
            </w:pPr>
            <w:r w:rsidRPr="00B27879">
              <w:rPr>
                <w:i/>
                <w:iCs/>
              </w:rPr>
              <w:t xml:space="preserve">Cost to MBS of FGFR2 testing assuming testing in locally advanced, metastatic CCA </w:t>
            </w:r>
            <w:r>
              <w:rPr>
                <w:i/>
                <w:iCs/>
                <w:vertAlign w:val="superscript"/>
              </w:rPr>
              <w:t>f</w:t>
            </w:r>
          </w:p>
        </w:tc>
        <w:tc>
          <w:tcPr>
            <w:tcW w:w="833" w:type="dxa"/>
            <w:vAlign w:val="center"/>
          </w:tcPr>
          <w:p w14:paraId="5FD17709" w14:textId="131C317C"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01D085CA" w14:textId="3BA30C02"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37A950FA" w14:textId="791077C6"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7594624F" w14:textId="07CFD8F9"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588C5939" w14:textId="4BC38D9E"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1B47C889" w14:textId="281CB2FA"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27BC80F3" w14:textId="77777777" w:rsidTr="2914E55D">
        <w:tc>
          <w:tcPr>
            <w:tcW w:w="3937" w:type="dxa"/>
            <w:vAlign w:val="center"/>
          </w:tcPr>
          <w:p w14:paraId="69995293" w14:textId="7A313DAE" w:rsidR="00563933" w:rsidRDefault="00563933" w:rsidP="00563933">
            <w:pPr>
              <w:pStyle w:val="TableText"/>
              <w:keepNext/>
              <w:keepLines/>
              <w:rPr>
                <w:i/>
                <w:iCs/>
              </w:rPr>
            </w:pPr>
            <w:r>
              <w:rPr>
                <w:i/>
                <w:iCs/>
              </w:rPr>
              <w:t>Assume 85% rebate (base case 80%)</w:t>
            </w:r>
          </w:p>
        </w:tc>
        <w:tc>
          <w:tcPr>
            <w:tcW w:w="833" w:type="dxa"/>
          </w:tcPr>
          <w:p w14:paraId="3A01B2BC" w14:textId="700AECB8"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tcPr>
          <w:p w14:paraId="6E32AE43" w14:textId="6E284F1E"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3" w:type="dxa"/>
          </w:tcPr>
          <w:p w14:paraId="2954239F" w14:textId="1B7030E8"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tcPr>
          <w:p w14:paraId="1BE7582A" w14:textId="3A10E343"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3" w:type="dxa"/>
          </w:tcPr>
          <w:p w14:paraId="152E0F17" w14:textId="34EB56E9"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c>
          <w:tcPr>
            <w:tcW w:w="834" w:type="dxa"/>
          </w:tcPr>
          <w:p w14:paraId="230591F1" w14:textId="4371ECC1" w:rsidR="00563933" w:rsidRPr="00CE008B" w:rsidRDefault="00DA59AC"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41AB16FC" w14:textId="77777777" w:rsidTr="2914E55D">
        <w:tc>
          <w:tcPr>
            <w:tcW w:w="3937" w:type="dxa"/>
            <w:vAlign w:val="center"/>
          </w:tcPr>
          <w:p w14:paraId="7477A030" w14:textId="0E0F1B40" w:rsidR="00563933" w:rsidRPr="00B27879" w:rsidRDefault="00563933" w:rsidP="00563933">
            <w:pPr>
              <w:pStyle w:val="TableText"/>
              <w:keepNext/>
              <w:keepLines/>
              <w:rPr>
                <w:i/>
                <w:iCs/>
              </w:rPr>
            </w:pPr>
            <w:r>
              <w:rPr>
                <w:i/>
                <w:iCs/>
              </w:rPr>
              <w:t>Cost to MBS for FGFR2 testing assuming 100% uptake (base case 92.5%)</w:t>
            </w:r>
          </w:p>
        </w:tc>
        <w:tc>
          <w:tcPr>
            <w:tcW w:w="833" w:type="dxa"/>
            <w:vAlign w:val="center"/>
          </w:tcPr>
          <w:p w14:paraId="2C49595C" w14:textId="0494863A"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4" w:type="dxa"/>
            <w:vAlign w:val="center"/>
          </w:tcPr>
          <w:p w14:paraId="14F5E515" w14:textId="50EE17F1"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3" w:type="dxa"/>
            <w:vAlign w:val="center"/>
          </w:tcPr>
          <w:p w14:paraId="3862151F" w14:textId="59194D38"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4" w:type="dxa"/>
            <w:vAlign w:val="center"/>
          </w:tcPr>
          <w:p w14:paraId="25D10C79" w14:textId="3AB440ED"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3" w:type="dxa"/>
            <w:vAlign w:val="center"/>
          </w:tcPr>
          <w:p w14:paraId="5FD83900" w14:textId="302B86EF"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4" w:type="dxa"/>
            <w:vAlign w:val="center"/>
          </w:tcPr>
          <w:p w14:paraId="050F93F0" w14:textId="10E45991"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r>
      <w:tr w:rsidR="00563933" w:rsidRPr="00B27879" w14:paraId="70F74273" w14:textId="77777777" w:rsidTr="2914E55D">
        <w:tc>
          <w:tcPr>
            <w:tcW w:w="3937" w:type="dxa"/>
            <w:vAlign w:val="center"/>
          </w:tcPr>
          <w:p w14:paraId="512532E4" w14:textId="1FC01C40" w:rsidR="00563933" w:rsidRPr="00B27879" w:rsidRDefault="00563933" w:rsidP="00563933">
            <w:pPr>
              <w:pStyle w:val="TableText"/>
              <w:keepNext/>
              <w:keepLines/>
              <w:rPr>
                <w:i/>
                <w:iCs/>
              </w:rPr>
            </w:pPr>
            <w:r w:rsidRPr="47BE838F">
              <w:rPr>
                <w:i/>
                <w:iCs/>
              </w:rPr>
              <w:t>Cost to MBS of FGFR2 testing using all Australian population estimate (0-100) instead of just adult (18-100)</w:t>
            </w:r>
          </w:p>
        </w:tc>
        <w:tc>
          <w:tcPr>
            <w:tcW w:w="833" w:type="dxa"/>
            <w:vAlign w:val="center"/>
          </w:tcPr>
          <w:p w14:paraId="1B1E24A1" w14:textId="234CC1E1" w:rsidR="00563933" w:rsidRPr="00CE008B" w:rsidRDefault="00DA59AC" w:rsidP="00563933">
            <w:pPr>
              <w:pStyle w:val="TableText"/>
              <w:keepNext/>
              <w:keepLines/>
              <w:jc w:val="center"/>
              <w:rPr>
                <w:i/>
                <w:iCs/>
                <w:szCs w:val="20"/>
              </w:rPr>
            </w:pPr>
            <w:r w:rsidRPr="00CE008B">
              <w:rPr>
                <w:b/>
                <w:bCs/>
              </w:rPr>
              <w:t>$Redacted</w:t>
            </w:r>
            <w:r w:rsidRPr="00CE008B">
              <w:rPr>
                <w:b/>
                <w:bCs/>
                <w:vertAlign w:val="superscript"/>
              </w:rPr>
              <w:t>3</w:t>
            </w:r>
          </w:p>
        </w:tc>
        <w:tc>
          <w:tcPr>
            <w:tcW w:w="834" w:type="dxa"/>
            <w:vAlign w:val="center"/>
          </w:tcPr>
          <w:p w14:paraId="6E6FF91F" w14:textId="52B6A30A" w:rsidR="00563933" w:rsidRPr="00CE008B" w:rsidRDefault="00DA59AC" w:rsidP="00563933">
            <w:pPr>
              <w:pStyle w:val="TableText"/>
              <w:keepNext/>
              <w:keepLines/>
              <w:jc w:val="center"/>
              <w:rPr>
                <w:szCs w:val="20"/>
              </w:rPr>
            </w:pPr>
            <w:r w:rsidRPr="00CE008B">
              <w:rPr>
                <w:b/>
                <w:bCs/>
              </w:rPr>
              <w:t>$Redacted</w:t>
            </w:r>
            <w:r w:rsidRPr="00CE008B">
              <w:rPr>
                <w:b/>
                <w:bCs/>
                <w:vertAlign w:val="superscript"/>
              </w:rPr>
              <w:t>3</w:t>
            </w:r>
          </w:p>
        </w:tc>
        <w:tc>
          <w:tcPr>
            <w:tcW w:w="833" w:type="dxa"/>
            <w:vAlign w:val="center"/>
          </w:tcPr>
          <w:p w14:paraId="58B502C9" w14:textId="4399895B" w:rsidR="00563933" w:rsidRPr="00CE008B" w:rsidRDefault="00DA59AC" w:rsidP="00563933">
            <w:pPr>
              <w:pStyle w:val="TableText"/>
              <w:keepNext/>
              <w:keepLines/>
              <w:jc w:val="center"/>
              <w:rPr>
                <w:szCs w:val="20"/>
              </w:rPr>
            </w:pPr>
            <w:r w:rsidRPr="00CE008B">
              <w:rPr>
                <w:b/>
                <w:bCs/>
              </w:rPr>
              <w:t>$Redacted</w:t>
            </w:r>
            <w:r w:rsidRPr="00CE008B">
              <w:rPr>
                <w:b/>
                <w:bCs/>
                <w:vertAlign w:val="superscript"/>
              </w:rPr>
              <w:t>3</w:t>
            </w:r>
          </w:p>
        </w:tc>
        <w:tc>
          <w:tcPr>
            <w:tcW w:w="834" w:type="dxa"/>
            <w:vAlign w:val="center"/>
          </w:tcPr>
          <w:p w14:paraId="3338C1D8" w14:textId="74372FE9" w:rsidR="00563933" w:rsidRPr="00CE008B" w:rsidRDefault="00DA59AC" w:rsidP="00563933">
            <w:pPr>
              <w:pStyle w:val="TableText"/>
              <w:keepNext/>
              <w:keepLines/>
              <w:jc w:val="center"/>
              <w:rPr>
                <w:szCs w:val="20"/>
              </w:rPr>
            </w:pPr>
            <w:r w:rsidRPr="00CE008B">
              <w:rPr>
                <w:b/>
                <w:bCs/>
              </w:rPr>
              <w:t>$Redacted</w:t>
            </w:r>
            <w:r w:rsidRPr="00CE008B">
              <w:rPr>
                <w:b/>
                <w:bCs/>
                <w:vertAlign w:val="superscript"/>
              </w:rPr>
              <w:t>3</w:t>
            </w:r>
          </w:p>
        </w:tc>
        <w:tc>
          <w:tcPr>
            <w:tcW w:w="833" w:type="dxa"/>
            <w:vAlign w:val="center"/>
          </w:tcPr>
          <w:p w14:paraId="237159BB" w14:textId="04360545" w:rsidR="00563933" w:rsidRPr="00CE008B" w:rsidRDefault="00DA59AC" w:rsidP="00563933">
            <w:pPr>
              <w:pStyle w:val="TableText"/>
              <w:keepNext/>
              <w:keepLines/>
              <w:jc w:val="center"/>
              <w:rPr>
                <w:szCs w:val="20"/>
              </w:rPr>
            </w:pPr>
            <w:r w:rsidRPr="00CE008B">
              <w:rPr>
                <w:b/>
                <w:bCs/>
              </w:rPr>
              <w:t>$Redacted</w:t>
            </w:r>
            <w:r w:rsidRPr="00CE008B">
              <w:rPr>
                <w:b/>
                <w:bCs/>
                <w:vertAlign w:val="superscript"/>
              </w:rPr>
              <w:t>3</w:t>
            </w:r>
          </w:p>
        </w:tc>
        <w:tc>
          <w:tcPr>
            <w:tcW w:w="834" w:type="dxa"/>
            <w:vAlign w:val="center"/>
          </w:tcPr>
          <w:p w14:paraId="4E8C21BE" w14:textId="2774D2DA" w:rsidR="00563933" w:rsidRPr="00CE008B" w:rsidRDefault="00DA59AC" w:rsidP="00563933">
            <w:pPr>
              <w:pStyle w:val="TableText"/>
              <w:keepNext/>
              <w:keepLines/>
              <w:jc w:val="center"/>
              <w:rPr>
                <w:szCs w:val="20"/>
              </w:rPr>
            </w:pPr>
            <w:r w:rsidRPr="00CE008B">
              <w:rPr>
                <w:b/>
                <w:bCs/>
              </w:rPr>
              <w:t>$Redacted</w:t>
            </w:r>
            <w:r w:rsidRPr="00CE008B">
              <w:rPr>
                <w:b/>
                <w:bCs/>
                <w:vertAlign w:val="superscript"/>
              </w:rPr>
              <w:t>3</w:t>
            </w:r>
          </w:p>
        </w:tc>
      </w:tr>
      <w:tr w:rsidR="00563933" w:rsidRPr="00B27879" w14:paraId="2189E578" w14:textId="77777777" w:rsidTr="2914E55D">
        <w:tc>
          <w:tcPr>
            <w:tcW w:w="8938" w:type="dxa"/>
            <w:gridSpan w:val="7"/>
            <w:vAlign w:val="center"/>
          </w:tcPr>
          <w:p w14:paraId="378FC51E" w14:textId="77E9AE27" w:rsidR="00563933" w:rsidRPr="00CE008B" w:rsidRDefault="00563933" w:rsidP="00563933">
            <w:pPr>
              <w:pStyle w:val="TableText"/>
              <w:keepNext/>
              <w:keepLines/>
              <w:rPr>
                <w:i/>
                <w:iCs/>
              </w:rPr>
            </w:pPr>
            <w:r w:rsidRPr="00CE008B">
              <w:rPr>
                <w:b/>
                <w:bCs/>
              </w:rPr>
              <w:t>Net cost to MBS (inclusive of OCT and offset from reduction in FOLFOX administration)</w:t>
            </w:r>
          </w:p>
        </w:tc>
      </w:tr>
      <w:tr w:rsidR="00563933" w:rsidRPr="00B27879" w14:paraId="5A77EE1D" w14:textId="77777777" w:rsidTr="2914E55D">
        <w:tc>
          <w:tcPr>
            <w:tcW w:w="3937" w:type="dxa"/>
            <w:vAlign w:val="center"/>
          </w:tcPr>
          <w:p w14:paraId="4234F0B4" w14:textId="5B30679D" w:rsidR="00563933" w:rsidRPr="47BE838F" w:rsidRDefault="00563933" w:rsidP="00563933">
            <w:pPr>
              <w:pStyle w:val="TableText"/>
              <w:keepNext/>
              <w:keepLines/>
              <w:rPr>
                <w:i/>
                <w:iCs/>
              </w:rPr>
            </w:pPr>
            <w:r w:rsidRPr="00B27879">
              <w:t>Base case (test when progress to 2L)</w:t>
            </w:r>
          </w:p>
        </w:tc>
        <w:tc>
          <w:tcPr>
            <w:tcW w:w="833" w:type="dxa"/>
            <w:vAlign w:val="center"/>
          </w:tcPr>
          <w:p w14:paraId="04030781" w14:textId="47C9C42B" w:rsidR="00563933" w:rsidRPr="00CE008B" w:rsidRDefault="00DA59AC" w:rsidP="00563933">
            <w:pPr>
              <w:pStyle w:val="TableText"/>
              <w:keepNext/>
              <w:keepLines/>
              <w:jc w:val="center"/>
            </w:pPr>
            <w:r w:rsidRPr="00CE008B">
              <w:rPr>
                <w:b/>
                <w:bCs/>
              </w:rPr>
              <w:t>$Redacted</w:t>
            </w:r>
            <w:r w:rsidRPr="00CE008B">
              <w:rPr>
                <w:b/>
                <w:bCs/>
                <w:vertAlign w:val="superscript"/>
              </w:rPr>
              <w:t>4</w:t>
            </w:r>
          </w:p>
        </w:tc>
        <w:tc>
          <w:tcPr>
            <w:tcW w:w="834" w:type="dxa"/>
            <w:vAlign w:val="center"/>
          </w:tcPr>
          <w:p w14:paraId="034398BD" w14:textId="227790B2" w:rsidR="00563933" w:rsidRPr="00CE008B" w:rsidRDefault="00DA59AC" w:rsidP="00563933">
            <w:pPr>
              <w:pStyle w:val="TableText"/>
              <w:keepNext/>
              <w:keepLines/>
              <w:jc w:val="center"/>
            </w:pPr>
            <w:r w:rsidRPr="00CE008B">
              <w:rPr>
                <w:b/>
                <w:bCs/>
              </w:rPr>
              <w:t>$Redacted</w:t>
            </w:r>
            <w:r w:rsidRPr="00CE008B">
              <w:rPr>
                <w:b/>
                <w:bCs/>
                <w:vertAlign w:val="superscript"/>
              </w:rPr>
              <w:t>3</w:t>
            </w:r>
          </w:p>
        </w:tc>
        <w:tc>
          <w:tcPr>
            <w:tcW w:w="833" w:type="dxa"/>
            <w:vAlign w:val="center"/>
          </w:tcPr>
          <w:p w14:paraId="534738F7" w14:textId="5FF6C5CB" w:rsidR="00563933" w:rsidRPr="00CE008B" w:rsidRDefault="00DA59AC" w:rsidP="00563933">
            <w:pPr>
              <w:pStyle w:val="TableText"/>
              <w:keepNext/>
              <w:keepLines/>
              <w:jc w:val="center"/>
            </w:pPr>
            <w:r w:rsidRPr="00CE008B">
              <w:rPr>
                <w:b/>
                <w:bCs/>
              </w:rPr>
              <w:t>$Redacted</w:t>
            </w:r>
            <w:r w:rsidRPr="00CE008B">
              <w:rPr>
                <w:b/>
                <w:bCs/>
                <w:vertAlign w:val="superscript"/>
              </w:rPr>
              <w:t>3</w:t>
            </w:r>
          </w:p>
        </w:tc>
        <w:tc>
          <w:tcPr>
            <w:tcW w:w="834" w:type="dxa"/>
            <w:vAlign w:val="center"/>
          </w:tcPr>
          <w:p w14:paraId="6E613F4F" w14:textId="6AE8F78A" w:rsidR="00563933" w:rsidRPr="00CE008B" w:rsidRDefault="00DA59AC" w:rsidP="00563933">
            <w:pPr>
              <w:pStyle w:val="TableText"/>
              <w:keepNext/>
              <w:keepLines/>
              <w:jc w:val="center"/>
            </w:pPr>
            <w:r w:rsidRPr="00CE008B">
              <w:rPr>
                <w:b/>
                <w:bCs/>
              </w:rPr>
              <w:t>$Redacted</w:t>
            </w:r>
            <w:r w:rsidRPr="00CE008B">
              <w:rPr>
                <w:b/>
                <w:bCs/>
                <w:vertAlign w:val="superscript"/>
              </w:rPr>
              <w:t>3</w:t>
            </w:r>
          </w:p>
        </w:tc>
        <w:tc>
          <w:tcPr>
            <w:tcW w:w="833" w:type="dxa"/>
            <w:vAlign w:val="center"/>
          </w:tcPr>
          <w:p w14:paraId="23C6B9E7" w14:textId="066D56E8" w:rsidR="00563933" w:rsidRPr="00CE008B" w:rsidRDefault="00DA59AC" w:rsidP="00563933">
            <w:pPr>
              <w:pStyle w:val="TableText"/>
              <w:keepNext/>
              <w:keepLines/>
              <w:jc w:val="center"/>
            </w:pPr>
            <w:r w:rsidRPr="00CE008B">
              <w:rPr>
                <w:b/>
                <w:bCs/>
              </w:rPr>
              <w:t>$Redacted</w:t>
            </w:r>
            <w:r w:rsidRPr="00CE008B">
              <w:rPr>
                <w:b/>
                <w:bCs/>
                <w:vertAlign w:val="superscript"/>
              </w:rPr>
              <w:t>3</w:t>
            </w:r>
          </w:p>
        </w:tc>
        <w:tc>
          <w:tcPr>
            <w:tcW w:w="834" w:type="dxa"/>
            <w:vAlign w:val="center"/>
          </w:tcPr>
          <w:p w14:paraId="19D6A4AB" w14:textId="2BABB9CE" w:rsidR="00563933" w:rsidRPr="00CE008B" w:rsidRDefault="00DA59AC" w:rsidP="00563933">
            <w:pPr>
              <w:pStyle w:val="TableText"/>
              <w:keepNext/>
              <w:keepLines/>
              <w:jc w:val="center"/>
            </w:pPr>
            <w:r w:rsidRPr="00CE008B">
              <w:rPr>
                <w:b/>
                <w:bCs/>
              </w:rPr>
              <w:t>$Redacted</w:t>
            </w:r>
            <w:r w:rsidRPr="00CE008B">
              <w:rPr>
                <w:b/>
                <w:bCs/>
                <w:vertAlign w:val="superscript"/>
              </w:rPr>
              <w:t>3</w:t>
            </w:r>
          </w:p>
        </w:tc>
      </w:tr>
      <w:tr w:rsidR="00563933" w:rsidRPr="00B27879" w14:paraId="58383C77" w14:textId="77777777" w:rsidTr="2914E55D">
        <w:tc>
          <w:tcPr>
            <w:tcW w:w="3937" w:type="dxa"/>
            <w:vAlign w:val="center"/>
          </w:tcPr>
          <w:p w14:paraId="45F6BF01" w14:textId="0F6C1CBA" w:rsidR="00563933" w:rsidRPr="47BE838F" w:rsidRDefault="00563933" w:rsidP="00563933">
            <w:pPr>
              <w:pStyle w:val="TableText"/>
              <w:keepNext/>
              <w:keepLines/>
              <w:rPr>
                <w:i/>
                <w:iCs/>
              </w:rPr>
            </w:pPr>
            <w:r w:rsidRPr="00B27879">
              <w:rPr>
                <w:i/>
                <w:iCs/>
              </w:rPr>
              <w:t xml:space="preserve">Assume testing in entire CCA population </w:t>
            </w:r>
            <w:r>
              <w:rPr>
                <w:i/>
                <w:iCs/>
                <w:vertAlign w:val="superscript"/>
              </w:rPr>
              <w:t>g</w:t>
            </w:r>
          </w:p>
        </w:tc>
        <w:tc>
          <w:tcPr>
            <w:tcW w:w="833" w:type="dxa"/>
            <w:vAlign w:val="center"/>
          </w:tcPr>
          <w:p w14:paraId="260A557E" w14:textId="7603DE29"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757E8B3A" w14:textId="0D6ED24B"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12B022B7" w14:textId="6F864369"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0A3076AA" w14:textId="0CD50DE1"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0045035F" w14:textId="64823898"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729EFC0C" w14:textId="72C20079"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68CBCC03" w14:textId="77777777" w:rsidTr="2914E55D">
        <w:tc>
          <w:tcPr>
            <w:tcW w:w="3937" w:type="dxa"/>
            <w:vAlign w:val="center"/>
          </w:tcPr>
          <w:p w14:paraId="00747CDF" w14:textId="3087A84C" w:rsidR="00563933" w:rsidRPr="47BE838F" w:rsidRDefault="00563933" w:rsidP="00563933">
            <w:pPr>
              <w:pStyle w:val="TableText"/>
              <w:keepNext/>
              <w:keepLines/>
              <w:rPr>
                <w:i/>
                <w:iCs/>
              </w:rPr>
            </w:pPr>
            <w:r w:rsidRPr="00B27879">
              <w:rPr>
                <w:i/>
                <w:iCs/>
              </w:rPr>
              <w:t xml:space="preserve">Assume testing in locally advanced, metastatic CCA </w:t>
            </w:r>
            <w:r>
              <w:rPr>
                <w:i/>
                <w:iCs/>
                <w:vertAlign w:val="superscript"/>
              </w:rPr>
              <w:t>h</w:t>
            </w:r>
          </w:p>
        </w:tc>
        <w:tc>
          <w:tcPr>
            <w:tcW w:w="833" w:type="dxa"/>
            <w:vAlign w:val="center"/>
          </w:tcPr>
          <w:p w14:paraId="0FE7301C" w14:textId="17991952"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332D6563" w14:textId="676D1FE6"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6F974351" w14:textId="606DB4D6"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18FE7366" w14:textId="6BBF605D"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749DE0C0" w14:textId="27E0BBD5"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67C417A4" w14:textId="7392B185"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435830BC" w14:textId="77777777" w:rsidTr="2914E55D">
        <w:tc>
          <w:tcPr>
            <w:tcW w:w="3937" w:type="dxa"/>
            <w:vAlign w:val="center"/>
          </w:tcPr>
          <w:p w14:paraId="6D5E7C55" w14:textId="4CD5F608" w:rsidR="00563933" w:rsidRPr="47BE838F" w:rsidRDefault="00563933" w:rsidP="00563933">
            <w:pPr>
              <w:pStyle w:val="TableText"/>
              <w:keepNext/>
              <w:keepLines/>
              <w:rPr>
                <w:i/>
                <w:iCs/>
              </w:rPr>
            </w:pPr>
            <w:r>
              <w:rPr>
                <w:i/>
                <w:iCs/>
              </w:rPr>
              <w:t>Assume 85% rebate (base case 80%)</w:t>
            </w:r>
          </w:p>
        </w:tc>
        <w:tc>
          <w:tcPr>
            <w:tcW w:w="833" w:type="dxa"/>
            <w:vAlign w:val="center"/>
          </w:tcPr>
          <w:p w14:paraId="5CD4C2A3" w14:textId="5DB11EAB" w:rsidR="00563933" w:rsidRPr="00CE008B" w:rsidRDefault="007E437A" w:rsidP="00563933">
            <w:pPr>
              <w:pStyle w:val="TableText"/>
              <w:keepNext/>
              <w:keepLines/>
              <w:jc w:val="center"/>
              <w:rPr>
                <w:i/>
                <w:iCs/>
              </w:rPr>
            </w:pPr>
            <w:r w:rsidRPr="00CE008B">
              <w:rPr>
                <w:b/>
                <w:bCs/>
              </w:rPr>
              <w:t>$Redacted</w:t>
            </w:r>
            <w:r w:rsidRPr="00CE008B">
              <w:rPr>
                <w:b/>
                <w:bCs/>
                <w:vertAlign w:val="superscript"/>
              </w:rPr>
              <w:t>4</w:t>
            </w:r>
          </w:p>
        </w:tc>
        <w:tc>
          <w:tcPr>
            <w:tcW w:w="834" w:type="dxa"/>
            <w:vAlign w:val="center"/>
          </w:tcPr>
          <w:p w14:paraId="693BC77F" w14:textId="6EF280ED" w:rsidR="00563933" w:rsidRPr="00CE008B" w:rsidRDefault="007E437A" w:rsidP="00563933">
            <w:pPr>
              <w:pStyle w:val="TableText"/>
              <w:keepNext/>
              <w:keepLines/>
              <w:jc w:val="center"/>
            </w:pPr>
            <w:r w:rsidRPr="00CE008B">
              <w:rPr>
                <w:b/>
                <w:bCs/>
              </w:rPr>
              <w:t>$Redacted</w:t>
            </w:r>
            <w:r w:rsidRPr="00CE008B">
              <w:rPr>
                <w:b/>
                <w:bCs/>
                <w:vertAlign w:val="superscript"/>
              </w:rPr>
              <w:t>3</w:t>
            </w:r>
          </w:p>
        </w:tc>
        <w:tc>
          <w:tcPr>
            <w:tcW w:w="833" w:type="dxa"/>
            <w:vAlign w:val="center"/>
          </w:tcPr>
          <w:p w14:paraId="35613CA3" w14:textId="6848F922"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6E600976" w14:textId="528A8310"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7557E24F" w14:textId="26D2E45E"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4791E703" w14:textId="038F9EAD"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589E9483" w14:textId="77777777" w:rsidTr="2914E55D">
        <w:tc>
          <w:tcPr>
            <w:tcW w:w="3937" w:type="dxa"/>
            <w:vAlign w:val="center"/>
          </w:tcPr>
          <w:p w14:paraId="2952838D" w14:textId="183FDF30" w:rsidR="00563933" w:rsidRPr="47BE838F" w:rsidRDefault="00563933" w:rsidP="00563933">
            <w:pPr>
              <w:pStyle w:val="TableText"/>
              <w:keepNext/>
              <w:keepLines/>
              <w:rPr>
                <w:i/>
                <w:iCs/>
              </w:rPr>
            </w:pPr>
            <w:r>
              <w:rPr>
                <w:i/>
                <w:iCs/>
              </w:rPr>
              <w:t>Assuming 100% test uptake (base case 92.5%)</w:t>
            </w:r>
          </w:p>
        </w:tc>
        <w:tc>
          <w:tcPr>
            <w:tcW w:w="833" w:type="dxa"/>
            <w:vAlign w:val="center"/>
          </w:tcPr>
          <w:p w14:paraId="5D8D773C" w14:textId="37C712FD" w:rsidR="00563933" w:rsidRPr="00CE008B" w:rsidRDefault="007E437A" w:rsidP="00563933">
            <w:pPr>
              <w:pStyle w:val="TableText"/>
              <w:keepNext/>
              <w:keepLines/>
              <w:jc w:val="center"/>
              <w:rPr>
                <w:i/>
                <w:iCs/>
              </w:rPr>
            </w:pPr>
            <w:r w:rsidRPr="00CE008B">
              <w:rPr>
                <w:b/>
                <w:bCs/>
              </w:rPr>
              <w:t>$Redacted</w:t>
            </w:r>
            <w:r w:rsidRPr="00CE008B">
              <w:rPr>
                <w:b/>
                <w:bCs/>
                <w:vertAlign w:val="superscript"/>
              </w:rPr>
              <w:t>4</w:t>
            </w:r>
          </w:p>
        </w:tc>
        <w:tc>
          <w:tcPr>
            <w:tcW w:w="834" w:type="dxa"/>
            <w:vAlign w:val="center"/>
          </w:tcPr>
          <w:p w14:paraId="17242FC9" w14:textId="6B3039F7"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6249F694" w14:textId="342CB291"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4A856D52" w14:textId="31CB25A4"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3" w:type="dxa"/>
            <w:vAlign w:val="center"/>
          </w:tcPr>
          <w:p w14:paraId="7BBFCFA8" w14:textId="596FCA8F"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c>
          <w:tcPr>
            <w:tcW w:w="834" w:type="dxa"/>
            <w:vAlign w:val="center"/>
          </w:tcPr>
          <w:p w14:paraId="088E5D51" w14:textId="30BAC2D1" w:rsidR="00563933" w:rsidRPr="00CE008B" w:rsidRDefault="007E437A" w:rsidP="00563933">
            <w:pPr>
              <w:pStyle w:val="TableText"/>
              <w:keepNext/>
              <w:keepLines/>
              <w:jc w:val="center"/>
              <w:rPr>
                <w:i/>
                <w:iCs/>
              </w:rPr>
            </w:pPr>
            <w:r w:rsidRPr="00CE008B">
              <w:rPr>
                <w:b/>
                <w:bCs/>
              </w:rPr>
              <w:t>$Redacted</w:t>
            </w:r>
            <w:r w:rsidRPr="00CE008B">
              <w:rPr>
                <w:b/>
                <w:bCs/>
                <w:vertAlign w:val="superscript"/>
              </w:rPr>
              <w:t>3</w:t>
            </w:r>
          </w:p>
        </w:tc>
      </w:tr>
      <w:tr w:rsidR="00563933" w:rsidRPr="00B27879" w14:paraId="502F0CB2" w14:textId="77777777" w:rsidTr="00135AAA">
        <w:tc>
          <w:tcPr>
            <w:tcW w:w="8938" w:type="dxa"/>
            <w:gridSpan w:val="7"/>
            <w:vAlign w:val="center"/>
          </w:tcPr>
          <w:p w14:paraId="5EADE4CA" w14:textId="7D176248" w:rsidR="00563933" w:rsidRPr="00CE008B" w:rsidRDefault="00563933" w:rsidP="00563933">
            <w:pPr>
              <w:pStyle w:val="TableText"/>
              <w:keepNext/>
              <w:keepLines/>
              <w:rPr>
                <w:i/>
                <w:iCs/>
              </w:rPr>
            </w:pPr>
            <w:r w:rsidRPr="00CE008B">
              <w:rPr>
                <w:b/>
                <w:bCs/>
                <w:i/>
                <w:iCs/>
              </w:rPr>
              <w:t>Post-ESC additional analysis:</w:t>
            </w:r>
            <w:r w:rsidRPr="00CE008B">
              <w:rPr>
                <w:i/>
                <w:iCs/>
              </w:rPr>
              <w:t xml:space="preserve"> </w:t>
            </w:r>
            <w:r w:rsidRPr="00CE008B">
              <w:rPr>
                <w:b/>
                <w:bCs/>
              </w:rPr>
              <w:t>Net cost to MBS (inclusive of OCT and offset from reduction in FOLFOX administration)</w:t>
            </w:r>
          </w:p>
        </w:tc>
      </w:tr>
      <w:tr w:rsidR="00563933" w:rsidRPr="00B27879" w14:paraId="348CF896" w14:textId="77777777" w:rsidTr="00C30B2B">
        <w:tc>
          <w:tcPr>
            <w:tcW w:w="3937" w:type="dxa"/>
            <w:vAlign w:val="center"/>
          </w:tcPr>
          <w:p w14:paraId="3220F551" w14:textId="2CDA845B" w:rsidR="00563933" w:rsidRDefault="00563933" w:rsidP="00563933">
            <w:pPr>
              <w:pStyle w:val="TableText"/>
              <w:keepNext/>
              <w:keepLines/>
              <w:rPr>
                <w:i/>
                <w:iCs/>
              </w:rPr>
            </w:pPr>
            <w:r>
              <w:rPr>
                <w:i/>
                <w:iCs/>
              </w:rPr>
              <w:t xml:space="preserve">Assume testing in CCA population + pancreatic cancer population (100% test uptake) + cancer of unknown primary population (100% test uptake) </w:t>
            </w:r>
            <w:r>
              <w:rPr>
                <w:i/>
                <w:iCs/>
                <w:vertAlign w:val="superscript"/>
              </w:rPr>
              <w:t>i</w:t>
            </w:r>
          </w:p>
        </w:tc>
        <w:tc>
          <w:tcPr>
            <w:tcW w:w="833" w:type="dxa"/>
            <w:vAlign w:val="center"/>
          </w:tcPr>
          <w:p w14:paraId="356FEC95" w14:textId="07D090DD"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21D3E6E6" w14:textId="675225F4"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3" w:type="dxa"/>
            <w:vAlign w:val="center"/>
          </w:tcPr>
          <w:p w14:paraId="594DC611" w14:textId="55870045"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17B46314" w14:textId="37222FDB"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3" w:type="dxa"/>
            <w:vAlign w:val="center"/>
          </w:tcPr>
          <w:p w14:paraId="7E49B521" w14:textId="3592C7C4"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6CB69C09" w14:textId="5B06708F"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r>
      <w:tr w:rsidR="00563933" w:rsidRPr="00B27879" w14:paraId="518F14A4" w14:textId="77777777" w:rsidTr="2914E55D">
        <w:tc>
          <w:tcPr>
            <w:tcW w:w="3937" w:type="dxa"/>
            <w:vAlign w:val="center"/>
          </w:tcPr>
          <w:p w14:paraId="28E8378B" w14:textId="50063B6F" w:rsidR="00563933" w:rsidRDefault="00563933" w:rsidP="00563933">
            <w:pPr>
              <w:pStyle w:val="TableText"/>
              <w:keepNext/>
              <w:keepLines/>
              <w:rPr>
                <w:i/>
                <w:iCs/>
              </w:rPr>
            </w:pPr>
            <w:r>
              <w:rPr>
                <w:i/>
                <w:iCs/>
              </w:rPr>
              <w:t xml:space="preserve">Assume testing in CCA population + pancreatic cancer population (25% test uptake) + cancer of unknown primary population (25% test uptake) </w:t>
            </w:r>
            <w:r>
              <w:rPr>
                <w:i/>
                <w:iCs/>
                <w:vertAlign w:val="superscript"/>
              </w:rPr>
              <w:t>i</w:t>
            </w:r>
          </w:p>
        </w:tc>
        <w:tc>
          <w:tcPr>
            <w:tcW w:w="833" w:type="dxa"/>
            <w:vAlign w:val="center"/>
          </w:tcPr>
          <w:p w14:paraId="6FA7A3A3" w14:textId="21190D4B"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0D3DA3BF" w14:textId="591FCCF0"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3" w:type="dxa"/>
            <w:vAlign w:val="center"/>
          </w:tcPr>
          <w:p w14:paraId="10BF8FDC" w14:textId="3405F319"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1FFEAA9D" w14:textId="634BCCBD"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3" w:type="dxa"/>
            <w:vAlign w:val="center"/>
          </w:tcPr>
          <w:p w14:paraId="07E40BA6" w14:textId="6DFA5383"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c>
          <w:tcPr>
            <w:tcW w:w="834" w:type="dxa"/>
            <w:vAlign w:val="center"/>
          </w:tcPr>
          <w:p w14:paraId="529FA523" w14:textId="3762B529" w:rsidR="00563933" w:rsidRPr="00CE008B" w:rsidRDefault="007E437A" w:rsidP="00563933">
            <w:pPr>
              <w:pStyle w:val="TableText"/>
              <w:keepNext/>
              <w:keepLines/>
              <w:jc w:val="center"/>
              <w:rPr>
                <w:rFonts w:ascii="Arial" w:hAnsi="Arial" w:cs="Arial"/>
                <w:i/>
                <w:iCs/>
                <w:sz w:val="14"/>
                <w:szCs w:val="14"/>
              </w:rPr>
            </w:pPr>
            <w:r w:rsidRPr="00CE008B">
              <w:rPr>
                <w:b/>
                <w:bCs/>
              </w:rPr>
              <w:t>$Redacted</w:t>
            </w:r>
            <w:r w:rsidRPr="00CE008B">
              <w:rPr>
                <w:b/>
                <w:bCs/>
                <w:vertAlign w:val="superscript"/>
              </w:rPr>
              <w:t>3</w:t>
            </w:r>
          </w:p>
        </w:tc>
      </w:tr>
    </w:tbl>
    <w:p w14:paraId="71826371" w14:textId="6F9642C4" w:rsidR="00506D42" w:rsidRPr="00B27879" w:rsidRDefault="00506D42" w:rsidP="00353AB8">
      <w:pPr>
        <w:pStyle w:val="TableFooter"/>
        <w:keepNext/>
        <w:keepLines/>
      </w:pPr>
      <w:r w:rsidRPr="00B27879">
        <w:t>Source: Table 4.16, p241 of the submission and attached financial spreadsheet</w:t>
      </w:r>
    </w:p>
    <w:p w14:paraId="2B149181" w14:textId="2F4D6AF4" w:rsidR="00552CDB" w:rsidRPr="00B27879" w:rsidRDefault="00871E01" w:rsidP="00353AB8">
      <w:pPr>
        <w:pStyle w:val="TableFooter"/>
        <w:keepNext/>
        <w:keepLines/>
      </w:pPr>
      <w:r>
        <w:t xml:space="preserve">2L = second line; </w:t>
      </w:r>
      <w:r w:rsidRPr="00B27879">
        <w:t>CCA = cholangiocarcinoma</w:t>
      </w:r>
      <w:r>
        <w:t>;</w:t>
      </w:r>
      <w:r w:rsidR="00A1138B" w:rsidRPr="00A1138B">
        <w:t xml:space="preserve"> </w:t>
      </w:r>
      <w:r w:rsidR="00A1138B" w:rsidRPr="00B27879">
        <w:t>FGFR2 = fibroblast growth factor receptor 2</w:t>
      </w:r>
      <w:r w:rsidR="00A1138B">
        <w:t>;</w:t>
      </w:r>
      <w:r w:rsidRPr="00B27879">
        <w:t xml:space="preserve"> </w:t>
      </w:r>
      <w:r w:rsidR="00552CDB" w:rsidRPr="00B27879">
        <w:t>OCT = optical coherence tomography</w:t>
      </w:r>
    </w:p>
    <w:p w14:paraId="5F190733" w14:textId="2BE027BC" w:rsidR="00552CDB" w:rsidRPr="00B27879" w:rsidRDefault="00552CDB" w:rsidP="00353AB8">
      <w:pPr>
        <w:pStyle w:val="TableFooter"/>
        <w:keepNext/>
        <w:keepLines/>
      </w:pPr>
      <w:r w:rsidRPr="2914E55D">
        <w:t>Text in italics indicate values calculated during evaluation</w:t>
      </w:r>
    </w:p>
    <w:p w14:paraId="3BAEF1A5" w14:textId="2B62CCD6" w:rsidR="00BB13E1" w:rsidRPr="00B27879" w:rsidRDefault="00BB13E1" w:rsidP="00353AB8">
      <w:pPr>
        <w:pStyle w:val="TableFooter"/>
        <w:keepNext/>
        <w:keepLines/>
      </w:pPr>
      <w:r w:rsidRPr="2914E55D">
        <w:rPr>
          <w:vertAlign w:val="superscript"/>
        </w:rPr>
        <w:t xml:space="preserve">a </w:t>
      </w:r>
      <w:r w:rsidRPr="2914E55D">
        <w:t xml:space="preserve">The submission did not present an estimate of number of patients tested. During the evaluation the implied estimates were calculated based on the submission’s estimate of number of </w:t>
      </w:r>
      <w:r w:rsidR="000A688D" w:rsidRPr="2914E55D">
        <w:t>units of testing presented in the financial workbook, which was</w:t>
      </w:r>
      <w:r w:rsidR="00FE005A" w:rsidRPr="2914E55D">
        <w:t xml:space="preserve"> estimated by multiplying the number of patient years of </w:t>
      </w:r>
      <w:r w:rsidR="003B6DF9" w:rsidRPr="2914E55D">
        <w:t xml:space="preserve">futibatinib </w:t>
      </w:r>
      <w:r w:rsidR="00FE005A" w:rsidRPr="2914E55D">
        <w:t>treatment</w:t>
      </w:r>
      <w:r w:rsidR="003B6DF9" w:rsidRPr="2914E55D">
        <w:t xml:space="preserve"> in the incident population (12.5 months; 1.04 </w:t>
      </w:r>
      <w:r w:rsidR="00573406" w:rsidRPr="2914E55D">
        <w:t>patient years per patient treated)</w:t>
      </w:r>
      <w:r w:rsidR="00FE005A" w:rsidRPr="2914E55D">
        <w:t xml:space="preserve"> by 500%</w:t>
      </w:r>
      <w:r w:rsidR="00100410" w:rsidRPr="2914E55D">
        <w:t xml:space="preserve"> (based on an assumed 20% prevalence)</w:t>
      </w:r>
      <w:r w:rsidR="00FE005A" w:rsidRPr="2914E55D">
        <w:t xml:space="preserve">. </w:t>
      </w:r>
    </w:p>
    <w:p w14:paraId="28286681" w14:textId="1A51C67B" w:rsidR="002041D1" w:rsidRPr="002041D1" w:rsidRDefault="002041D1" w:rsidP="00353AB8">
      <w:pPr>
        <w:pStyle w:val="TableFooter"/>
        <w:keepNext/>
        <w:keepLines/>
      </w:pPr>
      <w:r>
        <w:rPr>
          <w:vertAlign w:val="superscript"/>
        </w:rPr>
        <w:t xml:space="preserve">b </w:t>
      </w:r>
      <w:r>
        <w:t>Based on $350 per test, assuming 80% rebate</w:t>
      </w:r>
    </w:p>
    <w:p w14:paraId="7846761E" w14:textId="3B0A64F8" w:rsidR="002041D1" w:rsidRPr="002041D1" w:rsidRDefault="002041D1" w:rsidP="00353AB8">
      <w:pPr>
        <w:pStyle w:val="TableFooter"/>
        <w:keepNext/>
        <w:keepLines/>
      </w:pPr>
      <w:r>
        <w:rPr>
          <w:vertAlign w:val="superscript"/>
        </w:rPr>
        <w:t xml:space="preserve">c </w:t>
      </w:r>
      <w:r>
        <w:t xml:space="preserve">Assumed to occur </w:t>
      </w:r>
      <w:r w:rsidR="00417EF2">
        <w:t>twice per patient; based on MBS Item 11219, with a fee of $45.50 and 80% rebate</w:t>
      </w:r>
    </w:p>
    <w:p w14:paraId="739DDC2A" w14:textId="19560A38" w:rsidR="002041D1" w:rsidRPr="00CD167E" w:rsidRDefault="002041D1" w:rsidP="00353AB8">
      <w:pPr>
        <w:pStyle w:val="TableFooter"/>
        <w:keepNext/>
        <w:keepLines/>
      </w:pPr>
      <w:r w:rsidRPr="2914E55D">
        <w:rPr>
          <w:vertAlign w:val="superscript"/>
        </w:rPr>
        <w:lastRenderedPageBreak/>
        <w:t>d</w:t>
      </w:r>
      <w:r w:rsidR="00667176" w:rsidRPr="2914E55D">
        <w:rPr>
          <w:vertAlign w:val="superscript"/>
        </w:rPr>
        <w:t xml:space="preserve"> </w:t>
      </w:r>
      <w:r w:rsidR="00CD167E" w:rsidRPr="2914E55D">
        <w:t xml:space="preserve">Includes Chemotherapy administration (MBS Item 13950: $123.05), insertion of a central venous access device (CVAD) (MBS item 34528, $310.35), removal of CVAD for 73.6% of patients (MBS item 34530, $232.60), anaesthesia (MBS item 20400+23010, $90.20),and cleaning the CVAD (MBS item 14221, $59.80). </w:t>
      </w:r>
      <w:r w:rsidR="00033C96" w:rsidRPr="2914E55D">
        <w:t xml:space="preserve">All assumed 80% rebate. </w:t>
      </w:r>
    </w:p>
    <w:p w14:paraId="74042B35" w14:textId="7DA94E93" w:rsidR="00A91A3D" w:rsidRPr="00B27879" w:rsidRDefault="002041D1" w:rsidP="00353AB8">
      <w:pPr>
        <w:pStyle w:val="TableFooter"/>
        <w:keepNext/>
        <w:keepLines/>
      </w:pPr>
      <w:r w:rsidRPr="2914E55D">
        <w:rPr>
          <w:vertAlign w:val="superscript"/>
        </w:rPr>
        <w:t>e</w:t>
      </w:r>
      <w:r w:rsidR="00A91A3D" w:rsidRPr="2914E55D">
        <w:t xml:space="preserve"> estimated by multiplying total CCA population in each year by $280 (80% MBS benefit of $350, the proposed MBS benefit for </w:t>
      </w:r>
      <w:r w:rsidR="00A91A3D" w:rsidRPr="2914E55D">
        <w:rPr>
          <w:i/>
          <w:iCs/>
        </w:rPr>
        <w:t>FGFR2</w:t>
      </w:r>
      <w:r w:rsidR="00A91A3D" w:rsidRPr="2914E55D">
        <w:t xml:space="preserve"> testing)</w:t>
      </w:r>
    </w:p>
    <w:p w14:paraId="01C1EF47" w14:textId="19781826" w:rsidR="00A91A3D" w:rsidRDefault="002041D1" w:rsidP="00353AB8">
      <w:pPr>
        <w:pStyle w:val="TableFooter"/>
        <w:keepNext/>
        <w:keepLines/>
      </w:pPr>
      <w:r>
        <w:rPr>
          <w:vertAlign w:val="superscript"/>
        </w:rPr>
        <w:t>f</w:t>
      </w:r>
      <w:r w:rsidR="00A91A3D" w:rsidRPr="00B27879">
        <w:t xml:space="preserve"> estimated by multiplying </w:t>
      </w:r>
      <w:r w:rsidR="00920D1E" w:rsidRPr="00B27879">
        <w:t>advanced</w:t>
      </w:r>
      <w:r w:rsidR="00A91A3D" w:rsidRPr="00B27879">
        <w:t xml:space="preserve"> CCA population in each year by $280 (80% MBS benefit of $350, the proposed MBS benefit for </w:t>
      </w:r>
      <w:r w:rsidR="00A91A3D" w:rsidRPr="00B27879">
        <w:rPr>
          <w:i/>
          <w:iCs/>
        </w:rPr>
        <w:t>FGFR2</w:t>
      </w:r>
      <w:r w:rsidR="00A91A3D" w:rsidRPr="00B27879">
        <w:t xml:space="preserve"> testing)</w:t>
      </w:r>
    </w:p>
    <w:p w14:paraId="09ED295B" w14:textId="43FF97D2" w:rsidR="00871E01" w:rsidRDefault="00871E01" w:rsidP="00353AB8">
      <w:pPr>
        <w:pStyle w:val="TableFooter"/>
        <w:keepNext/>
        <w:keepLines/>
      </w:pPr>
      <w:r w:rsidRPr="2914E55D">
        <w:rPr>
          <w:vertAlign w:val="superscript"/>
        </w:rPr>
        <w:t xml:space="preserve">g </w:t>
      </w:r>
      <w:r w:rsidRPr="2914E55D">
        <w:t xml:space="preserve">estimated by taking Cost for </w:t>
      </w:r>
      <w:r w:rsidRPr="2914E55D">
        <w:rPr>
          <w:i/>
          <w:iCs/>
        </w:rPr>
        <w:t>FGFR2</w:t>
      </w:r>
      <w:r w:rsidRPr="2914E55D">
        <w:t xml:space="preserve"> testing in entire CCA population (see </w:t>
      </w:r>
      <w:r w:rsidR="00A1138B" w:rsidRPr="2914E55D">
        <w:t>e</w:t>
      </w:r>
      <w:r w:rsidRPr="2914E55D">
        <w:t xml:space="preserve"> above), adding cost of optical coherence tomography and subtracting cost offsets from reduction in FOLFOX administration</w:t>
      </w:r>
    </w:p>
    <w:p w14:paraId="6A584725" w14:textId="54E1E54B" w:rsidR="00871E01" w:rsidRDefault="00871E01" w:rsidP="00353AB8">
      <w:pPr>
        <w:pStyle w:val="TableFooter"/>
        <w:keepNext/>
        <w:keepLines/>
      </w:pPr>
      <w:r w:rsidRPr="2914E55D">
        <w:rPr>
          <w:vertAlign w:val="superscript"/>
        </w:rPr>
        <w:t xml:space="preserve">h </w:t>
      </w:r>
      <w:r w:rsidRPr="2914E55D">
        <w:t xml:space="preserve">estimated by taking Cost for </w:t>
      </w:r>
      <w:r w:rsidRPr="2914E55D">
        <w:rPr>
          <w:i/>
          <w:iCs/>
        </w:rPr>
        <w:t>FGFR2</w:t>
      </w:r>
      <w:r w:rsidRPr="2914E55D">
        <w:t xml:space="preserve"> testing in locally advanced, metastatic CCA (see </w:t>
      </w:r>
      <w:r w:rsidR="00A1138B" w:rsidRPr="2914E55D">
        <w:t>f</w:t>
      </w:r>
      <w:r w:rsidRPr="2914E55D">
        <w:t xml:space="preserve"> above), adding cost of optical coherence tomography and subtracting cost offsets from reduction in FOLFOX administration</w:t>
      </w:r>
    </w:p>
    <w:p w14:paraId="251B8CF1" w14:textId="32BD5F78" w:rsidR="00D02872" w:rsidRDefault="00D02872" w:rsidP="00353AB8">
      <w:pPr>
        <w:pStyle w:val="TableFooter"/>
        <w:keepNext/>
        <w:keepLines/>
      </w:pPr>
      <w:r>
        <w:rPr>
          <w:vertAlign w:val="superscript"/>
        </w:rPr>
        <w:t xml:space="preserve">i </w:t>
      </w:r>
      <w:r w:rsidR="00372039" w:rsidRPr="00106212">
        <w:rPr>
          <w:i/>
          <w:iCs/>
        </w:rPr>
        <w:t>FGFR2</w:t>
      </w:r>
      <w:r w:rsidR="00372039">
        <w:t xml:space="preserve"> test uptake in pancreatic cancer and cancer of unknown primary highly uncertain. Sensitivity analysis tested with assumption of 100% test uptake (upper limit) and 25% test uptake.</w:t>
      </w:r>
      <w:r w:rsidR="008D140F">
        <w:t xml:space="preserve"> Test cost was assumed to be $</w:t>
      </w:r>
      <w:r w:rsidR="00C30B2B">
        <w:t>682.35</w:t>
      </w:r>
      <w:r w:rsidR="008D140F">
        <w:t>.</w:t>
      </w:r>
    </w:p>
    <w:p w14:paraId="48AF9F71" w14:textId="509E4BD9" w:rsidR="001258AB" w:rsidRDefault="001258AB" w:rsidP="00353AB8">
      <w:pPr>
        <w:pStyle w:val="TableFooter"/>
        <w:keepNext/>
        <w:keepLines/>
      </w:pPr>
      <w:r>
        <w:t xml:space="preserve">The </w:t>
      </w:r>
      <w:r w:rsidR="00970901">
        <w:t>redacted values correspond to the following ranges:</w:t>
      </w:r>
    </w:p>
    <w:p w14:paraId="4A6111D4" w14:textId="37EC1CBB" w:rsidR="00970901" w:rsidRDefault="00970901" w:rsidP="00353AB8">
      <w:pPr>
        <w:pStyle w:val="TableFooter"/>
        <w:keepNext/>
        <w:keepLines/>
      </w:pPr>
      <w:r>
        <w:rPr>
          <w:vertAlign w:val="superscript"/>
        </w:rPr>
        <w:t>1</w:t>
      </w:r>
      <w:r w:rsidR="00A14CB4">
        <w:rPr>
          <w:vertAlign w:val="superscript"/>
        </w:rPr>
        <w:t xml:space="preserve"> </w:t>
      </w:r>
      <w:r w:rsidR="00A14CB4">
        <w:t>500 to &lt; 5,000</w:t>
      </w:r>
    </w:p>
    <w:p w14:paraId="4C2914ED" w14:textId="77777777" w:rsidR="00563933" w:rsidRDefault="00782453" w:rsidP="00563933">
      <w:pPr>
        <w:pStyle w:val="TableFooter"/>
        <w:keepNext/>
        <w:keepLines/>
      </w:pPr>
      <w:r>
        <w:rPr>
          <w:vertAlign w:val="superscript"/>
        </w:rPr>
        <w:t>2</w:t>
      </w:r>
      <w:r>
        <w:t xml:space="preserve"> </w:t>
      </w:r>
      <w:r w:rsidR="00DB5543">
        <w:t>&lt;500</w:t>
      </w:r>
    </w:p>
    <w:p w14:paraId="1FFD333F" w14:textId="02A04D83" w:rsidR="00563933" w:rsidRDefault="00563933" w:rsidP="00563933">
      <w:pPr>
        <w:pStyle w:val="TableFooter"/>
        <w:keepNext/>
        <w:keepLines/>
      </w:pPr>
      <w:r>
        <w:rPr>
          <w:vertAlign w:val="superscript"/>
        </w:rPr>
        <w:t>3</w:t>
      </w:r>
      <w:r>
        <w:t xml:space="preserve"> $0 to &lt; $</w:t>
      </w:r>
      <w:r w:rsidR="00DF7F4B">
        <w:t>1</w:t>
      </w:r>
      <w:r>
        <w:t>0 million</w:t>
      </w:r>
    </w:p>
    <w:p w14:paraId="36C0D3D9" w14:textId="661972FD" w:rsidR="00552173" w:rsidRPr="00782453" w:rsidRDefault="00563933" w:rsidP="00353AB8">
      <w:pPr>
        <w:pStyle w:val="TableFooter"/>
        <w:keepNext/>
        <w:keepLines/>
      </w:pPr>
      <w:r>
        <w:rPr>
          <w:vertAlign w:val="superscript"/>
        </w:rPr>
        <w:t xml:space="preserve">4 </w:t>
      </w:r>
      <w:r w:rsidR="0052720E">
        <w:t>net cost saving</w:t>
      </w:r>
    </w:p>
    <w:p w14:paraId="4507F292" w14:textId="6CE40CA4" w:rsidR="007A17BE" w:rsidRPr="007727F0" w:rsidRDefault="003B5C85" w:rsidP="007727F0">
      <w:pPr>
        <w:pStyle w:val="InstructionalText"/>
        <w:spacing w:before="240"/>
        <w:jc w:val="left"/>
        <w:rPr>
          <w:rFonts w:ascii="Franklin Gothic Book" w:hAnsi="Franklin Gothic Book"/>
          <w:color w:val="auto"/>
          <w:sz w:val="22"/>
        </w:rPr>
      </w:pPr>
      <w:r w:rsidRPr="007727F0">
        <w:rPr>
          <w:rFonts w:ascii="Franklin Gothic Book" w:hAnsi="Franklin Gothic Book"/>
          <w:color w:val="auto"/>
          <w:sz w:val="22"/>
        </w:rPr>
        <w:t xml:space="preserve">The </w:t>
      </w:r>
      <w:r w:rsidR="00522BF3" w:rsidRPr="007727F0">
        <w:rPr>
          <w:rFonts w:ascii="Franklin Gothic Book" w:hAnsi="Franklin Gothic Book"/>
          <w:color w:val="auto"/>
          <w:sz w:val="22"/>
        </w:rPr>
        <w:t>commentary</w:t>
      </w:r>
      <w:r w:rsidR="007A17BE" w:rsidRPr="007727F0">
        <w:rPr>
          <w:rFonts w:ascii="Franklin Gothic Book" w:hAnsi="Franklin Gothic Book"/>
          <w:color w:val="auto"/>
          <w:sz w:val="22"/>
        </w:rPr>
        <w:t xml:space="preserve"> noted that the 1750 ivosidenib codependent submission considered by the MSAC and PBAC at the July 2024 meetings used an alternative approach to estimating patient numbers, which included patients with biliary tract CCA. The financial estimates using patient numbers from the 1750 ivosidenib codependent submission is presented in the committee in confidence section of the commentary. </w:t>
      </w:r>
    </w:p>
    <w:p w14:paraId="78F098FD" w14:textId="3368F362" w:rsidR="00EE5014" w:rsidRPr="007727F0" w:rsidRDefault="00EE5014" w:rsidP="007727F0">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69" w:name="_Toc187865651"/>
      <w:r w:rsidRPr="007727F0">
        <w:rPr>
          <w:rFonts w:ascii="Franklin Gothic Medium" w:hAnsi="Franklin Gothic Medium"/>
          <w:b w:val="0"/>
          <w:i w:val="0"/>
          <w:snapToGrid/>
          <w:color w:val="000000" w:themeColor="text1"/>
          <w:sz w:val="32"/>
          <w:szCs w:val="26"/>
        </w:rPr>
        <w:t xml:space="preserve">Other </w:t>
      </w:r>
      <w:bookmarkEnd w:id="69"/>
      <w:r w:rsidR="007727F0">
        <w:rPr>
          <w:rFonts w:ascii="Franklin Gothic Medium" w:hAnsi="Franklin Gothic Medium"/>
          <w:b w:val="0"/>
          <w:i w:val="0"/>
          <w:snapToGrid/>
          <w:color w:val="000000" w:themeColor="text1"/>
          <w:sz w:val="32"/>
          <w:szCs w:val="26"/>
        </w:rPr>
        <w:t>relevant information</w:t>
      </w:r>
    </w:p>
    <w:p w14:paraId="412A28A2" w14:textId="1752C17F" w:rsidR="00EE5014" w:rsidRPr="007727F0" w:rsidRDefault="00706A6F" w:rsidP="007727F0">
      <w:pPr>
        <w:pStyle w:val="MSACESParagraph"/>
        <w:rPr>
          <w:rFonts w:ascii="Franklin Gothic Book" w:hAnsi="Franklin Gothic Book" w:cstheme="minorHAnsi"/>
          <w:sz w:val="22"/>
        </w:rPr>
      </w:pPr>
      <w:r w:rsidRPr="007727F0">
        <w:rPr>
          <w:rFonts w:ascii="Franklin Gothic Book" w:hAnsi="Franklin Gothic Book" w:cstheme="minorHAnsi"/>
          <w:sz w:val="22"/>
        </w:rPr>
        <w:t>Nil.</w:t>
      </w:r>
    </w:p>
    <w:p w14:paraId="57234173" w14:textId="0ECB0CFA" w:rsidR="0079515E" w:rsidRDefault="0079515E" w:rsidP="007727F0">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7727F0">
        <w:rPr>
          <w:rFonts w:ascii="Franklin Gothic Medium" w:hAnsi="Franklin Gothic Medium"/>
          <w:b w:val="0"/>
          <w:i w:val="0"/>
          <w:snapToGrid/>
          <w:color w:val="000000" w:themeColor="text1"/>
          <w:sz w:val="32"/>
          <w:szCs w:val="26"/>
        </w:rPr>
        <w:t>Committee-In-Confidence information</w:t>
      </w:r>
    </w:p>
    <w:p w14:paraId="79A08B37" w14:textId="5502B3F4" w:rsidR="006C34F2" w:rsidRPr="003C266F" w:rsidRDefault="00C71112" w:rsidP="003C266F">
      <w:pPr>
        <w:rPr>
          <w:rFonts w:ascii="Franklin Gothic Book" w:hAnsi="Franklin Gothic Book"/>
          <w:sz w:val="22"/>
        </w:rPr>
      </w:pPr>
      <w:r w:rsidRPr="00C71112">
        <w:rPr>
          <w:rFonts w:ascii="Franklin Gothic Book" w:hAnsi="Franklin Gothic Book"/>
          <w:sz w:val="22"/>
        </w:rPr>
        <w:t>Redacted.</w:t>
      </w:r>
    </w:p>
    <w:p w14:paraId="354515EC" w14:textId="77777777" w:rsidR="007727F0" w:rsidRPr="003A793E" w:rsidRDefault="007727F0" w:rsidP="007727F0">
      <w:pPr>
        <w:pStyle w:val="Heading2"/>
        <w:numPr>
          <w:ilvl w:val="0"/>
          <w:numId w:val="38"/>
        </w:numPr>
        <w:spacing w:after="240"/>
        <w:ind w:hanging="720"/>
        <w:rPr>
          <w:rFonts w:ascii="Franklin Gothic Medium" w:hAnsi="Franklin Gothic Medium"/>
          <w:b w:val="0"/>
          <w:i w:val="0"/>
          <w:snapToGrid/>
          <w:color w:val="000000" w:themeColor="text1"/>
          <w:sz w:val="32"/>
          <w:szCs w:val="26"/>
        </w:rPr>
      </w:pPr>
      <w:bookmarkStart w:id="70" w:name="_Toc145678765"/>
      <w:bookmarkStart w:id="71" w:name="_Toc150172410"/>
      <w:bookmarkStart w:id="72" w:name="_Toc153462785"/>
      <w:r w:rsidRPr="003A793E">
        <w:rPr>
          <w:rFonts w:ascii="Franklin Gothic Medium" w:hAnsi="Franklin Gothic Medium"/>
          <w:b w:val="0"/>
          <w:i w:val="0"/>
          <w:snapToGrid/>
          <w:color w:val="000000" w:themeColor="text1"/>
          <w:sz w:val="32"/>
          <w:szCs w:val="26"/>
        </w:rPr>
        <w:lastRenderedPageBreak/>
        <w:t>Key issues from ESC to MSAC</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94473E" w:rsidRPr="00B27879" w14:paraId="568ACBAD"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1141304F" w14:textId="77777777" w:rsidR="007727F0" w:rsidRPr="007727F0" w:rsidRDefault="007727F0" w:rsidP="007727F0">
            <w:pPr>
              <w:keepNext/>
              <w:keepLines/>
              <w:rPr>
                <w:rFonts w:ascii="Franklin Gothic Book" w:hAnsi="Franklin Gothic Book" w:cstheme="minorHAnsi"/>
                <w:b w:val="0"/>
                <w:szCs w:val="24"/>
                <w:lang w:val="en-AU"/>
              </w:rPr>
            </w:pPr>
            <w:bookmarkStart w:id="73" w:name="_Toc22897637"/>
            <w:bookmarkStart w:id="74" w:name="_Toc22898843"/>
            <w:bookmarkEnd w:id="70"/>
            <w:bookmarkEnd w:id="71"/>
            <w:bookmarkEnd w:id="72"/>
            <w:r w:rsidRPr="007727F0">
              <w:rPr>
                <w:rFonts w:ascii="Franklin Gothic Book" w:hAnsi="Franklin Gothic Book"/>
              </w:rPr>
              <w:t>Main issues for MSAC consideration</w:t>
            </w:r>
            <w:bookmarkEnd w:id="73"/>
            <w:bookmarkEnd w:id="74"/>
            <w:r w:rsidRPr="007727F0">
              <w:rPr>
                <w:rFonts w:ascii="Franklin Gothic Book" w:hAnsi="Franklin Gothic Book" w:cstheme="minorHAnsi"/>
                <w:szCs w:val="24"/>
                <w:lang w:val="en-AU"/>
              </w:rPr>
              <w:t xml:space="preserve"> </w:t>
            </w:r>
          </w:p>
          <w:p w14:paraId="678A5D80" w14:textId="2B4500EC" w:rsidR="0094473E" w:rsidRPr="007727F0" w:rsidRDefault="0094473E" w:rsidP="007727F0">
            <w:pPr>
              <w:keepNext/>
              <w:keepLines/>
              <w:rPr>
                <w:rFonts w:ascii="Franklin Gothic Book" w:hAnsi="Franklin Gothic Book"/>
                <w:szCs w:val="24"/>
                <w:lang w:val="en-AU"/>
              </w:rPr>
            </w:pPr>
            <w:r w:rsidRPr="007727F0">
              <w:rPr>
                <w:rFonts w:ascii="Franklin Gothic Book" w:hAnsi="Franklin Gothic Book" w:cstheme="minorHAnsi"/>
                <w:szCs w:val="24"/>
                <w:lang w:val="en-AU"/>
              </w:rPr>
              <w:t>Clinical issues</w:t>
            </w:r>
          </w:p>
          <w:p w14:paraId="4231F741" w14:textId="77777777" w:rsidR="0094473E" w:rsidRPr="00BB2C98" w:rsidRDefault="0094473E" w:rsidP="007727F0">
            <w:pPr>
              <w:pStyle w:val="InstructionBulletpoint"/>
              <w:keepNext/>
              <w:keepLines/>
              <w:numPr>
                <w:ilvl w:val="0"/>
                <w:numId w:val="31"/>
              </w:numPr>
              <w:rPr>
                <w:rFonts w:ascii="Franklin Gothic Book" w:hAnsi="Franklin Gothic Book"/>
                <w:b w:val="0"/>
                <w:bCs/>
                <w:color w:val="auto"/>
                <w:sz w:val="22"/>
                <w:lang w:val="en-AU"/>
              </w:rPr>
            </w:pPr>
            <w:r w:rsidRPr="00BB2C98">
              <w:rPr>
                <w:rFonts w:ascii="Franklin Gothic Book" w:hAnsi="Franklin Gothic Book"/>
                <w:b w:val="0"/>
                <w:bCs/>
                <w:color w:val="auto"/>
                <w:sz w:val="22"/>
                <w:lang w:val="en-AU"/>
              </w:rPr>
              <w:t>Silverman 2022 reported a positive percentage agreement (PPA) of 87.1% between next generation sequencing (NGS) on DNA and NGS on RNA, with NGS on RNA being more likely to classify patients as being FGFR2 fusion positive, which may suggest that although there is high concordance between the two methodologies, NGS on RNA may not necessarily select the same patients as NGS on DNA (the clinical utility standard). Combination testing of NGS on DNA and RNA would be the most accurate method to ensure that FGFR2 fusions and rearrangements are detected, with NGS on RNA the next preferred method if combination testing is not available. Concordance of fluorescence in situ hybridisation (FISH) testing is less robust and use of FISH testing for the purpose of detecting FGFR2 fusions and rearrangements is likely not appropriate.</w:t>
            </w:r>
          </w:p>
          <w:p w14:paraId="11E746D7" w14:textId="77777777" w:rsidR="0094473E" w:rsidRPr="00BB2C98" w:rsidRDefault="0094473E" w:rsidP="007727F0">
            <w:pPr>
              <w:pStyle w:val="InstructionBulletpoint"/>
              <w:keepNext/>
              <w:keepLines/>
              <w:numPr>
                <w:ilvl w:val="0"/>
                <w:numId w:val="31"/>
              </w:numPr>
              <w:rPr>
                <w:rFonts w:ascii="Franklin Gothic Book" w:hAnsi="Franklin Gothic Book"/>
                <w:b w:val="0"/>
                <w:bCs/>
                <w:color w:val="auto"/>
                <w:sz w:val="22"/>
                <w:lang w:val="en-AU"/>
              </w:rPr>
            </w:pPr>
            <w:r w:rsidRPr="00BB2C98">
              <w:rPr>
                <w:rFonts w:ascii="Franklin Gothic Book" w:hAnsi="Franklin Gothic Book"/>
                <w:b w:val="0"/>
                <w:bCs/>
                <w:color w:val="auto"/>
                <w:sz w:val="22"/>
                <w:lang w:val="en-AU"/>
              </w:rPr>
              <w:t>Although the MBS items proposed in the current submission only included FGFR2 testing, in contemporary clinical practice genetic testing of CCA is performed using a gene panel. For example it would be clinically appropriate to undertake FGFR2 fusion testing in the same population as IDH1 mutation testing (if it is supported by MSAC), and both tests would likely be undertaken in parallel.</w:t>
            </w:r>
          </w:p>
          <w:p w14:paraId="709571DB" w14:textId="77777777" w:rsidR="0094473E" w:rsidRPr="00BB2C98" w:rsidRDefault="0094473E" w:rsidP="007727F0">
            <w:pPr>
              <w:pStyle w:val="InstructionBulletpoint"/>
              <w:keepNext/>
              <w:keepLines/>
              <w:numPr>
                <w:ilvl w:val="0"/>
                <w:numId w:val="31"/>
              </w:numPr>
              <w:rPr>
                <w:rFonts w:ascii="Franklin Gothic Book" w:hAnsi="Franklin Gothic Book"/>
                <w:b w:val="0"/>
                <w:bCs/>
                <w:color w:val="auto"/>
                <w:sz w:val="22"/>
                <w:lang w:val="en-AU"/>
              </w:rPr>
            </w:pPr>
            <w:r w:rsidRPr="00BB2C98">
              <w:rPr>
                <w:rFonts w:ascii="Franklin Gothic Book" w:hAnsi="Franklin Gothic Book"/>
                <w:b w:val="0"/>
                <w:bCs/>
                <w:color w:val="auto"/>
                <w:sz w:val="22"/>
                <w:lang w:val="en-AU"/>
              </w:rPr>
              <w:t xml:space="preserve">Testing is likely to be needed in patients presenting with CCA (regardless of the stage of disease, as opposed to only testing patients with locally advanced or metastatic disease as proposed in the submission), but </w:t>
            </w:r>
            <w:r w:rsidRPr="00BB2C98">
              <w:rPr>
                <w:rFonts w:ascii="Franklin Gothic Book" w:hAnsi="Franklin Gothic Book"/>
                <w:b w:val="0"/>
                <w:color w:val="auto"/>
                <w:sz w:val="22"/>
                <w:lang w:val="en-AU"/>
              </w:rPr>
              <w:t xml:space="preserve">this will capture </w:t>
            </w:r>
            <w:r w:rsidRPr="00BB2C98">
              <w:rPr>
                <w:rFonts w:ascii="Franklin Gothic Book" w:hAnsi="Franklin Gothic Book"/>
                <w:b w:val="0"/>
                <w:bCs/>
                <w:color w:val="auto"/>
                <w:sz w:val="22"/>
                <w:lang w:val="en-AU"/>
              </w:rPr>
              <w:t>a proportion of pancreatic cancer and cancer of unknown primary. The overall diagnostic yield of the test including testing these non-CCA cancer types is uncertain.</w:t>
            </w:r>
          </w:p>
          <w:p w14:paraId="303DD0E7" w14:textId="77777777" w:rsidR="0094473E" w:rsidRPr="007727F0" w:rsidRDefault="0094473E" w:rsidP="007727F0">
            <w:pPr>
              <w:keepNext/>
              <w:keepLines/>
              <w:rPr>
                <w:rFonts w:ascii="Franklin Gothic Book" w:hAnsi="Franklin Gothic Book" w:cstheme="minorHAnsi"/>
                <w:b w:val="0"/>
                <w:i/>
                <w:szCs w:val="24"/>
                <w:lang w:val="en-AU"/>
              </w:rPr>
            </w:pPr>
            <w:r w:rsidRPr="007727F0">
              <w:rPr>
                <w:rFonts w:ascii="Franklin Gothic Book" w:hAnsi="Franklin Gothic Book" w:cstheme="minorHAnsi"/>
                <w:i/>
                <w:szCs w:val="24"/>
                <w:lang w:val="en-AU"/>
              </w:rPr>
              <w:t>Financial issues</w:t>
            </w:r>
          </w:p>
          <w:p w14:paraId="4E83E896" w14:textId="77777777" w:rsidR="0094473E" w:rsidRPr="00BB2C98" w:rsidRDefault="0094473E" w:rsidP="007727F0">
            <w:pPr>
              <w:pStyle w:val="InstructionBulletpoint"/>
              <w:keepNext/>
              <w:keepLines/>
              <w:numPr>
                <w:ilvl w:val="0"/>
                <w:numId w:val="33"/>
              </w:numPr>
              <w:rPr>
                <w:rFonts w:ascii="Franklin Gothic Book" w:hAnsi="Franklin Gothic Book"/>
                <w:b w:val="0"/>
                <w:iCs/>
                <w:color w:val="auto"/>
                <w:sz w:val="22"/>
                <w:lang w:val="en-AU"/>
              </w:rPr>
            </w:pPr>
            <w:r w:rsidRPr="00BB2C98">
              <w:rPr>
                <w:rFonts w:ascii="Franklin Gothic Book" w:hAnsi="Franklin Gothic Book"/>
                <w:b w:val="0"/>
                <w:iCs/>
                <w:color w:val="auto"/>
                <w:sz w:val="22"/>
                <w:lang w:val="en-AU"/>
              </w:rPr>
              <w:t>FGFR2 testing costs were applied only to patients who progressed from first line durvalumab. This was a narrower population than both the proposed testing population of adult patients with locally advanced or metastatic CCA (i.e. inclusive of patients prior to first line treatment)</w:t>
            </w:r>
            <w:r w:rsidRPr="00BB2C98" w:rsidDel="007E504D">
              <w:rPr>
                <w:rFonts w:ascii="Franklin Gothic Book" w:hAnsi="Franklin Gothic Book"/>
                <w:b w:val="0"/>
                <w:iCs/>
                <w:color w:val="auto"/>
                <w:sz w:val="22"/>
                <w:lang w:val="en-AU"/>
              </w:rPr>
              <w:t xml:space="preserve"> </w:t>
            </w:r>
            <w:r w:rsidRPr="00BB2C98">
              <w:rPr>
                <w:rFonts w:ascii="Franklin Gothic Book" w:hAnsi="Franklin Gothic Book"/>
                <w:b w:val="0"/>
                <w:iCs/>
                <w:color w:val="auto"/>
                <w:sz w:val="22"/>
                <w:lang w:val="en-AU"/>
              </w:rPr>
              <w:t xml:space="preserve">and the testing population of adult patients with CCA as proposed by the PASC, and may underestimate the cost of FGFR2 testing. </w:t>
            </w:r>
          </w:p>
          <w:p w14:paraId="357EA4F3" w14:textId="77777777" w:rsidR="0094473E" w:rsidRPr="00B27879" w:rsidRDefault="0094473E" w:rsidP="007727F0">
            <w:pPr>
              <w:pStyle w:val="InstructionBulletpoint"/>
              <w:keepNext/>
              <w:keepLines/>
              <w:numPr>
                <w:ilvl w:val="0"/>
                <w:numId w:val="33"/>
              </w:numPr>
              <w:ind w:left="714" w:hanging="357"/>
              <w:rPr>
                <w:b w:val="0"/>
                <w:i/>
                <w:color w:val="auto"/>
                <w:lang w:val="en-AU"/>
              </w:rPr>
            </w:pPr>
            <w:r w:rsidRPr="00BB2C98">
              <w:rPr>
                <w:rFonts w:ascii="Franklin Gothic Book" w:hAnsi="Franklin Gothic Book"/>
                <w:b w:val="0"/>
                <w:iCs/>
                <w:color w:val="auto"/>
                <w:sz w:val="22"/>
                <w:lang w:val="en-AU"/>
              </w:rPr>
              <w:t>If FGFR2 testing occurs at cancer diagnosis, this may contribute to a higher than expected use of FGFR2 testing if difficult to diagnose adenocarcinomas which occur at the same site as CCA (such as some pancreatic cancers and cancers of unknown primary) are presumptively diagnosed as CCA. The increased testing would lead to an increased financial impact.</w:t>
            </w:r>
            <w:r>
              <w:rPr>
                <w:b w:val="0"/>
                <w:i/>
                <w:color w:val="auto"/>
                <w:lang w:val="en-AU"/>
              </w:rPr>
              <w:t xml:space="preserve"> </w:t>
            </w:r>
          </w:p>
        </w:tc>
      </w:tr>
    </w:tbl>
    <w:p w14:paraId="1D1FB895" w14:textId="77777777" w:rsidR="0094473E" w:rsidRPr="00C21D17" w:rsidRDefault="0094473E" w:rsidP="00C21D17">
      <w:pPr>
        <w:pStyle w:val="2-SectionHeading"/>
        <w:rPr>
          <w:rFonts w:ascii="Franklin Gothic Book" w:hAnsi="Franklin Gothic Book"/>
          <w:sz w:val="24"/>
          <w:szCs w:val="24"/>
        </w:rPr>
      </w:pPr>
      <w:r w:rsidRPr="00C21D17">
        <w:rPr>
          <w:rFonts w:ascii="Franklin Gothic Book" w:hAnsi="Franklin Gothic Book"/>
          <w:sz w:val="24"/>
          <w:szCs w:val="24"/>
        </w:rPr>
        <w:t>ESCs discussion</w:t>
      </w:r>
    </w:p>
    <w:p w14:paraId="64F8E286"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noted that the integrated codependent submission sought Medicare Benefits Schedule (MBS) listing for the testing of tumour tissue to detect </w:t>
      </w:r>
      <w:r w:rsidRPr="00C21D17">
        <w:rPr>
          <w:rFonts w:ascii="Franklin Gothic Book" w:hAnsi="Franklin Gothic Book"/>
          <w:i/>
          <w:iCs/>
          <w:sz w:val="22"/>
          <w:szCs w:val="22"/>
        </w:rPr>
        <w:t>fibroblast growth factor receptor 2</w:t>
      </w:r>
      <w:r w:rsidRPr="00C21D17">
        <w:rPr>
          <w:rFonts w:ascii="Franklin Gothic Book" w:hAnsi="Franklin Gothic Book"/>
          <w:sz w:val="22"/>
          <w:szCs w:val="22"/>
        </w:rPr>
        <w:t xml:space="preserve">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or rearrangements in people with cholangiocarcinoma (CCA), to determine eligibility for treatment with Pharmaceutical Benefits Scheme (PBS) subsidised futibatinib. The ESCs considered that the current application had similarity to MSAC application 1750 - Testing of tumour tissue to detect </w:t>
      </w:r>
      <w:r w:rsidRPr="00C21D17">
        <w:rPr>
          <w:rFonts w:ascii="Franklin Gothic Book" w:hAnsi="Franklin Gothic Book"/>
          <w:i/>
          <w:iCs/>
          <w:sz w:val="22"/>
          <w:szCs w:val="22"/>
        </w:rPr>
        <w:t>IDH1</w:t>
      </w:r>
      <w:r w:rsidRPr="00C21D17">
        <w:rPr>
          <w:rFonts w:ascii="Franklin Gothic Book" w:hAnsi="Franklin Gothic Book"/>
          <w:sz w:val="22"/>
          <w:szCs w:val="22"/>
        </w:rPr>
        <w:t xml:space="preserve"> mutations in patients with CCA to determine eligibility for ivosidenib on the PBS (considered by MSAC in November 2024, outcome not yet published), in that it also requested public funding for testing in patients with CCA to gain access to a PBS subsidised treatment.</w:t>
      </w:r>
    </w:p>
    <w:p w14:paraId="3B1729F0" w14:textId="77777777" w:rsidR="0094473E" w:rsidRPr="00C21D17" w:rsidRDefault="274DA24F" w:rsidP="00C21D17">
      <w:pPr>
        <w:pStyle w:val="3-BodyText"/>
        <w:ind w:left="0" w:firstLine="0"/>
        <w:jc w:val="left"/>
        <w:rPr>
          <w:rFonts w:ascii="Franklin Gothic Book" w:hAnsi="Franklin Gothic Book"/>
          <w:sz w:val="22"/>
          <w:szCs w:val="22"/>
        </w:rPr>
      </w:pPr>
      <w:r w:rsidRPr="61F80D20">
        <w:rPr>
          <w:rFonts w:ascii="Franklin Gothic Book" w:hAnsi="Franklin Gothic Book"/>
          <w:sz w:val="22"/>
          <w:szCs w:val="22"/>
        </w:rPr>
        <w:t xml:space="preserve">The ESCs noted that CCA is typically a diagnosis of exclusion, whereby a reasonable amount of clinical work-up is performed on adenocarcinomas of the biliary tree to exclude the possibility that it may be metastasised from a different primary site. CCA can be categorised into two </w:t>
      </w:r>
      <w:r w:rsidRPr="61F80D20">
        <w:rPr>
          <w:rFonts w:ascii="Franklin Gothic Book" w:hAnsi="Franklin Gothic Book"/>
          <w:sz w:val="22"/>
          <w:szCs w:val="22"/>
        </w:rPr>
        <w:lastRenderedPageBreak/>
        <w:t xml:space="preserve">differing types, intrahepatic (iCCA, ~20% of the CCA population) and extrahepatic (eCCA, ~80% of the CCA population). The ESCs noted that </w:t>
      </w:r>
      <w:r w:rsidRPr="61F80D20">
        <w:rPr>
          <w:rFonts w:ascii="Franklin Gothic Book" w:hAnsi="Franklin Gothic Book"/>
          <w:i/>
          <w:iCs/>
          <w:sz w:val="22"/>
          <w:szCs w:val="22"/>
        </w:rPr>
        <w:t>FGFR2</w:t>
      </w:r>
      <w:r w:rsidRPr="61F80D20">
        <w:rPr>
          <w:rFonts w:ascii="Franklin Gothic Book" w:hAnsi="Franklin Gothic Book"/>
          <w:sz w:val="22"/>
          <w:szCs w:val="22"/>
        </w:rPr>
        <w:t xml:space="preserve"> fusions or rearrangements are most common in patients with iCCA (~20%) and are only present in a smaller percentage of patients with eCCA (~1%). The ESCs noted that the European Medicines Agency has granted conditional marketing authorisation to futibatinib for the whole CCA population, while the US Food and Drug Administration has granted conditional marketing approval only for the iCCA population. The ESCs noted that futibatinib is currently under evaluation by the Therapeutic Goods Administration. </w:t>
      </w:r>
    </w:p>
    <w:p w14:paraId="02B0AE50"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The ESCs noted that no consultation input was received through the pre-MSAC consultation process for the testing component of the current application as of the date of the ESCs consideration.</w:t>
      </w:r>
    </w:p>
    <w:p w14:paraId="4F1BE989"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noted from the submission that access to futibatinib, is proposed only for patients at the locally advanced or metastatic stage, however, for the reasons outlined below, the ESCs agreed with PASC advice that testing should occur in the whole CCA patient population at diagnosis. The ESCs noted PASC advice that CCA was a rapidly progressive disease, and test results for a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 may take up to 2-8 weeks to become available, and therefore testing at diagnosis will prevent any delays in treatment decisions. Furthermore, the ESCs considered that even when the CCA is surgically resected, only a small proportion of surgeries will be curative, while the majority (more than 80%) of the cases will progress rapidly to cancer recurrence. The ESCs considered that retrieving archived material or later re-biopsy once reoccurrence is confirmed will result in delays and higher costs than testing at diagnosis. While the key FOENIX-CCA2 trial only included patients with iCCA, the ESCs considered that patients with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or rearrangements in eCCA may plausibly benefit from treatment with futibatinib as it would likely inhibit the oncogenic FGFR signalling in eCCA via the same mechanism of action as in iCCA. Taking all these factors into consideration, the ESCs considered that testing should be performed in the whole CCA population at diagnosis.</w:t>
      </w:r>
    </w:p>
    <w:p w14:paraId="7CDB08A1"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advised that it is difficult to diagnose adenocarcinomas which occur at the same site as CCA, such as some pancreatic cancers and cancers of unknown primary. The ESCs considered this diagnostic uncertainty could contribute to higher than expected use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testing if these tumours are presumptively diagnosed as CCA. Given that the majority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and rearrangements are observed in patients with iCCA, the ESCs considered that testing in tumours other than iCCA may lead to a considerable number of futile tests and uncertain diagnostic yield. However, given that only patients with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variants can access the drug, and because the majority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variants are found in iCCA, the ESCs considered that it was unlikely the projected utilisation of the drug would increase significantly despite the increased utilisation of the test, as negative tests would not result in increased PBS costs. </w:t>
      </w:r>
    </w:p>
    <w:p w14:paraId="79E713DA"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considered that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testing can be undertaken using cytology samples which were used for CCA diagnosis, however, considered that there may be a preference to perform core or repeat biopsies solely to obtain material for molecular testing. Therefore, the ESCs considered that the availability of the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 may lead to increases in procedures such as repeated biopsy, but considered that such procedures will likely only be performed in a minority of patients. </w:t>
      </w:r>
    </w:p>
    <w:p w14:paraId="30F18CB4"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noted PASC advice that all methods of testing for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status, including next generation sequencing (NGS) on DNA and RNA, and fluorescence in situ hybridisation (FISH), should be evaluated to demonstrate comparative performance. The ESCs noted the submission proposed two item descriptors, one which was test agnostic and another which was for NGS using RNA only to detect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variants. The ESCs considered that there was high concordance between NGS on DNA and NGS on RNA, but noted concerns raised in the commentary that NGS on RNA may not necessarily select the same patients as NGS on DNA (the clinical utility standard). However, the ESCs considered that NGS on RNA to be more sensitive in detecting fusion/rearrangement events compared to NGS on DNA. The ESCs considered NGS on RNA would be more likely to identify a fusion or rearrangement with a new partner gene. It was also noted that concordance of FISH testing was less robust and the ESCs considered that use of </w:t>
      </w:r>
      <w:r w:rsidRPr="00C21D17">
        <w:rPr>
          <w:rFonts w:ascii="Franklin Gothic Book" w:hAnsi="Franklin Gothic Book"/>
          <w:sz w:val="22"/>
          <w:szCs w:val="22"/>
        </w:rPr>
        <w:lastRenderedPageBreak/>
        <w:t xml:space="preserve">FISH testing for the purpose of detecting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and rearrangements should be discouraged. The ESCs considered that the MBS item descriptor could include wording such as ‘molecular testing’ or ‘amplification testing’ so that it excludes FISH testing, but that the wording is broad enough to capture appropriate testing methodologies (NGS on DNA, NGS on RNA). The ESCs considered that combination testing of NGS on DNA and RNA would be the most accurate method to ensure that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and rearrangements are detected, with NGS on RNA the next preferred method if combination testing is not available. </w:t>
      </w:r>
    </w:p>
    <w:p w14:paraId="3DAFAEA1"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considered that testing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using a gene panel with other appropriate biomarkers/key driver events (including </w:t>
      </w:r>
      <w:r w:rsidRPr="00C21D17">
        <w:rPr>
          <w:rFonts w:ascii="Franklin Gothic Book" w:hAnsi="Franklin Gothic Book"/>
          <w:i/>
          <w:iCs/>
          <w:sz w:val="22"/>
          <w:szCs w:val="22"/>
        </w:rPr>
        <w:t>IDH1</w:t>
      </w:r>
      <w:r w:rsidRPr="00C21D17">
        <w:rPr>
          <w:rFonts w:ascii="Franklin Gothic Book" w:hAnsi="Franklin Gothic Book"/>
          <w:sz w:val="22"/>
          <w:szCs w:val="22"/>
        </w:rPr>
        <w:t xml:space="preserve"> if MSAC application 1750 is supported) is preferred over a single gene test. The ESCs considered it more efficient to test all the key driver events at the same time, as these are considered to be mutually exclusive (for example, knowing a patient has a </w:t>
      </w:r>
      <w:r w:rsidRPr="00C21D17">
        <w:rPr>
          <w:rFonts w:ascii="Franklin Gothic Book" w:hAnsi="Franklin Gothic Book"/>
          <w:i/>
          <w:iCs/>
          <w:sz w:val="22"/>
          <w:szCs w:val="22"/>
        </w:rPr>
        <w:t>IDH1</w:t>
      </w:r>
      <w:r w:rsidRPr="00C21D17">
        <w:rPr>
          <w:rFonts w:ascii="Franklin Gothic Book" w:hAnsi="Franklin Gothic Book"/>
          <w:sz w:val="22"/>
          <w:szCs w:val="22"/>
        </w:rPr>
        <w:t xml:space="preserve"> variant will rule out the presence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and rearrangements).The ESCs noted that in practice testing will likely occur on the same panel platform used for lung cancer testing. These platforms are routinely used by laboratories and are already established in Australia for other panel tests, such as the MBS item for lung cancer testing (MBS 73437). The ESCs considered that a combined panel test may help ensure efficiency for laboratories conducting the test and add more prognostic value for the patient than a single test item. The ESCs considered that the MBS item fee should be aligned to other established MBS items for panel testing such as item 73437 for sequence and fusion testing in lung carcinoma (MBS fee $1,247.00). The ESCs considered that if an RNA testing panel alone is supported, a fee comparable to MBS item 73439 for fusion testing in lung cancer would be appropriate ($682.35).</w:t>
      </w:r>
    </w:p>
    <w:p w14:paraId="17CB3D25"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considered that a frequency restriction of once per lifetime to be appropriate as patients with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fusions or rearrangements would likely contain the variant from the first malignant cell and are unlikely to lose the variant with time, although may accumulate resistance mutations. The ESCs considered that the frequency restriction would only pose an issue in instances where there is a false negative result (which is not a common occurrence for NGS methods) or an inadequate test. The ESCs also considered that the item should be pathologist determinable as this would allow the effective use of the diagnostic tissue sample proceeding from histological confirmation.</w:t>
      </w:r>
    </w:p>
    <w:p w14:paraId="6AF56212" w14:textId="77777777" w:rsidR="0094473E" w:rsidRPr="00C21D17" w:rsidRDefault="0094473E" w:rsidP="00C21D17">
      <w:pPr>
        <w:pStyle w:val="3-BodyText"/>
        <w:spacing w:after="240"/>
        <w:ind w:left="0" w:firstLine="0"/>
        <w:jc w:val="left"/>
        <w:rPr>
          <w:rFonts w:ascii="Franklin Gothic Book" w:hAnsi="Franklin Gothic Book"/>
          <w:sz w:val="22"/>
          <w:szCs w:val="22"/>
        </w:rPr>
      </w:pPr>
      <w:r w:rsidRPr="00C21D17">
        <w:rPr>
          <w:rFonts w:ascii="Franklin Gothic Book" w:hAnsi="Franklin Gothic Book"/>
          <w:sz w:val="22"/>
          <w:szCs w:val="22"/>
        </w:rPr>
        <w:t xml:space="preserve">Based on the above considerations, the ESCs proposed the following MBS item descriptor if a single gene test for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is supported.</w:t>
      </w:r>
    </w:p>
    <w:tbl>
      <w:tblPr>
        <w:tblStyle w:val="ASDTable1"/>
        <w:tblW w:w="0" w:type="auto"/>
        <w:tblLook w:val="04A0" w:firstRow="1" w:lastRow="0" w:firstColumn="1" w:lastColumn="0" w:noHBand="0" w:noVBand="1"/>
      </w:tblPr>
      <w:tblGrid>
        <w:gridCol w:w="9016"/>
      </w:tblGrid>
      <w:tr w:rsidR="0094473E" w:rsidRPr="00C21D17" w14:paraId="4F986B60" w14:textId="77777777">
        <w:trPr>
          <w:trHeight w:val="247"/>
        </w:trPr>
        <w:tc>
          <w:tcPr>
            <w:tcW w:w="9016" w:type="dxa"/>
          </w:tcPr>
          <w:p w14:paraId="041C5FEB" w14:textId="77777777" w:rsidR="0094473E" w:rsidRPr="00C21D17" w:rsidRDefault="0094473E">
            <w:pPr>
              <w:pStyle w:val="3-BodyText"/>
              <w:ind w:left="0" w:firstLine="0"/>
              <w:rPr>
                <w:rFonts w:ascii="Arial Narrow" w:hAnsi="Arial Narrow" w:cstheme="minorHAnsi"/>
                <w:sz w:val="20"/>
                <w:szCs w:val="20"/>
              </w:rPr>
            </w:pPr>
            <w:r w:rsidRPr="00C21D17">
              <w:rPr>
                <w:rFonts w:ascii="Arial Narrow" w:hAnsi="Arial Narrow" w:cstheme="minorHAnsi"/>
                <w:sz w:val="20"/>
                <w:szCs w:val="20"/>
              </w:rPr>
              <w:t>Category 6 – Pathology Services</w:t>
            </w:r>
          </w:p>
        </w:tc>
      </w:tr>
      <w:tr w:rsidR="0094473E" w:rsidRPr="00C21D17" w14:paraId="14DC88AF" w14:textId="77777777">
        <w:trPr>
          <w:trHeight w:val="550"/>
        </w:trPr>
        <w:tc>
          <w:tcPr>
            <w:tcW w:w="9016" w:type="dxa"/>
          </w:tcPr>
          <w:p w14:paraId="255C13C6" w14:textId="6527680A" w:rsidR="0094473E" w:rsidRPr="00C21D17" w:rsidRDefault="00C21D17" w:rsidP="00C21D17">
            <w:pPr>
              <w:pStyle w:val="3-BodyText"/>
              <w:tabs>
                <w:tab w:val="left" w:pos="7251"/>
              </w:tabs>
              <w:ind w:left="0" w:firstLine="0"/>
              <w:jc w:val="left"/>
              <w:rPr>
                <w:rFonts w:ascii="Arial Narrow" w:hAnsi="Arial Narrow" w:cstheme="minorHAnsi"/>
                <w:sz w:val="20"/>
                <w:szCs w:val="20"/>
              </w:rPr>
            </w:pPr>
            <w:r w:rsidRPr="00C21D17">
              <w:rPr>
                <w:rFonts w:ascii="Arial Narrow" w:hAnsi="Arial Narrow" w:cstheme="minorHAnsi"/>
                <w:sz w:val="20"/>
                <w:szCs w:val="20"/>
              </w:rPr>
              <w:t xml:space="preserve">Proposed item descriptor XXXXX       </w:t>
            </w:r>
            <w:r>
              <w:rPr>
                <w:rFonts w:ascii="Arial Narrow" w:hAnsi="Arial Narrow" w:cstheme="minorHAnsi"/>
                <w:sz w:val="20"/>
                <w:szCs w:val="20"/>
              </w:rPr>
              <w:t xml:space="preserve">                                                             </w:t>
            </w:r>
            <w:r w:rsidR="0094473E" w:rsidRPr="00C21D17">
              <w:rPr>
                <w:rFonts w:ascii="Arial Narrow" w:hAnsi="Arial Narrow" w:cstheme="minorHAnsi"/>
                <w:sz w:val="20"/>
                <w:szCs w:val="20"/>
              </w:rPr>
              <w:t>Group P7 - Genetics</w:t>
            </w:r>
          </w:p>
          <w:p w14:paraId="586F5ADC" w14:textId="77777777" w:rsidR="0094473E" w:rsidRPr="00C21D17" w:rsidRDefault="0094473E">
            <w:pPr>
              <w:pStyle w:val="3-BodyText"/>
              <w:ind w:left="0" w:firstLine="0"/>
              <w:rPr>
                <w:rFonts w:ascii="Arial Narrow" w:hAnsi="Arial Narrow" w:cstheme="minorBidi"/>
                <w:sz w:val="20"/>
                <w:szCs w:val="20"/>
              </w:rPr>
            </w:pPr>
            <w:r w:rsidRPr="00C21D17">
              <w:rPr>
                <w:rFonts w:ascii="Arial Narrow" w:hAnsi="Arial Narrow" w:cstheme="minorBidi"/>
                <w:sz w:val="20"/>
                <w:szCs w:val="20"/>
              </w:rPr>
              <w:t>A nucleic acid-based test of tumour tissue for FGFR2 fusions or rearrangements in a patient with cholangiocarcinoma requested by, or on behalf of, a specialist or consultant physician to determine access to a relevant treatment under the Pharmaceutical Benefits Scheme (PBS)</w:t>
            </w:r>
          </w:p>
          <w:p w14:paraId="42FD9226" w14:textId="77777777" w:rsidR="0094473E" w:rsidRPr="00C21D17" w:rsidRDefault="0094473E">
            <w:pPr>
              <w:pStyle w:val="3-BodyText"/>
              <w:ind w:left="0" w:firstLine="0"/>
              <w:rPr>
                <w:rFonts w:ascii="Arial Narrow" w:hAnsi="Arial Narrow" w:cstheme="minorHAnsi"/>
                <w:sz w:val="20"/>
                <w:szCs w:val="20"/>
              </w:rPr>
            </w:pPr>
            <w:r w:rsidRPr="00C21D17">
              <w:rPr>
                <w:rFonts w:ascii="Arial Narrow" w:hAnsi="Arial Narrow" w:cstheme="minorHAnsi"/>
                <w:sz w:val="20"/>
                <w:szCs w:val="20"/>
              </w:rPr>
              <w:t>Applicable only once per lifetime.</w:t>
            </w:r>
          </w:p>
        </w:tc>
      </w:tr>
      <w:tr w:rsidR="0094473E" w:rsidRPr="00C21D17" w14:paraId="6B064D56" w14:textId="77777777" w:rsidTr="00C21D17">
        <w:trPr>
          <w:trHeight w:val="309"/>
        </w:trPr>
        <w:tc>
          <w:tcPr>
            <w:tcW w:w="9016" w:type="dxa"/>
          </w:tcPr>
          <w:p w14:paraId="6B7462FC" w14:textId="77777777" w:rsidR="0094473E" w:rsidRPr="00C21D17" w:rsidRDefault="0094473E" w:rsidP="00C21D17">
            <w:pPr>
              <w:pStyle w:val="3-BodyText"/>
              <w:spacing w:after="0"/>
              <w:ind w:left="0" w:firstLine="0"/>
              <w:rPr>
                <w:rFonts w:ascii="Arial Narrow" w:hAnsi="Arial Narrow" w:cstheme="minorBidi"/>
                <w:sz w:val="20"/>
                <w:szCs w:val="20"/>
              </w:rPr>
            </w:pPr>
            <w:r w:rsidRPr="00C21D17">
              <w:rPr>
                <w:rFonts w:ascii="Arial Narrow" w:hAnsi="Arial Narrow" w:cstheme="minorBidi"/>
                <w:sz w:val="20"/>
                <w:szCs w:val="20"/>
              </w:rPr>
              <w:t>Fee: $682.35 Benefit: 75% = $511.80 85% = $580.00</w:t>
            </w:r>
          </w:p>
        </w:tc>
      </w:tr>
    </w:tbl>
    <w:p w14:paraId="6D0E52A4" w14:textId="77777777" w:rsidR="0094473E" w:rsidRPr="00C21D17" w:rsidRDefault="0094473E" w:rsidP="00C21D17">
      <w:pPr>
        <w:pStyle w:val="3-BodyText"/>
        <w:spacing w:before="240" w:after="240"/>
        <w:ind w:left="0" w:firstLine="0"/>
        <w:jc w:val="left"/>
        <w:rPr>
          <w:rFonts w:ascii="Franklin Gothic Book" w:hAnsi="Franklin Gothic Book"/>
          <w:sz w:val="22"/>
          <w:szCs w:val="22"/>
        </w:rPr>
      </w:pPr>
      <w:r w:rsidRPr="00C21D17">
        <w:rPr>
          <w:rFonts w:ascii="Franklin Gothic Book" w:hAnsi="Franklin Gothic Book"/>
          <w:sz w:val="22"/>
          <w:szCs w:val="22"/>
        </w:rPr>
        <w:t>The ESCs proposed the following MBS item descriptor if panel testing is supported.</w:t>
      </w:r>
    </w:p>
    <w:tbl>
      <w:tblPr>
        <w:tblStyle w:val="ASDTable1"/>
        <w:tblW w:w="0" w:type="auto"/>
        <w:tblLook w:val="04A0" w:firstRow="1" w:lastRow="0" w:firstColumn="1" w:lastColumn="0" w:noHBand="0" w:noVBand="1"/>
      </w:tblPr>
      <w:tblGrid>
        <w:gridCol w:w="9016"/>
      </w:tblGrid>
      <w:tr w:rsidR="0094473E" w:rsidRPr="00C21D17" w14:paraId="19B41D36" w14:textId="77777777">
        <w:trPr>
          <w:trHeight w:val="247"/>
        </w:trPr>
        <w:tc>
          <w:tcPr>
            <w:tcW w:w="9016" w:type="dxa"/>
          </w:tcPr>
          <w:p w14:paraId="6AF02479" w14:textId="77777777" w:rsidR="0094473E" w:rsidRPr="00C21D17" w:rsidRDefault="0094473E" w:rsidP="00C21D17">
            <w:pPr>
              <w:pStyle w:val="3-BodyText"/>
              <w:keepNext/>
              <w:keepLines/>
              <w:ind w:left="0" w:firstLine="0"/>
              <w:rPr>
                <w:rFonts w:ascii="Arial Narrow" w:hAnsi="Arial Narrow" w:cstheme="minorHAnsi"/>
                <w:sz w:val="20"/>
                <w:szCs w:val="20"/>
              </w:rPr>
            </w:pPr>
            <w:r w:rsidRPr="00C21D17">
              <w:rPr>
                <w:rFonts w:ascii="Arial Narrow" w:hAnsi="Arial Narrow" w:cstheme="minorHAnsi"/>
                <w:sz w:val="20"/>
                <w:szCs w:val="20"/>
              </w:rPr>
              <w:lastRenderedPageBreak/>
              <w:t>Category 6 – Pathology Services</w:t>
            </w:r>
          </w:p>
        </w:tc>
      </w:tr>
      <w:tr w:rsidR="0094473E" w:rsidRPr="00C21D17" w14:paraId="0AB4D6B0" w14:textId="77777777" w:rsidTr="00C21D17">
        <w:trPr>
          <w:trHeight w:val="274"/>
        </w:trPr>
        <w:tc>
          <w:tcPr>
            <w:tcW w:w="9016" w:type="dxa"/>
          </w:tcPr>
          <w:p w14:paraId="2DD15FC8" w14:textId="77777777" w:rsidR="0094473E" w:rsidRPr="00C21D17" w:rsidRDefault="0094473E" w:rsidP="00C21D17">
            <w:pPr>
              <w:pStyle w:val="3-BodyText"/>
              <w:keepNext/>
              <w:keepLines/>
              <w:ind w:left="0" w:firstLine="0"/>
              <w:rPr>
                <w:rFonts w:ascii="Arial Narrow" w:hAnsi="Arial Narrow" w:cstheme="minorHAnsi"/>
                <w:sz w:val="20"/>
                <w:szCs w:val="20"/>
              </w:rPr>
            </w:pPr>
            <w:r w:rsidRPr="00C21D17">
              <w:rPr>
                <w:rFonts w:ascii="Arial Narrow" w:hAnsi="Arial Narrow" w:cstheme="minorHAnsi"/>
                <w:sz w:val="20"/>
                <w:szCs w:val="20"/>
              </w:rPr>
              <w:t>Proposed item descriptor XXXXX                                                                       Group P7 - Genetics</w:t>
            </w:r>
          </w:p>
          <w:p w14:paraId="54545A37" w14:textId="77777777" w:rsidR="0094473E" w:rsidRPr="00C21D17" w:rsidRDefault="0094473E" w:rsidP="00C21D17">
            <w:pPr>
              <w:pStyle w:val="3-BodyText"/>
              <w:keepNext/>
              <w:keepLines/>
              <w:ind w:left="0" w:firstLine="0"/>
              <w:rPr>
                <w:rFonts w:ascii="Arial Narrow" w:hAnsi="Arial Narrow" w:cstheme="minorBidi"/>
                <w:sz w:val="20"/>
                <w:szCs w:val="20"/>
              </w:rPr>
            </w:pPr>
            <w:r w:rsidRPr="00C21D17">
              <w:rPr>
                <w:rFonts w:ascii="Arial Narrow" w:hAnsi="Arial Narrow" w:cstheme="minorBidi"/>
                <w:sz w:val="20"/>
                <w:szCs w:val="20"/>
              </w:rPr>
              <w:t>A nucleic acid-based multi-gene panel test of tumour tissue from a patient with cholangiocarcinoma requested by, or on behalf of, a specialist or consultant physician, if the test is:</w:t>
            </w:r>
          </w:p>
          <w:p w14:paraId="4315D2A9" w14:textId="77777777" w:rsidR="0094473E" w:rsidRPr="00C21D17" w:rsidRDefault="0094473E" w:rsidP="00C21D17">
            <w:pPr>
              <w:pStyle w:val="3-BodyText"/>
              <w:keepNext/>
              <w:keepLines/>
              <w:numPr>
                <w:ilvl w:val="0"/>
                <w:numId w:val="36"/>
              </w:numPr>
              <w:spacing w:after="0"/>
              <w:ind w:left="714" w:hanging="357"/>
              <w:rPr>
                <w:rFonts w:ascii="Arial Narrow" w:hAnsi="Arial Narrow" w:cstheme="minorBidi"/>
                <w:sz w:val="20"/>
                <w:szCs w:val="20"/>
              </w:rPr>
            </w:pPr>
            <w:r w:rsidRPr="00C21D17">
              <w:rPr>
                <w:rFonts w:ascii="Arial Narrow" w:hAnsi="Arial Narrow" w:cstheme="minorBidi"/>
                <w:sz w:val="20"/>
                <w:szCs w:val="20"/>
              </w:rPr>
              <w:t>To detect at least IDH1 variant status</w:t>
            </w:r>
            <w:r w:rsidRPr="00C21D17">
              <w:rPr>
                <w:rFonts w:ascii="Arial Narrow" w:hAnsi="Arial Narrow" w:cstheme="minorBidi"/>
                <w:i/>
                <w:iCs/>
                <w:sz w:val="20"/>
                <w:szCs w:val="20"/>
                <w:vertAlign w:val="superscript"/>
              </w:rPr>
              <w:t>a</w:t>
            </w:r>
            <w:r w:rsidRPr="00C21D17">
              <w:rPr>
                <w:rFonts w:ascii="Arial Narrow" w:hAnsi="Arial Narrow" w:cstheme="minorBidi"/>
                <w:sz w:val="20"/>
                <w:szCs w:val="20"/>
              </w:rPr>
              <w:t>, and</w:t>
            </w:r>
          </w:p>
          <w:p w14:paraId="373F7FB4" w14:textId="77777777" w:rsidR="0094473E" w:rsidRPr="00C21D17" w:rsidRDefault="0094473E" w:rsidP="00C21D17">
            <w:pPr>
              <w:pStyle w:val="3-BodyText"/>
              <w:keepNext/>
              <w:keepLines/>
              <w:numPr>
                <w:ilvl w:val="0"/>
                <w:numId w:val="36"/>
              </w:numPr>
              <w:spacing w:after="0"/>
              <w:ind w:left="714" w:hanging="357"/>
              <w:rPr>
                <w:rFonts w:ascii="Arial Narrow" w:hAnsi="Arial Narrow" w:cstheme="minorBidi"/>
                <w:sz w:val="20"/>
                <w:szCs w:val="20"/>
              </w:rPr>
            </w:pPr>
            <w:r w:rsidRPr="00C21D17">
              <w:rPr>
                <w:rFonts w:ascii="Arial Narrow" w:hAnsi="Arial Narrow" w:cstheme="minorBidi"/>
                <w:sz w:val="20"/>
                <w:szCs w:val="20"/>
              </w:rPr>
              <w:t>To detect the fusion or rearrangement status of at least FGFR2</w:t>
            </w:r>
          </w:p>
          <w:p w14:paraId="1A12DBDC" w14:textId="77777777" w:rsidR="0094473E" w:rsidRPr="00C21D17" w:rsidRDefault="0094473E" w:rsidP="00C21D17">
            <w:pPr>
              <w:pStyle w:val="3-BodyText"/>
              <w:keepNext/>
              <w:keepLines/>
              <w:numPr>
                <w:ilvl w:val="0"/>
                <w:numId w:val="36"/>
              </w:numPr>
              <w:spacing w:after="0"/>
              <w:ind w:left="714" w:hanging="357"/>
              <w:rPr>
                <w:rFonts w:ascii="Arial Narrow" w:hAnsi="Arial Narrow" w:cstheme="minorBidi"/>
                <w:sz w:val="20"/>
                <w:szCs w:val="20"/>
              </w:rPr>
            </w:pPr>
            <w:r w:rsidRPr="00C21D17">
              <w:rPr>
                <w:rFonts w:ascii="Arial Narrow" w:hAnsi="Arial Narrow" w:cstheme="minorBidi"/>
                <w:sz w:val="20"/>
                <w:szCs w:val="20"/>
              </w:rPr>
              <w:t>To determine access to a relevant treatment under the Pharmaceutical Benefits Scheme (PBS)</w:t>
            </w:r>
          </w:p>
          <w:p w14:paraId="608934A0" w14:textId="77777777" w:rsidR="0094473E" w:rsidRPr="00C21D17" w:rsidRDefault="0094473E" w:rsidP="00C21D17">
            <w:pPr>
              <w:pStyle w:val="3-BodyText"/>
              <w:keepNext/>
              <w:keepLines/>
              <w:ind w:left="0" w:firstLine="0"/>
              <w:rPr>
                <w:rFonts w:ascii="Arial Narrow" w:hAnsi="Arial Narrow" w:cstheme="minorHAnsi"/>
                <w:sz w:val="20"/>
                <w:szCs w:val="20"/>
              </w:rPr>
            </w:pPr>
            <w:r w:rsidRPr="00C21D17">
              <w:rPr>
                <w:rFonts w:ascii="Arial Narrow" w:hAnsi="Arial Narrow" w:cstheme="minorHAnsi"/>
                <w:sz w:val="20"/>
                <w:szCs w:val="20"/>
              </w:rPr>
              <w:t>Applicable only once per lifetime.</w:t>
            </w:r>
          </w:p>
        </w:tc>
      </w:tr>
      <w:tr w:rsidR="0094473E" w:rsidRPr="00C21D17" w14:paraId="5A98EFFA" w14:textId="77777777" w:rsidTr="00C21D17">
        <w:trPr>
          <w:trHeight w:val="194"/>
        </w:trPr>
        <w:tc>
          <w:tcPr>
            <w:tcW w:w="9016" w:type="dxa"/>
          </w:tcPr>
          <w:p w14:paraId="569CDB61" w14:textId="77777777" w:rsidR="0094473E" w:rsidRPr="00C21D17" w:rsidRDefault="0094473E" w:rsidP="00C21D17">
            <w:pPr>
              <w:pStyle w:val="3-BodyText"/>
              <w:keepNext/>
              <w:keepLines/>
              <w:ind w:left="0" w:firstLine="0"/>
              <w:rPr>
                <w:rFonts w:ascii="Arial Narrow" w:hAnsi="Arial Narrow" w:cstheme="minorBidi"/>
                <w:sz w:val="20"/>
                <w:szCs w:val="20"/>
              </w:rPr>
            </w:pPr>
            <w:r w:rsidRPr="00C21D17">
              <w:rPr>
                <w:rFonts w:ascii="Arial Narrow" w:hAnsi="Arial Narrow" w:cstheme="minorBidi"/>
                <w:sz w:val="20"/>
                <w:szCs w:val="20"/>
              </w:rPr>
              <w:t>Fee: $TBC Benefit: 75% = $TBC 85% = $TBC</w:t>
            </w:r>
          </w:p>
        </w:tc>
      </w:tr>
    </w:tbl>
    <w:p w14:paraId="53DBCDA3" w14:textId="34CB40EE" w:rsidR="0094473E" w:rsidRPr="00C21D17" w:rsidRDefault="0094473E" w:rsidP="00C21D17">
      <w:pPr>
        <w:pStyle w:val="3-BodyText"/>
        <w:keepNext/>
        <w:keepLines/>
        <w:ind w:left="0" w:firstLine="0"/>
        <w:rPr>
          <w:rFonts w:ascii="Arial Narrow" w:hAnsi="Arial Narrow" w:cstheme="minorBidi"/>
          <w:sz w:val="20"/>
          <w:szCs w:val="20"/>
        </w:rPr>
      </w:pPr>
      <w:r w:rsidRPr="00C21D17">
        <w:rPr>
          <w:rFonts w:ascii="Arial Narrow" w:hAnsi="Arial Narrow"/>
          <w:sz w:val="20"/>
          <w:szCs w:val="20"/>
          <w:vertAlign w:val="superscript"/>
        </w:rPr>
        <w:t>a</w:t>
      </w:r>
      <w:r w:rsidRPr="00C21D17">
        <w:rPr>
          <w:rFonts w:ascii="Arial Narrow" w:hAnsi="Arial Narrow" w:cstheme="minorBidi"/>
          <w:sz w:val="20"/>
          <w:szCs w:val="20"/>
        </w:rPr>
        <w:t xml:space="preserve">Note that this would only be included if </w:t>
      </w:r>
      <w:r w:rsidRPr="00C21D17">
        <w:rPr>
          <w:rFonts w:ascii="Arial Narrow" w:hAnsi="Arial Narrow" w:cstheme="minorBidi"/>
          <w:i/>
          <w:iCs/>
          <w:sz w:val="20"/>
          <w:szCs w:val="20"/>
        </w:rPr>
        <w:t>IDH1</w:t>
      </w:r>
      <w:r w:rsidRPr="00C21D17">
        <w:rPr>
          <w:rFonts w:ascii="Arial Narrow" w:hAnsi="Arial Narrow" w:cstheme="minorBidi"/>
          <w:sz w:val="20"/>
          <w:szCs w:val="20"/>
        </w:rPr>
        <w:t xml:space="preserve"> testing is MBS listed.</w:t>
      </w:r>
    </w:p>
    <w:p w14:paraId="326CD051" w14:textId="7777777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The ESCs considered that it was reasonable to accept the claim of superior efficacy of futibatinib over both FOLFOX and palliative care, however considered that the magnitude of benefit is likely overestimated in the submission. The ESCs noted that no comparative safety data was presented in the submission. However, given the known safety issues related to FOLFOX, the ESCs considered the claim of superior safety compared to FOLFOX likely reasonable and agreed with the submission that futibatinib had inferior safety compared to palliative care, but that this is manageable.</w:t>
      </w:r>
    </w:p>
    <w:p w14:paraId="13806EB2" w14:textId="2B0993C7" w:rsidR="0094473E" w:rsidRPr="00C21D17"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noted that the submission presented a cost utility analysis using a partitioned survival analysis based on the results of a matched adjusted indirect comparison (MAIC) of futibatinib (based on the FOENIX-CCA2 trial) versus FOLFOX (based on the ABC-06 trial). The ESCs considered that there were transitivity issues as the ABC-06 trial included patients with biliary tract cancer (including CCA and gallbladder or ampullary carcinoma), and unknown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status. Given that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alterations may confer an improved prognosis, the ESCs considered that the MAIC provided a highly uncertain and likely overestimated magnitude of effect due to not adjusting for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status. The ESCs noted that the base case incremental cost effectiveness ratio (ICER) was $</w:t>
      </w:r>
      <w:r w:rsidR="00F43624" w:rsidRPr="00F43624">
        <w:rPr>
          <w:rFonts w:ascii="Franklin Gothic Book" w:hAnsi="Franklin Gothic Book"/>
          <w:sz w:val="22"/>
          <w:szCs w:val="22"/>
        </w:rPr>
        <w:t>95,000 to &lt;$115,000</w:t>
      </w:r>
      <w:r w:rsidRPr="00C21D17">
        <w:rPr>
          <w:rFonts w:ascii="Franklin Gothic Book" w:hAnsi="Franklin Gothic Book"/>
          <w:sz w:val="22"/>
          <w:szCs w:val="22"/>
        </w:rPr>
        <w:t xml:space="preserve">/QALY. The ESCs noted that the model did not account for false positives or negatives, assuming 100% specificity and sensitivity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testing. The ESCs discussed the appropriateness of this assumption, given concerns of NGS on RNA’s potential reliability issues. However, the ESCs considered that this may be appropriate given application 1750 for </w:t>
      </w:r>
      <w:r w:rsidRPr="00C21D17">
        <w:rPr>
          <w:rFonts w:ascii="Franklin Gothic Book" w:hAnsi="Franklin Gothic Book"/>
          <w:i/>
          <w:iCs/>
          <w:sz w:val="22"/>
          <w:szCs w:val="22"/>
        </w:rPr>
        <w:t>IDH1</w:t>
      </w:r>
      <w:r w:rsidRPr="00C21D17">
        <w:rPr>
          <w:rFonts w:ascii="Franklin Gothic Book" w:hAnsi="Franklin Gothic Book"/>
          <w:sz w:val="22"/>
          <w:szCs w:val="22"/>
        </w:rPr>
        <w:t xml:space="preserve"> testing had also assumed 100% specificity and sensitivity testing, which MSAC accepted. The ESCs also noted that a weighted cost was used in the model for conducting tests based on the test provider (the submission assumed that 40% of the tests will be performed by Omico at $0 per test and the remaining 60% of the tests will be conducted by other providers at $350 per test). The ESCs considered that this weighting was not appropriate and considered that all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tests should be priced at the proposed MBS fee ($350). However, ESC noted from the sensitivity analysis conducted by the commentary that incorporating this change only had a minimal impact (</w:t>
      </w:r>
      <w:r w:rsidR="00F43624" w:rsidRPr="00F43624">
        <w:rPr>
          <w:rFonts w:ascii="Franklin Gothic Book" w:hAnsi="Franklin Gothic Book"/>
          <w:b/>
          <w:bCs/>
          <w:sz w:val="22"/>
          <w:szCs w:val="22"/>
        </w:rPr>
        <w:t>Redacted</w:t>
      </w:r>
      <w:r w:rsidRPr="00C21D17">
        <w:rPr>
          <w:rFonts w:ascii="Franklin Gothic Book" w:hAnsi="Franklin Gothic Book"/>
          <w:sz w:val="22"/>
          <w:szCs w:val="22"/>
        </w:rPr>
        <w:t xml:space="preserve">% increase) on the ICER. </w:t>
      </w:r>
    </w:p>
    <w:p w14:paraId="048F5DEB" w14:textId="5BA923FB" w:rsidR="0094473E" w:rsidRDefault="0094473E" w:rsidP="00C21D17">
      <w:pPr>
        <w:pStyle w:val="3-BodyText"/>
        <w:ind w:left="0" w:firstLine="0"/>
        <w:jc w:val="left"/>
        <w:rPr>
          <w:rFonts w:ascii="Franklin Gothic Book" w:hAnsi="Franklin Gothic Book"/>
          <w:sz w:val="22"/>
          <w:szCs w:val="22"/>
        </w:rPr>
      </w:pPr>
      <w:r w:rsidRPr="00C21D17">
        <w:rPr>
          <w:rFonts w:ascii="Franklin Gothic Book" w:hAnsi="Franklin Gothic Book"/>
          <w:sz w:val="22"/>
          <w:szCs w:val="22"/>
        </w:rPr>
        <w:t xml:space="preserve">The ESCs discussed the financial impact of </w:t>
      </w:r>
      <w:r w:rsidRPr="00C21D17">
        <w:rPr>
          <w:rFonts w:ascii="Franklin Gothic Book" w:hAnsi="Franklin Gothic Book"/>
          <w:i/>
          <w:iCs/>
          <w:sz w:val="22"/>
          <w:szCs w:val="22"/>
        </w:rPr>
        <w:t>FGFR2</w:t>
      </w:r>
      <w:r w:rsidRPr="00C21D17">
        <w:rPr>
          <w:rFonts w:ascii="Franklin Gothic Book" w:hAnsi="Franklin Gothic Book"/>
          <w:sz w:val="22"/>
          <w:szCs w:val="22"/>
        </w:rPr>
        <w:t xml:space="preserve"> testing. The ESCs noted that the submission only applied testing costs to patients who had locally advanced/metastatic disease and had progressed from first line durvalumab treatment. The ESCs agreed with the commentary that this was not consistent with the proposed test population of ‘adult patients with locally advanced of metastatic CCA’. As discussed above, the ESCs considered that testing should be performed at CCA diagnosis and noted from the commentary that for testing the entire CCA population the net cost to the MBS was $</w:t>
      </w:r>
      <w:r w:rsidR="00F43624" w:rsidRPr="00822D83">
        <w:rPr>
          <w:rFonts w:ascii="Franklin Gothic Book" w:hAnsi="Franklin Gothic Book"/>
          <w:sz w:val="22"/>
        </w:rPr>
        <w:t>0 to &lt;$10 million</w:t>
      </w:r>
      <w:r w:rsidR="00F43624">
        <w:rPr>
          <w:rFonts w:ascii="Franklin Gothic Book" w:hAnsi="Franklin Gothic Book"/>
          <w:sz w:val="22"/>
        </w:rPr>
        <w:t xml:space="preserve"> </w:t>
      </w:r>
      <w:r w:rsidRPr="00C21D17">
        <w:rPr>
          <w:rFonts w:ascii="Franklin Gothic Book" w:hAnsi="Franklin Gothic Book"/>
          <w:sz w:val="22"/>
          <w:szCs w:val="22"/>
        </w:rPr>
        <w:t>in year 1, rising to $</w:t>
      </w:r>
      <w:r w:rsidR="00F43624" w:rsidRPr="00822D83">
        <w:rPr>
          <w:rFonts w:ascii="Franklin Gothic Book" w:hAnsi="Franklin Gothic Book"/>
          <w:sz w:val="22"/>
        </w:rPr>
        <w:t>0 to &lt;$10 million</w:t>
      </w:r>
      <w:r w:rsidRPr="00C21D17">
        <w:rPr>
          <w:rFonts w:ascii="Franklin Gothic Book" w:hAnsi="Franklin Gothic Book"/>
          <w:sz w:val="22"/>
          <w:szCs w:val="22"/>
        </w:rPr>
        <w:t xml:space="preserve"> in year 6. The ESCs agreed with the commentary that there may be a potential underestimation of the current adult population of CCA patients in Australia estimated in the submission due to the incidence rate used to determine the population being based on the full population of CCA patients, rather than just the adult population. The ESCs requested that a sensitivity analysis on the financial estimates be presented to include the population of all CCA patients which include the potential increase in incidence of CCA (as discussed earlier) if the test is listed on the MBS.</w:t>
      </w:r>
    </w:p>
    <w:p w14:paraId="024F9398" w14:textId="77777777" w:rsidR="00C21D17" w:rsidRDefault="00C21D17" w:rsidP="00C21D17">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lastRenderedPageBreak/>
        <w:t>Applicant comments on MSAC’s Public Summary Document</w:t>
      </w:r>
    </w:p>
    <w:p w14:paraId="690D444E" w14:textId="568A3506" w:rsidR="00CE008B" w:rsidRPr="003C266F" w:rsidRDefault="00CE008B" w:rsidP="003C266F">
      <w:pPr>
        <w:jc w:val="left"/>
      </w:pPr>
      <w:r w:rsidRPr="003C266F">
        <w:rPr>
          <w:rFonts w:ascii="Franklin Gothic Book" w:hAnsi="Franklin Gothic Book"/>
          <w:sz w:val="22"/>
        </w:rPr>
        <w:t>The Applicant is committed to working collaboratively with MSAC to ensure that testing is available to determine eligibility for treatment with PBS subsidised futibatinib.</w:t>
      </w:r>
    </w:p>
    <w:p w14:paraId="771FC73C" w14:textId="44C1231B" w:rsidR="00C21D17" w:rsidRPr="003A793E" w:rsidRDefault="00F43624" w:rsidP="00C21D17">
      <w:pPr>
        <w:pStyle w:val="Heading2"/>
        <w:numPr>
          <w:ilvl w:val="0"/>
          <w:numId w:val="38"/>
        </w:numPr>
        <w:spacing w:after="240"/>
        <w:ind w:hanging="720"/>
        <w:rPr>
          <w:rFonts w:ascii="Franklin Gothic Medium" w:hAnsi="Franklin Gothic Medium"/>
          <w:b w:val="0"/>
          <w:i w:val="0"/>
          <w:snapToGrid/>
          <w:color w:val="000000" w:themeColor="text1"/>
          <w:sz w:val="32"/>
          <w:szCs w:val="26"/>
        </w:rPr>
      </w:pPr>
      <w:r w:rsidRPr="00F43624" w:rsidDel="00F43624">
        <w:rPr>
          <w:rFonts w:ascii="Franklin Gothic Book" w:hAnsi="Franklin Gothic Book"/>
          <w:color w:val="007BB8"/>
          <w:sz w:val="22"/>
        </w:rPr>
        <w:t xml:space="preserve"> </w:t>
      </w:r>
      <w:r w:rsidR="00C21D17" w:rsidRPr="003A793E">
        <w:rPr>
          <w:rFonts w:ascii="Franklin Gothic Medium" w:hAnsi="Franklin Gothic Medium"/>
          <w:b w:val="0"/>
          <w:i w:val="0"/>
          <w:snapToGrid/>
          <w:color w:val="000000" w:themeColor="text1"/>
          <w:sz w:val="32"/>
          <w:szCs w:val="26"/>
        </w:rPr>
        <w:t>Further information on MSAC</w:t>
      </w:r>
    </w:p>
    <w:p w14:paraId="44BF849F" w14:textId="3240BAE5" w:rsidR="00C21D17" w:rsidRPr="00C21D17" w:rsidRDefault="00C21D17" w:rsidP="00C21D17">
      <w:pPr>
        <w:pStyle w:val="BodyText"/>
        <w:rPr>
          <w:rFonts w:ascii="Franklin Gothic Book" w:hAnsi="Franklin Gothic Book"/>
          <w:b/>
          <w:bCs/>
          <w:i/>
          <w:iCs/>
          <w:sz w:val="22"/>
        </w:rPr>
      </w:pPr>
      <w:r w:rsidRPr="00F309FA">
        <w:rPr>
          <w:rFonts w:ascii="Franklin Gothic Book" w:hAnsi="Franklin Gothic Book"/>
          <w:bCs/>
          <w:iCs/>
          <w:sz w:val="22"/>
        </w:rPr>
        <w:t xml:space="preserve">MSAC Terms of Reference and other information are available on the MSAC Website: </w:t>
      </w:r>
      <w:hyperlink r:id="rId11" w:tooltip="Link to the MSAC website" w:history="1">
        <w:r w:rsidRPr="000D2098">
          <w:rPr>
            <w:rStyle w:val="Hyperlink"/>
            <w:rFonts w:ascii="Franklin Gothic Book" w:hAnsi="Franklin Gothic Book"/>
            <w:iCs/>
            <w:color w:val="007BB8"/>
            <w:sz w:val="22"/>
          </w:rPr>
          <w:t>visit the MSAC website</w:t>
        </w:r>
      </w:hyperlink>
    </w:p>
    <w:sectPr w:rsidR="00C21D17" w:rsidRPr="00C21D17" w:rsidSect="00DE06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DEF81" w14:textId="77777777" w:rsidR="009930B7" w:rsidRDefault="009930B7" w:rsidP="00BA3306">
      <w:pPr>
        <w:spacing w:before="0" w:after="0"/>
      </w:pPr>
      <w:r>
        <w:separator/>
      </w:r>
    </w:p>
    <w:p w14:paraId="5499F3B1" w14:textId="77777777" w:rsidR="009930B7" w:rsidRDefault="009930B7"/>
  </w:endnote>
  <w:endnote w:type="continuationSeparator" w:id="0">
    <w:p w14:paraId="31DE6DA6" w14:textId="77777777" w:rsidR="009930B7" w:rsidRDefault="009930B7" w:rsidP="00BA3306">
      <w:pPr>
        <w:spacing w:before="0" w:after="0"/>
      </w:pPr>
      <w:r>
        <w:continuationSeparator/>
      </w:r>
    </w:p>
    <w:p w14:paraId="3D214E33" w14:textId="77777777" w:rsidR="009930B7" w:rsidRDefault="009930B7"/>
  </w:endnote>
  <w:endnote w:type="continuationNotice" w:id="1">
    <w:p w14:paraId="42D4D924" w14:textId="77777777" w:rsidR="009930B7" w:rsidRDefault="009930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8DB7" w14:textId="77777777" w:rsidR="00ED2610" w:rsidRDefault="00ED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171862"/>
      <w:docPartObj>
        <w:docPartGallery w:val="Page Numbers (Bottom of Page)"/>
        <w:docPartUnique/>
      </w:docPartObj>
    </w:sdtPr>
    <w:sdtEndPr>
      <w:rPr>
        <w:noProof/>
      </w:rPr>
    </w:sdtEndPr>
    <w:sdtContent>
      <w:p w14:paraId="56C9740B" w14:textId="021DBDB5" w:rsidR="00DE06E8" w:rsidRPr="0094473E" w:rsidRDefault="007727F0" w:rsidP="007727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A884" w14:textId="77777777" w:rsidR="00ED2610" w:rsidRDefault="00ED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3D4C" w14:textId="77777777" w:rsidR="009930B7" w:rsidRDefault="009930B7" w:rsidP="00BA3306">
      <w:pPr>
        <w:spacing w:before="0" w:after="0"/>
      </w:pPr>
      <w:r>
        <w:separator/>
      </w:r>
    </w:p>
    <w:p w14:paraId="02C65D50" w14:textId="77777777" w:rsidR="009930B7" w:rsidRDefault="009930B7"/>
  </w:footnote>
  <w:footnote w:type="continuationSeparator" w:id="0">
    <w:p w14:paraId="1E7C6D83" w14:textId="77777777" w:rsidR="009930B7" w:rsidRDefault="009930B7" w:rsidP="00BA3306">
      <w:pPr>
        <w:spacing w:before="0" w:after="0"/>
      </w:pPr>
      <w:r>
        <w:continuationSeparator/>
      </w:r>
    </w:p>
    <w:p w14:paraId="2681F21D" w14:textId="77777777" w:rsidR="009930B7" w:rsidRDefault="009930B7"/>
  </w:footnote>
  <w:footnote w:type="continuationNotice" w:id="1">
    <w:p w14:paraId="35245B51" w14:textId="77777777" w:rsidR="009930B7" w:rsidRDefault="009930B7">
      <w:pPr>
        <w:spacing w:before="0" w:after="0"/>
      </w:pPr>
    </w:p>
  </w:footnote>
  <w:footnote w:id="2">
    <w:p w14:paraId="5206B85D" w14:textId="030CB9B9" w:rsidR="00E85B28" w:rsidRDefault="00E85B28">
      <w:pPr>
        <w:pStyle w:val="FootnoteText"/>
      </w:pPr>
      <w:r>
        <w:rPr>
          <w:rStyle w:val="FootnoteReference"/>
        </w:rPr>
        <w:footnoteRef/>
      </w:r>
      <w:r>
        <w:t xml:space="preserve"> </w:t>
      </w:r>
      <w:r w:rsidRPr="00FF3890">
        <w:t>Neumann, Olaf et al. “Genomic architecture of FGFR2 fusions in cholangiocarcinoma and its implication for molecular testing.” </w:t>
      </w:r>
      <w:r w:rsidRPr="00FF3890">
        <w:rPr>
          <w:i/>
          <w:iCs/>
        </w:rPr>
        <w:t>British journal of cancer</w:t>
      </w:r>
      <w:r w:rsidRPr="00FF3890">
        <w:t> vol. 127,8 (2022): 1540-1549. doi:10.1038/s41416-022-01908-1</w:t>
      </w:r>
    </w:p>
  </w:footnote>
  <w:footnote w:id="3">
    <w:p w14:paraId="6E738E14" w14:textId="2B538268" w:rsidR="00E85B28" w:rsidRDefault="00E85B28">
      <w:pPr>
        <w:pStyle w:val="FootnoteText"/>
      </w:pPr>
      <w:r>
        <w:rPr>
          <w:rStyle w:val="FootnoteReference"/>
        </w:rPr>
        <w:footnoteRef/>
      </w:r>
      <w:r>
        <w:t xml:space="preserve"> </w:t>
      </w:r>
      <w:r w:rsidRPr="00E85B28">
        <w:t>Neumann, Olaf et al. “First proficiency testing for NGS-based and combined NGS- and FISH-based detection of FGFR2 fusions in intrahepatic cholangiocarcinoma.” </w:t>
      </w:r>
      <w:r w:rsidRPr="00E85B28">
        <w:rPr>
          <w:i/>
          <w:iCs/>
        </w:rPr>
        <w:t>The journal of pathology. Clinical research</w:t>
      </w:r>
      <w:r w:rsidRPr="00E85B28">
        <w:t> vol. 9,2 (2023): 100-107. doi:10.1002/cjp2.308</w:t>
      </w:r>
    </w:p>
  </w:footnote>
  <w:footnote w:id="4">
    <w:p w14:paraId="4AF6CBBE" w14:textId="1A2E863F" w:rsidR="00F41DAE" w:rsidRPr="00F41DAE" w:rsidRDefault="00F41DAE">
      <w:pPr>
        <w:pStyle w:val="FootnoteText"/>
        <w:rPr>
          <w:lang w:val="en-US"/>
        </w:rPr>
      </w:pPr>
      <w:r>
        <w:rPr>
          <w:rStyle w:val="FootnoteReference"/>
        </w:rPr>
        <w:footnoteRef/>
      </w:r>
      <w:r>
        <w:t xml:space="preserve"> </w:t>
      </w:r>
      <w:r w:rsidRPr="00F41DAE">
        <w:t>ESMO. (2023). Biliary tract cancer: ESMO Clinical Practice Guideline for diagnosis, treatment and follow-up. Annals of Oncology, 34(2), 127-140.</w:t>
      </w:r>
    </w:p>
  </w:footnote>
  <w:footnote w:id="5">
    <w:p w14:paraId="28ACBA21" w14:textId="3229F9F9" w:rsidR="00F41DAE" w:rsidRPr="00F41DAE" w:rsidRDefault="00F41DAE">
      <w:pPr>
        <w:pStyle w:val="FootnoteText"/>
        <w:rPr>
          <w:lang w:val="en-US"/>
        </w:rPr>
      </w:pPr>
      <w:r>
        <w:rPr>
          <w:rStyle w:val="FootnoteReference"/>
        </w:rPr>
        <w:footnoteRef/>
      </w:r>
      <w:r>
        <w:t xml:space="preserve"> </w:t>
      </w:r>
      <w:r w:rsidRPr="00F41DAE">
        <w:t>NCCN. (2024). Biliary Tract Cancers Version 3.2024.</w:t>
      </w:r>
    </w:p>
  </w:footnote>
  <w:footnote w:id="6">
    <w:p w14:paraId="25B11D37" w14:textId="77777777" w:rsidR="00F7501D" w:rsidRPr="008811A1" w:rsidRDefault="00F7501D" w:rsidP="00F7501D">
      <w:pPr>
        <w:pStyle w:val="FootnoteText"/>
      </w:pPr>
      <w:r w:rsidRPr="008811A1">
        <w:rPr>
          <w:rStyle w:val="FootnoteReference"/>
        </w:rPr>
        <w:footnoteRef/>
      </w:r>
      <w:r w:rsidRPr="008811A1">
        <w:t xml:space="preserve"> Raphael A, Dudnik E, Hershkovitz D, Jain S, Olsen S, Soussan-Gutman L, Ben-Shitrit T, Dvir A, Nechushtan H, Peled N, et al. FGFR Fusions as an Acquired Resistance Mechanism Following Treatment with Epidermal Growth Factor Receptor Tyrosine Kinase Inhibitors (EGFR TKIs) and a Suggested Novel Target in Advanced Non-Small Cell Lung Cancer (aNSCLC). Journal of Clinical Medicine. 2022; 11(9):2475. https://doi.org/10.3390/jcm11092475</w:t>
      </w:r>
    </w:p>
  </w:footnote>
  <w:footnote w:id="7">
    <w:p w14:paraId="44FF968F" w14:textId="7AC50B23" w:rsidR="00FE29C1" w:rsidRPr="00FE29C1" w:rsidRDefault="00FE29C1">
      <w:pPr>
        <w:pStyle w:val="FootnoteText"/>
        <w:rPr>
          <w:lang w:val="en-US"/>
        </w:rPr>
      </w:pPr>
      <w:r>
        <w:rPr>
          <w:rStyle w:val="FootnoteReference"/>
        </w:rPr>
        <w:footnoteRef/>
      </w:r>
      <w:r>
        <w:t xml:space="preserve"> </w:t>
      </w:r>
      <w:r>
        <w:rPr>
          <w:noProof/>
        </w:rPr>
        <w:t xml:space="preserve">Jain et al. (2018). Cholangiocarcinoma With FGFR Genetic Aberrations: A Unique Clinical Phenotype. </w:t>
      </w:r>
      <w:r>
        <w:rPr>
          <w:i/>
          <w:iCs/>
          <w:noProof/>
        </w:rPr>
        <w:t>JCO Precis Oncol</w:t>
      </w:r>
      <w:r>
        <w:rPr>
          <w:noProof/>
        </w:rPr>
        <w:t>, 2:1-12.</w:t>
      </w:r>
    </w:p>
  </w:footnote>
  <w:footnote w:id="8">
    <w:p w14:paraId="3D1D47BD" w14:textId="35F8297D" w:rsidR="00FE29C1" w:rsidRPr="00FE29C1" w:rsidRDefault="00FE29C1">
      <w:pPr>
        <w:pStyle w:val="FootnoteText"/>
        <w:rPr>
          <w:lang w:val="en-US"/>
        </w:rPr>
      </w:pPr>
      <w:r>
        <w:rPr>
          <w:rStyle w:val="FootnoteReference"/>
        </w:rPr>
        <w:footnoteRef/>
      </w:r>
      <w:r>
        <w:t xml:space="preserve"> </w:t>
      </w:r>
      <w:r w:rsidR="00370D1B" w:rsidRPr="00370D1B">
        <w:t>Lamarca</w:t>
      </w:r>
      <w:r w:rsidR="00370D1B">
        <w:t xml:space="preserve"> et al.</w:t>
      </w:r>
      <w:r w:rsidR="00370D1B" w:rsidRPr="00370D1B">
        <w:t xml:space="preserve"> (2020). Molecular targeted therapies: Ready for "prime time" in biliary tract cancer. Journal of hepatology, 73(1):170-185.</w:t>
      </w:r>
    </w:p>
  </w:footnote>
  <w:footnote w:id="9">
    <w:p w14:paraId="7D201DBC" w14:textId="09A4C6D3" w:rsidR="005427F0" w:rsidRPr="005427F0" w:rsidRDefault="005427F0">
      <w:pPr>
        <w:pStyle w:val="FootnoteText"/>
        <w:rPr>
          <w:lang w:val="en-US"/>
        </w:rPr>
      </w:pPr>
      <w:r>
        <w:rPr>
          <w:rStyle w:val="FootnoteReference"/>
        </w:rPr>
        <w:footnoteRef/>
      </w:r>
      <w:r>
        <w:t xml:space="preserve"> </w:t>
      </w:r>
      <w:r w:rsidRPr="005427F0">
        <w:t>Rimini et al. (2022a). "Molecular profile and its clinical impact of IDH1 mutated versus IDH1 wild type intrahepatic cholangiocarcinoma." Sci Rep 12(1): 18775.</w:t>
      </w:r>
    </w:p>
  </w:footnote>
  <w:footnote w:id="10">
    <w:p w14:paraId="6332C2D7" w14:textId="25023BBC" w:rsidR="005427F0" w:rsidRPr="005427F0" w:rsidRDefault="005427F0">
      <w:pPr>
        <w:pStyle w:val="FootnoteText"/>
        <w:rPr>
          <w:lang w:val="en-US"/>
        </w:rPr>
      </w:pPr>
      <w:r>
        <w:rPr>
          <w:rStyle w:val="FootnoteReference"/>
        </w:rPr>
        <w:footnoteRef/>
      </w:r>
      <w:r>
        <w:t xml:space="preserve"> </w:t>
      </w:r>
      <w:r w:rsidRPr="005427F0">
        <w:t>Tomczak et al. (2022). "Precision oncology for intrahepatic cholangiocarcinoma in clinical practice." Br J Cancer 127(9): 1701-1708.</w:t>
      </w:r>
    </w:p>
  </w:footnote>
  <w:footnote w:id="11">
    <w:p w14:paraId="78AC71D3" w14:textId="4184BAB5" w:rsidR="00DE299C" w:rsidRPr="00DE299C" w:rsidRDefault="00DE299C">
      <w:pPr>
        <w:pStyle w:val="FootnoteText"/>
        <w:rPr>
          <w:lang w:val="en-US"/>
        </w:rPr>
      </w:pPr>
      <w:r>
        <w:rPr>
          <w:rStyle w:val="FootnoteReference"/>
        </w:rPr>
        <w:footnoteRef/>
      </w:r>
      <w:r>
        <w:t xml:space="preserve"> </w:t>
      </w:r>
      <w:r w:rsidRPr="00DE299C">
        <w:t>Vancanneyt et al. (2023). "Therapeutic yield of extensive molecular profiling in cholangiocarcinoma: a retrospective single-center study." J Cancer Res Clin Oncol 149(11): 9173-9181.</w:t>
      </w:r>
    </w:p>
  </w:footnote>
  <w:footnote w:id="12">
    <w:p w14:paraId="451427C7" w14:textId="77777777" w:rsidR="0068196B" w:rsidRPr="005427F0" w:rsidRDefault="0068196B" w:rsidP="0068196B">
      <w:pPr>
        <w:pStyle w:val="FootnoteText"/>
        <w:rPr>
          <w:lang w:val="en-US"/>
        </w:rPr>
      </w:pPr>
      <w:r>
        <w:rPr>
          <w:rStyle w:val="FootnoteReference"/>
        </w:rPr>
        <w:footnoteRef/>
      </w:r>
      <w:r>
        <w:t xml:space="preserve"> </w:t>
      </w:r>
      <w:r w:rsidRPr="005427F0">
        <w:t>Rizzato et al. (2022). "Prognostic impact of FGFR2/3 alterations in patients with biliary tract cancers receiving systemic chemotherapy: the BITCOIN study." Eur J Cancer 166: 165-175.</w:t>
      </w:r>
    </w:p>
  </w:footnote>
  <w:footnote w:id="13">
    <w:p w14:paraId="475CBA5B" w14:textId="52F1CA76" w:rsidR="00954EEE" w:rsidRPr="009618F6" w:rsidRDefault="00954EEE" w:rsidP="009618F6">
      <w:pPr>
        <w:pStyle w:val="TableText"/>
        <w:jc w:val="both"/>
        <w:rPr>
          <w:rFonts w:asciiTheme="minorHAnsi" w:hAnsiTheme="minorHAnsi" w:cstheme="minorHAnsi"/>
          <w:sz w:val="18"/>
          <w:szCs w:val="18"/>
          <w:lang w:val="en-US"/>
        </w:rPr>
      </w:pPr>
      <w:r w:rsidRPr="009618F6">
        <w:rPr>
          <w:rStyle w:val="FootnoteReference"/>
          <w:rFonts w:asciiTheme="minorHAnsi" w:hAnsiTheme="minorHAnsi" w:cstheme="minorHAnsi"/>
          <w:sz w:val="18"/>
          <w:szCs w:val="18"/>
        </w:rPr>
        <w:footnoteRef/>
      </w:r>
      <w:r w:rsidRPr="009618F6">
        <w:rPr>
          <w:rFonts w:asciiTheme="minorHAnsi" w:hAnsiTheme="minorHAnsi" w:cstheme="minorHAnsi"/>
          <w:sz w:val="18"/>
          <w:szCs w:val="18"/>
        </w:rPr>
        <w:t xml:space="preserve"> </w:t>
      </w:r>
      <w:r w:rsidR="006111F5" w:rsidRPr="009618F6">
        <w:rPr>
          <w:rFonts w:asciiTheme="minorHAnsi" w:hAnsiTheme="minorHAnsi" w:cstheme="minorHAnsi"/>
          <w:sz w:val="18"/>
          <w:szCs w:val="18"/>
          <w:lang w:bidi="en-US"/>
        </w:rPr>
        <w:t>Silverman et al. (2022). "Validation and Characterization of FGFR2 Rearrangements in Cholangiocarcinoma with Comprehensive Genomic Profiling." J Mol Diagn 24(4): 351-364.</w:t>
      </w:r>
    </w:p>
  </w:footnote>
  <w:footnote w:id="14">
    <w:p w14:paraId="55F04C9A" w14:textId="177D62CD" w:rsidR="009618F6" w:rsidRPr="009618F6" w:rsidRDefault="009618F6">
      <w:pPr>
        <w:pStyle w:val="FootnoteText"/>
        <w:rPr>
          <w:lang w:val="en-US"/>
        </w:rPr>
      </w:pPr>
      <w:r w:rsidRPr="009618F6">
        <w:rPr>
          <w:rStyle w:val="FootnoteReference"/>
          <w:rFonts w:cstheme="minorHAnsi"/>
          <w:szCs w:val="18"/>
        </w:rPr>
        <w:footnoteRef/>
      </w:r>
      <w:r w:rsidRPr="009618F6">
        <w:rPr>
          <w:rFonts w:cstheme="minorHAnsi"/>
          <w:szCs w:val="18"/>
        </w:rPr>
        <w:t xml:space="preserve"> </w:t>
      </w:r>
      <w:r w:rsidRPr="009618F6">
        <w:rPr>
          <w:rFonts w:cstheme="minorHAnsi"/>
          <w:szCs w:val="18"/>
          <w:lang w:bidi="en-US"/>
        </w:rPr>
        <w:t>Zou et al. (2023). Molecular Detection of FGFR2 Rearrangements in Resected Intrahepatic Cholangiocarcinomas: FISH Could Be An Ideal Method in Patients with Histological Small Duct Subtype. J Clin Transl Hepatol, 11(6):1355-1367.</w:t>
      </w:r>
    </w:p>
  </w:footnote>
  <w:footnote w:id="15">
    <w:p w14:paraId="3E6D2041" w14:textId="77777777" w:rsidR="002E2824" w:rsidRPr="008811A1" w:rsidRDefault="002E2824" w:rsidP="002E2824">
      <w:pPr>
        <w:pStyle w:val="FootnoteText"/>
      </w:pPr>
      <w:r w:rsidRPr="008811A1">
        <w:rPr>
          <w:rStyle w:val="FootnoteReference"/>
        </w:rPr>
        <w:footnoteRef/>
      </w:r>
      <w:r w:rsidRPr="008811A1">
        <w:t xml:space="preserve"> Brandi G, Relli V, Deserti M, Palloni A, Indio V, Astolfi A, Serravalle S, Mattiaccio A, Vasuri F, Malvi D, Deiana C, Pantaleo MA, Cescon M, Rizzo A, Katoh M, Tavolari S. Activated FGFR2 signalling as a biomarker for selection of intrahepatic cholangiocarcinoma patients candidate to FGFR targeted therapies. Sci Rep. 2024 Feb 7;14(1):3136. doi: 10.1038/s41598-024-52991-8. PMID: 38326380; PMCID: PMC10850506. https://pubmed.ncbi.nlm.nih.gov/38326380/</w:t>
      </w:r>
    </w:p>
  </w:footnote>
  <w:footnote w:id="16">
    <w:p w14:paraId="7B7B295D" w14:textId="442806EA" w:rsidR="002E2824" w:rsidRPr="008811A1" w:rsidRDefault="002E2824" w:rsidP="002E2824">
      <w:pPr>
        <w:pStyle w:val="FootnoteText"/>
      </w:pPr>
      <w:r w:rsidRPr="008811A1">
        <w:rPr>
          <w:rStyle w:val="FootnoteReference"/>
        </w:rPr>
        <w:footnoteRef/>
      </w:r>
      <w:r w:rsidRPr="008811A1">
        <w:t xml:space="preserve"> Sridharan V, Neyaz A, Chogule A, Baiev I, Reyes S, Barr Fritcher EG, Lennerz JK, Sukov W, Kipp B, Ting DT, Deshpande V, Goyal L. FGFR mRNA Expression in Cholangiocarcinoma and Its Correlation with FGFR2 Fusion Status and Immune Signatures. Clin Cancer Res. 2022 Dec 15;28(24):5431-5439. doi: 10.1158/1078-0432.CCR-22-1244. PMID: 36190545; PMCID: PMC9751751. </w:t>
      </w:r>
      <w:r w:rsidR="008306F2" w:rsidRPr="008306F2">
        <w:t>https://pubmed.ncbi.nlm.nih.gov/36190545/</w:t>
      </w:r>
      <w:r w:rsidRPr="008811A1">
        <w:t xml:space="preserve"> </w:t>
      </w:r>
    </w:p>
  </w:footnote>
  <w:footnote w:id="17">
    <w:p w14:paraId="7E9A39E5" w14:textId="27F35BBD" w:rsidR="006A2FB8" w:rsidRDefault="006A2FB8">
      <w:pPr>
        <w:pStyle w:val="FootnoteText"/>
      </w:pPr>
      <w:r>
        <w:rPr>
          <w:rStyle w:val="FootnoteReference"/>
        </w:rPr>
        <w:footnoteRef/>
      </w:r>
      <w:r>
        <w:t xml:space="preserve"> </w:t>
      </w:r>
      <w:r w:rsidRPr="00176800">
        <w:t>Note that these results are derived from analyses conducted by the applicant specifically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24C3" w14:textId="77777777" w:rsidR="00ED2610" w:rsidRDefault="00ED2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6B3F" w14:textId="77777777" w:rsidR="00DE06E8" w:rsidRPr="008811A1" w:rsidRDefault="00DE06E8"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914A" w14:textId="77777777" w:rsidR="00ED2610" w:rsidRDefault="00ED2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176"/>
    <w:multiLevelType w:val="hybridMultilevel"/>
    <w:tmpl w:val="7A5229FA"/>
    <w:lvl w:ilvl="0" w:tplc="D75EB9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7E8E4"/>
    <w:multiLevelType w:val="hybridMultilevel"/>
    <w:tmpl w:val="10CCCBE8"/>
    <w:lvl w:ilvl="0" w:tplc="22D6F4A8">
      <w:start w:val="1"/>
      <w:numFmt w:val="bullet"/>
      <w:lvlText w:val=""/>
      <w:lvlJc w:val="left"/>
      <w:pPr>
        <w:ind w:left="720" w:hanging="360"/>
      </w:pPr>
      <w:rPr>
        <w:rFonts w:ascii="Symbol" w:hAnsi="Symbol" w:hint="default"/>
      </w:rPr>
    </w:lvl>
    <w:lvl w:ilvl="1" w:tplc="84F4F2E6">
      <w:start w:val="1"/>
      <w:numFmt w:val="bullet"/>
      <w:lvlText w:val="o"/>
      <w:lvlJc w:val="left"/>
      <w:pPr>
        <w:ind w:left="1440" w:hanging="360"/>
      </w:pPr>
      <w:rPr>
        <w:rFonts w:ascii="Courier New" w:hAnsi="Courier New" w:hint="default"/>
      </w:rPr>
    </w:lvl>
    <w:lvl w:ilvl="2" w:tplc="FCF4E2F0">
      <w:start w:val="1"/>
      <w:numFmt w:val="bullet"/>
      <w:lvlText w:val=""/>
      <w:lvlJc w:val="left"/>
      <w:pPr>
        <w:ind w:left="2160" w:hanging="360"/>
      </w:pPr>
      <w:rPr>
        <w:rFonts w:ascii="Wingdings" w:hAnsi="Wingdings" w:hint="default"/>
      </w:rPr>
    </w:lvl>
    <w:lvl w:ilvl="3" w:tplc="CCB85192">
      <w:start w:val="1"/>
      <w:numFmt w:val="bullet"/>
      <w:lvlText w:val=""/>
      <w:lvlJc w:val="left"/>
      <w:pPr>
        <w:ind w:left="2880" w:hanging="360"/>
      </w:pPr>
      <w:rPr>
        <w:rFonts w:ascii="Symbol" w:hAnsi="Symbol" w:hint="default"/>
      </w:rPr>
    </w:lvl>
    <w:lvl w:ilvl="4" w:tplc="C8D655C4">
      <w:start w:val="1"/>
      <w:numFmt w:val="bullet"/>
      <w:lvlText w:val="o"/>
      <w:lvlJc w:val="left"/>
      <w:pPr>
        <w:ind w:left="3600" w:hanging="360"/>
      </w:pPr>
      <w:rPr>
        <w:rFonts w:ascii="Courier New" w:hAnsi="Courier New" w:hint="default"/>
      </w:rPr>
    </w:lvl>
    <w:lvl w:ilvl="5" w:tplc="B13CDD20">
      <w:start w:val="1"/>
      <w:numFmt w:val="bullet"/>
      <w:lvlText w:val=""/>
      <w:lvlJc w:val="left"/>
      <w:pPr>
        <w:ind w:left="4320" w:hanging="360"/>
      </w:pPr>
      <w:rPr>
        <w:rFonts w:ascii="Wingdings" w:hAnsi="Wingdings" w:hint="default"/>
      </w:rPr>
    </w:lvl>
    <w:lvl w:ilvl="6" w:tplc="A91E6F84">
      <w:start w:val="1"/>
      <w:numFmt w:val="bullet"/>
      <w:lvlText w:val=""/>
      <w:lvlJc w:val="left"/>
      <w:pPr>
        <w:ind w:left="5040" w:hanging="360"/>
      </w:pPr>
      <w:rPr>
        <w:rFonts w:ascii="Symbol" w:hAnsi="Symbol" w:hint="default"/>
      </w:rPr>
    </w:lvl>
    <w:lvl w:ilvl="7" w:tplc="9170F258">
      <w:start w:val="1"/>
      <w:numFmt w:val="bullet"/>
      <w:lvlText w:val="o"/>
      <w:lvlJc w:val="left"/>
      <w:pPr>
        <w:ind w:left="5760" w:hanging="360"/>
      </w:pPr>
      <w:rPr>
        <w:rFonts w:ascii="Courier New" w:hAnsi="Courier New" w:hint="default"/>
      </w:rPr>
    </w:lvl>
    <w:lvl w:ilvl="8" w:tplc="ADE83636">
      <w:start w:val="1"/>
      <w:numFmt w:val="bullet"/>
      <w:lvlText w:val=""/>
      <w:lvlJc w:val="left"/>
      <w:pPr>
        <w:ind w:left="6480" w:hanging="360"/>
      </w:pPr>
      <w:rPr>
        <w:rFonts w:ascii="Wingdings" w:hAnsi="Wingdings" w:hint="default"/>
      </w:rPr>
    </w:lvl>
  </w:abstractNum>
  <w:abstractNum w:abstractNumId="2" w15:restartNumberingAfterBreak="0">
    <w:nsid w:val="09617AC2"/>
    <w:multiLevelType w:val="multilevel"/>
    <w:tmpl w:val="92846974"/>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B71CE"/>
    <w:multiLevelType w:val="hybridMultilevel"/>
    <w:tmpl w:val="B766483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47AEC"/>
    <w:multiLevelType w:val="hybridMultilevel"/>
    <w:tmpl w:val="E66C3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92A039E"/>
    <w:multiLevelType w:val="hybridMultilevel"/>
    <w:tmpl w:val="F358F916"/>
    <w:lvl w:ilvl="0" w:tplc="64F479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AC657B5"/>
    <w:multiLevelType w:val="hybridMultilevel"/>
    <w:tmpl w:val="F38496D6"/>
    <w:lvl w:ilvl="0" w:tplc="19400A14">
      <w:start w:val="1"/>
      <w:numFmt w:val="bullet"/>
      <w:lvlText w:val=""/>
      <w:lvlJc w:val="left"/>
      <w:pPr>
        <w:ind w:left="720" w:hanging="360"/>
      </w:pPr>
      <w:rPr>
        <w:rFonts w:ascii="Symbol" w:hAnsi="Symbol"/>
      </w:rPr>
    </w:lvl>
    <w:lvl w:ilvl="1" w:tplc="238E74F4">
      <w:start w:val="1"/>
      <w:numFmt w:val="bullet"/>
      <w:lvlText w:val=""/>
      <w:lvlJc w:val="left"/>
      <w:pPr>
        <w:ind w:left="720" w:hanging="360"/>
      </w:pPr>
      <w:rPr>
        <w:rFonts w:ascii="Symbol" w:hAnsi="Symbol"/>
      </w:rPr>
    </w:lvl>
    <w:lvl w:ilvl="2" w:tplc="3848B4C6">
      <w:start w:val="1"/>
      <w:numFmt w:val="bullet"/>
      <w:lvlText w:val=""/>
      <w:lvlJc w:val="left"/>
      <w:pPr>
        <w:ind w:left="720" w:hanging="360"/>
      </w:pPr>
      <w:rPr>
        <w:rFonts w:ascii="Symbol" w:hAnsi="Symbol"/>
      </w:rPr>
    </w:lvl>
    <w:lvl w:ilvl="3" w:tplc="BB424B60">
      <w:start w:val="1"/>
      <w:numFmt w:val="bullet"/>
      <w:lvlText w:val=""/>
      <w:lvlJc w:val="left"/>
      <w:pPr>
        <w:ind w:left="720" w:hanging="360"/>
      </w:pPr>
      <w:rPr>
        <w:rFonts w:ascii="Symbol" w:hAnsi="Symbol"/>
      </w:rPr>
    </w:lvl>
    <w:lvl w:ilvl="4" w:tplc="1640E1A6">
      <w:start w:val="1"/>
      <w:numFmt w:val="bullet"/>
      <w:lvlText w:val=""/>
      <w:lvlJc w:val="left"/>
      <w:pPr>
        <w:ind w:left="720" w:hanging="360"/>
      </w:pPr>
      <w:rPr>
        <w:rFonts w:ascii="Symbol" w:hAnsi="Symbol"/>
      </w:rPr>
    </w:lvl>
    <w:lvl w:ilvl="5" w:tplc="2FA8D008">
      <w:start w:val="1"/>
      <w:numFmt w:val="bullet"/>
      <w:lvlText w:val=""/>
      <w:lvlJc w:val="left"/>
      <w:pPr>
        <w:ind w:left="720" w:hanging="360"/>
      </w:pPr>
      <w:rPr>
        <w:rFonts w:ascii="Symbol" w:hAnsi="Symbol"/>
      </w:rPr>
    </w:lvl>
    <w:lvl w:ilvl="6" w:tplc="822E8E44">
      <w:start w:val="1"/>
      <w:numFmt w:val="bullet"/>
      <w:lvlText w:val=""/>
      <w:lvlJc w:val="left"/>
      <w:pPr>
        <w:ind w:left="720" w:hanging="360"/>
      </w:pPr>
      <w:rPr>
        <w:rFonts w:ascii="Symbol" w:hAnsi="Symbol"/>
      </w:rPr>
    </w:lvl>
    <w:lvl w:ilvl="7" w:tplc="56880572">
      <w:start w:val="1"/>
      <w:numFmt w:val="bullet"/>
      <w:lvlText w:val=""/>
      <w:lvlJc w:val="left"/>
      <w:pPr>
        <w:ind w:left="720" w:hanging="360"/>
      </w:pPr>
      <w:rPr>
        <w:rFonts w:ascii="Symbol" w:hAnsi="Symbol"/>
      </w:rPr>
    </w:lvl>
    <w:lvl w:ilvl="8" w:tplc="24703768">
      <w:start w:val="1"/>
      <w:numFmt w:val="bullet"/>
      <w:lvlText w:val=""/>
      <w:lvlJc w:val="left"/>
      <w:pPr>
        <w:ind w:left="720" w:hanging="360"/>
      </w:pPr>
      <w:rPr>
        <w:rFonts w:ascii="Symbol" w:hAnsi="Symbol"/>
      </w:rPr>
    </w:lvl>
  </w:abstractNum>
  <w:abstractNum w:abstractNumId="10" w15:restartNumberingAfterBreak="0">
    <w:nsid w:val="1FB219F8"/>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FBE660E"/>
    <w:multiLevelType w:val="multilevel"/>
    <w:tmpl w:val="F7065136"/>
    <w:lvl w:ilvl="0">
      <w:start w:val="1"/>
      <w:numFmt w:val="decimal"/>
      <w:pStyle w:val="ListAlphabeticalLeve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B6274A"/>
    <w:multiLevelType w:val="hybridMultilevel"/>
    <w:tmpl w:val="AB00AF3C"/>
    <w:lvl w:ilvl="0" w:tplc="E1B6BF4A">
      <w:start w:val="1"/>
      <w:numFmt w:val="decimal"/>
      <w:lvlText w:val="%1."/>
      <w:lvlJc w:val="left"/>
      <w:pPr>
        <w:ind w:left="786" w:hanging="360"/>
      </w:pPr>
      <w:rPr>
        <w:rFonts w:hint="default"/>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24186A1E"/>
    <w:multiLevelType w:val="hybridMultilevel"/>
    <w:tmpl w:val="1BA6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026CB"/>
    <w:multiLevelType w:val="hybridMultilevel"/>
    <w:tmpl w:val="0B2CDB6E"/>
    <w:lvl w:ilvl="0" w:tplc="04090001">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50599"/>
    <w:multiLevelType w:val="hybridMultilevel"/>
    <w:tmpl w:val="F6FA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95621"/>
    <w:multiLevelType w:val="hybridMultilevel"/>
    <w:tmpl w:val="FC70E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CD77804"/>
    <w:multiLevelType w:val="hybridMultilevel"/>
    <w:tmpl w:val="5E0EA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274FD"/>
    <w:multiLevelType w:val="hybridMultilevel"/>
    <w:tmpl w:val="D3A4F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2E331F"/>
    <w:multiLevelType w:val="hybridMultilevel"/>
    <w:tmpl w:val="DB16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469E5"/>
    <w:multiLevelType w:val="hybridMultilevel"/>
    <w:tmpl w:val="E8E40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BD3AE4"/>
    <w:multiLevelType w:val="hybridMultilevel"/>
    <w:tmpl w:val="D3F29D7C"/>
    <w:lvl w:ilvl="0" w:tplc="1778B632">
      <w:start w:val="1"/>
      <w:numFmt w:val="bullet"/>
      <w:lvlText w:val=""/>
      <w:lvlJc w:val="left"/>
      <w:pPr>
        <w:ind w:left="720" w:hanging="360"/>
      </w:pPr>
      <w:rPr>
        <w:rFonts w:ascii="Symbol" w:hAnsi="Symbol"/>
      </w:rPr>
    </w:lvl>
    <w:lvl w:ilvl="1" w:tplc="3DDEC6AA">
      <w:start w:val="1"/>
      <w:numFmt w:val="bullet"/>
      <w:lvlText w:val=""/>
      <w:lvlJc w:val="left"/>
      <w:pPr>
        <w:ind w:left="720" w:hanging="360"/>
      </w:pPr>
      <w:rPr>
        <w:rFonts w:ascii="Symbol" w:hAnsi="Symbol"/>
      </w:rPr>
    </w:lvl>
    <w:lvl w:ilvl="2" w:tplc="EFDA3E06">
      <w:start w:val="1"/>
      <w:numFmt w:val="bullet"/>
      <w:lvlText w:val=""/>
      <w:lvlJc w:val="left"/>
      <w:pPr>
        <w:ind w:left="720" w:hanging="360"/>
      </w:pPr>
      <w:rPr>
        <w:rFonts w:ascii="Symbol" w:hAnsi="Symbol"/>
      </w:rPr>
    </w:lvl>
    <w:lvl w:ilvl="3" w:tplc="BABC2D4A">
      <w:start w:val="1"/>
      <w:numFmt w:val="bullet"/>
      <w:lvlText w:val=""/>
      <w:lvlJc w:val="left"/>
      <w:pPr>
        <w:ind w:left="720" w:hanging="360"/>
      </w:pPr>
      <w:rPr>
        <w:rFonts w:ascii="Symbol" w:hAnsi="Symbol"/>
      </w:rPr>
    </w:lvl>
    <w:lvl w:ilvl="4" w:tplc="DD0A4F64">
      <w:start w:val="1"/>
      <w:numFmt w:val="bullet"/>
      <w:lvlText w:val=""/>
      <w:lvlJc w:val="left"/>
      <w:pPr>
        <w:ind w:left="720" w:hanging="360"/>
      </w:pPr>
      <w:rPr>
        <w:rFonts w:ascii="Symbol" w:hAnsi="Symbol"/>
      </w:rPr>
    </w:lvl>
    <w:lvl w:ilvl="5" w:tplc="42366C34">
      <w:start w:val="1"/>
      <w:numFmt w:val="bullet"/>
      <w:lvlText w:val=""/>
      <w:lvlJc w:val="left"/>
      <w:pPr>
        <w:ind w:left="720" w:hanging="360"/>
      </w:pPr>
      <w:rPr>
        <w:rFonts w:ascii="Symbol" w:hAnsi="Symbol"/>
      </w:rPr>
    </w:lvl>
    <w:lvl w:ilvl="6" w:tplc="7FDCB778">
      <w:start w:val="1"/>
      <w:numFmt w:val="bullet"/>
      <w:lvlText w:val=""/>
      <w:lvlJc w:val="left"/>
      <w:pPr>
        <w:ind w:left="720" w:hanging="360"/>
      </w:pPr>
      <w:rPr>
        <w:rFonts w:ascii="Symbol" w:hAnsi="Symbol"/>
      </w:rPr>
    </w:lvl>
    <w:lvl w:ilvl="7" w:tplc="0DB08EA8">
      <w:start w:val="1"/>
      <w:numFmt w:val="bullet"/>
      <w:lvlText w:val=""/>
      <w:lvlJc w:val="left"/>
      <w:pPr>
        <w:ind w:left="720" w:hanging="360"/>
      </w:pPr>
      <w:rPr>
        <w:rFonts w:ascii="Symbol" w:hAnsi="Symbol"/>
      </w:rPr>
    </w:lvl>
    <w:lvl w:ilvl="8" w:tplc="685CEA7E">
      <w:start w:val="1"/>
      <w:numFmt w:val="bullet"/>
      <w:lvlText w:val=""/>
      <w:lvlJc w:val="left"/>
      <w:pPr>
        <w:ind w:left="720" w:hanging="360"/>
      </w:pPr>
      <w:rPr>
        <w:rFonts w:ascii="Symbol" w:hAnsi="Symbol"/>
      </w:rPr>
    </w:lvl>
  </w:abstractNum>
  <w:abstractNum w:abstractNumId="24" w15:restartNumberingAfterBreak="0">
    <w:nsid w:val="42376C72"/>
    <w:multiLevelType w:val="hybridMultilevel"/>
    <w:tmpl w:val="8FB46082"/>
    <w:lvl w:ilvl="0" w:tplc="B712C85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C6E10"/>
    <w:multiLevelType w:val="hybridMultilevel"/>
    <w:tmpl w:val="9BC66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2028E"/>
    <w:multiLevelType w:val="hybridMultilevel"/>
    <w:tmpl w:val="44A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95746"/>
    <w:multiLevelType w:val="hybridMultilevel"/>
    <w:tmpl w:val="28BC0FCE"/>
    <w:styleLink w:val="Style2"/>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8B218F1"/>
    <w:multiLevelType w:val="hybridMultilevel"/>
    <w:tmpl w:val="A238ACA0"/>
    <w:lvl w:ilvl="0" w:tplc="8B282944">
      <w:start w:val="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564420"/>
    <w:multiLevelType w:val="hybridMultilevel"/>
    <w:tmpl w:val="A2900FE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1A4E3C"/>
    <w:multiLevelType w:val="hybridMultilevel"/>
    <w:tmpl w:val="19E235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CE7D77"/>
    <w:multiLevelType w:val="hybridMultilevel"/>
    <w:tmpl w:val="0B52CBAA"/>
    <w:lvl w:ilvl="0" w:tplc="CD0E45D6">
      <w:start w:val="1"/>
      <w:numFmt w:val="bullet"/>
      <w:lvlText w:val=""/>
      <w:lvlJc w:val="left"/>
      <w:pPr>
        <w:ind w:left="720" w:hanging="360"/>
      </w:pPr>
      <w:rPr>
        <w:rFonts w:ascii="Symbol" w:hAnsi="Symbol"/>
      </w:rPr>
    </w:lvl>
    <w:lvl w:ilvl="1" w:tplc="85C8B318">
      <w:start w:val="1"/>
      <w:numFmt w:val="bullet"/>
      <w:lvlText w:val=""/>
      <w:lvlJc w:val="left"/>
      <w:pPr>
        <w:ind w:left="720" w:hanging="360"/>
      </w:pPr>
      <w:rPr>
        <w:rFonts w:ascii="Symbol" w:hAnsi="Symbol"/>
      </w:rPr>
    </w:lvl>
    <w:lvl w:ilvl="2" w:tplc="41D4CB5A">
      <w:start w:val="1"/>
      <w:numFmt w:val="bullet"/>
      <w:lvlText w:val=""/>
      <w:lvlJc w:val="left"/>
      <w:pPr>
        <w:ind w:left="720" w:hanging="360"/>
      </w:pPr>
      <w:rPr>
        <w:rFonts w:ascii="Symbol" w:hAnsi="Symbol"/>
      </w:rPr>
    </w:lvl>
    <w:lvl w:ilvl="3" w:tplc="CDDAB77A">
      <w:start w:val="1"/>
      <w:numFmt w:val="bullet"/>
      <w:lvlText w:val=""/>
      <w:lvlJc w:val="left"/>
      <w:pPr>
        <w:ind w:left="720" w:hanging="360"/>
      </w:pPr>
      <w:rPr>
        <w:rFonts w:ascii="Symbol" w:hAnsi="Symbol"/>
      </w:rPr>
    </w:lvl>
    <w:lvl w:ilvl="4" w:tplc="6BA4D67E">
      <w:start w:val="1"/>
      <w:numFmt w:val="bullet"/>
      <w:lvlText w:val=""/>
      <w:lvlJc w:val="left"/>
      <w:pPr>
        <w:ind w:left="720" w:hanging="360"/>
      </w:pPr>
      <w:rPr>
        <w:rFonts w:ascii="Symbol" w:hAnsi="Symbol"/>
      </w:rPr>
    </w:lvl>
    <w:lvl w:ilvl="5" w:tplc="54E41FEC">
      <w:start w:val="1"/>
      <w:numFmt w:val="bullet"/>
      <w:lvlText w:val=""/>
      <w:lvlJc w:val="left"/>
      <w:pPr>
        <w:ind w:left="720" w:hanging="360"/>
      </w:pPr>
      <w:rPr>
        <w:rFonts w:ascii="Symbol" w:hAnsi="Symbol"/>
      </w:rPr>
    </w:lvl>
    <w:lvl w:ilvl="6" w:tplc="1E180302">
      <w:start w:val="1"/>
      <w:numFmt w:val="bullet"/>
      <w:lvlText w:val=""/>
      <w:lvlJc w:val="left"/>
      <w:pPr>
        <w:ind w:left="720" w:hanging="360"/>
      </w:pPr>
      <w:rPr>
        <w:rFonts w:ascii="Symbol" w:hAnsi="Symbol"/>
      </w:rPr>
    </w:lvl>
    <w:lvl w:ilvl="7" w:tplc="CDA84A46">
      <w:start w:val="1"/>
      <w:numFmt w:val="bullet"/>
      <w:lvlText w:val=""/>
      <w:lvlJc w:val="left"/>
      <w:pPr>
        <w:ind w:left="720" w:hanging="360"/>
      </w:pPr>
      <w:rPr>
        <w:rFonts w:ascii="Symbol" w:hAnsi="Symbol"/>
      </w:rPr>
    </w:lvl>
    <w:lvl w:ilvl="8" w:tplc="F5F8F36C">
      <w:start w:val="1"/>
      <w:numFmt w:val="bullet"/>
      <w:lvlText w:val=""/>
      <w:lvlJc w:val="left"/>
      <w:pPr>
        <w:ind w:left="720" w:hanging="360"/>
      </w:pPr>
      <w:rPr>
        <w:rFonts w:ascii="Symbol" w:hAnsi="Symbol"/>
      </w:rPr>
    </w:lvl>
  </w:abstractNum>
  <w:abstractNum w:abstractNumId="34" w15:restartNumberingAfterBreak="0">
    <w:nsid w:val="65EA0456"/>
    <w:multiLevelType w:val="hybridMultilevel"/>
    <w:tmpl w:val="08AC20D2"/>
    <w:lvl w:ilvl="0" w:tplc="64F479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C171F"/>
    <w:multiLevelType w:val="hybridMultilevel"/>
    <w:tmpl w:val="5A8C275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96FC6"/>
    <w:multiLevelType w:val="hybridMultilevel"/>
    <w:tmpl w:val="BA361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D6433"/>
    <w:multiLevelType w:val="hybridMultilevel"/>
    <w:tmpl w:val="19E2351E"/>
    <w:lvl w:ilvl="0" w:tplc="C0DC36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4D033C"/>
    <w:multiLevelType w:val="multilevel"/>
    <w:tmpl w:val="6DB05D5C"/>
    <w:styleLink w:val="Style3"/>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927981"/>
    <w:multiLevelType w:val="hybridMultilevel"/>
    <w:tmpl w:val="3AA66A0A"/>
    <w:lvl w:ilvl="0" w:tplc="9A900D32">
      <w:start w:val="1"/>
      <w:numFmt w:val="bullet"/>
      <w:lvlText w:val=""/>
      <w:lvlJc w:val="left"/>
      <w:pPr>
        <w:ind w:left="1080" w:hanging="360"/>
      </w:pPr>
      <w:rPr>
        <w:rFonts w:ascii="Symbol" w:hAnsi="Symbol"/>
      </w:rPr>
    </w:lvl>
    <w:lvl w:ilvl="1" w:tplc="8692FED2">
      <w:start w:val="1"/>
      <w:numFmt w:val="bullet"/>
      <w:lvlText w:val=""/>
      <w:lvlJc w:val="left"/>
      <w:pPr>
        <w:ind w:left="1080" w:hanging="360"/>
      </w:pPr>
      <w:rPr>
        <w:rFonts w:ascii="Symbol" w:hAnsi="Symbol"/>
      </w:rPr>
    </w:lvl>
    <w:lvl w:ilvl="2" w:tplc="8952B720">
      <w:start w:val="1"/>
      <w:numFmt w:val="bullet"/>
      <w:lvlText w:val=""/>
      <w:lvlJc w:val="left"/>
      <w:pPr>
        <w:ind w:left="1080" w:hanging="360"/>
      </w:pPr>
      <w:rPr>
        <w:rFonts w:ascii="Symbol" w:hAnsi="Symbol"/>
      </w:rPr>
    </w:lvl>
    <w:lvl w:ilvl="3" w:tplc="DE1A0808">
      <w:start w:val="1"/>
      <w:numFmt w:val="bullet"/>
      <w:lvlText w:val=""/>
      <w:lvlJc w:val="left"/>
      <w:pPr>
        <w:ind w:left="1080" w:hanging="360"/>
      </w:pPr>
      <w:rPr>
        <w:rFonts w:ascii="Symbol" w:hAnsi="Symbol"/>
      </w:rPr>
    </w:lvl>
    <w:lvl w:ilvl="4" w:tplc="91F4BE56">
      <w:start w:val="1"/>
      <w:numFmt w:val="bullet"/>
      <w:lvlText w:val=""/>
      <w:lvlJc w:val="left"/>
      <w:pPr>
        <w:ind w:left="1080" w:hanging="360"/>
      </w:pPr>
      <w:rPr>
        <w:rFonts w:ascii="Symbol" w:hAnsi="Symbol"/>
      </w:rPr>
    </w:lvl>
    <w:lvl w:ilvl="5" w:tplc="6AF6E0EA">
      <w:start w:val="1"/>
      <w:numFmt w:val="bullet"/>
      <w:lvlText w:val=""/>
      <w:lvlJc w:val="left"/>
      <w:pPr>
        <w:ind w:left="1080" w:hanging="360"/>
      </w:pPr>
      <w:rPr>
        <w:rFonts w:ascii="Symbol" w:hAnsi="Symbol"/>
      </w:rPr>
    </w:lvl>
    <w:lvl w:ilvl="6" w:tplc="F45ACEBA">
      <w:start w:val="1"/>
      <w:numFmt w:val="bullet"/>
      <w:lvlText w:val=""/>
      <w:lvlJc w:val="left"/>
      <w:pPr>
        <w:ind w:left="1080" w:hanging="360"/>
      </w:pPr>
      <w:rPr>
        <w:rFonts w:ascii="Symbol" w:hAnsi="Symbol"/>
      </w:rPr>
    </w:lvl>
    <w:lvl w:ilvl="7" w:tplc="71E274D0">
      <w:start w:val="1"/>
      <w:numFmt w:val="bullet"/>
      <w:lvlText w:val=""/>
      <w:lvlJc w:val="left"/>
      <w:pPr>
        <w:ind w:left="1080" w:hanging="360"/>
      </w:pPr>
      <w:rPr>
        <w:rFonts w:ascii="Symbol" w:hAnsi="Symbol"/>
      </w:rPr>
    </w:lvl>
    <w:lvl w:ilvl="8" w:tplc="B456E3D4">
      <w:start w:val="1"/>
      <w:numFmt w:val="bullet"/>
      <w:lvlText w:val=""/>
      <w:lvlJc w:val="left"/>
      <w:pPr>
        <w:ind w:left="1080" w:hanging="360"/>
      </w:pPr>
      <w:rPr>
        <w:rFonts w:ascii="Symbol" w:hAnsi="Symbol"/>
      </w:rPr>
    </w:lvl>
  </w:abstractNum>
  <w:abstractNum w:abstractNumId="4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943294745">
    <w:abstractNumId w:val="16"/>
  </w:num>
  <w:num w:numId="2" w16cid:durableId="1422219559">
    <w:abstractNumId w:val="22"/>
  </w:num>
  <w:num w:numId="3" w16cid:durableId="268393627">
    <w:abstractNumId w:val="8"/>
  </w:num>
  <w:num w:numId="4" w16cid:durableId="1728722686">
    <w:abstractNumId w:val="6"/>
  </w:num>
  <w:num w:numId="5" w16cid:durableId="2098357730">
    <w:abstractNumId w:val="38"/>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6" w16cid:durableId="1831209707">
    <w:abstractNumId w:val="2"/>
  </w:num>
  <w:num w:numId="7" w16cid:durableId="1119836982">
    <w:abstractNumId w:val="31"/>
  </w:num>
  <w:num w:numId="8" w16cid:durableId="357589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446458">
    <w:abstractNumId w:val="28"/>
  </w:num>
  <w:num w:numId="10" w16cid:durableId="708606475">
    <w:abstractNumId w:val="10"/>
  </w:num>
  <w:num w:numId="11" w16cid:durableId="1707633875">
    <w:abstractNumId w:val="39"/>
  </w:num>
  <w:num w:numId="12" w16cid:durableId="432748491">
    <w:abstractNumId w:val="24"/>
  </w:num>
  <w:num w:numId="13" w16cid:durableId="1716932451">
    <w:abstractNumId w:val="4"/>
  </w:num>
  <w:num w:numId="14" w16cid:durableId="210267045">
    <w:abstractNumId w:val="25"/>
  </w:num>
  <w:num w:numId="15" w16cid:durableId="1415203797">
    <w:abstractNumId w:val="34"/>
  </w:num>
  <w:num w:numId="16" w16cid:durableId="588467692">
    <w:abstractNumId w:val="17"/>
  </w:num>
  <w:num w:numId="17" w16cid:durableId="633366062">
    <w:abstractNumId w:val="1"/>
  </w:num>
  <w:num w:numId="18" w16cid:durableId="252133176">
    <w:abstractNumId w:val="7"/>
  </w:num>
  <w:num w:numId="19" w16cid:durableId="195581558">
    <w:abstractNumId w:val="26"/>
  </w:num>
  <w:num w:numId="20" w16cid:durableId="1674600279">
    <w:abstractNumId w:val="27"/>
  </w:num>
  <w:num w:numId="21" w16cid:durableId="1026369574">
    <w:abstractNumId w:val="35"/>
  </w:num>
  <w:num w:numId="22" w16cid:durableId="1929849044">
    <w:abstractNumId w:val="3"/>
  </w:num>
  <w:num w:numId="23" w16cid:durableId="603420347">
    <w:abstractNumId w:val="15"/>
  </w:num>
  <w:num w:numId="24" w16cid:durableId="731736812">
    <w:abstractNumId w:val="19"/>
  </w:num>
  <w:num w:numId="25" w16cid:durableId="812285612">
    <w:abstractNumId w:val="11"/>
  </w:num>
  <w:num w:numId="26" w16cid:durableId="715273947">
    <w:abstractNumId w:val="14"/>
  </w:num>
  <w:num w:numId="27" w16cid:durableId="1021971401">
    <w:abstractNumId w:val="12"/>
  </w:num>
  <w:num w:numId="28" w16cid:durableId="1947349301">
    <w:abstractNumId w:val="41"/>
  </w:num>
  <w:num w:numId="29" w16cid:durableId="2058579267">
    <w:abstractNumId w:val="40"/>
  </w:num>
  <w:num w:numId="30" w16cid:durableId="351733647">
    <w:abstractNumId w:val="33"/>
  </w:num>
  <w:num w:numId="31" w16cid:durableId="1174417645">
    <w:abstractNumId w:val="20"/>
  </w:num>
  <w:num w:numId="32" w16cid:durableId="1911691072">
    <w:abstractNumId w:val="18"/>
  </w:num>
  <w:num w:numId="33" w16cid:durableId="533690897">
    <w:abstractNumId w:val="13"/>
  </w:num>
  <w:num w:numId="34" w16cid:durableId="2048990345">
    <w:abstractNumId w:val="37"/>
  </w:num>
  <w:num w:numId="35" w16cid:durableId="1291858004">
    <w:abstractNumId w:val="30"/>
  </w:num>
  <w:num w:numId="36" w16cid:durableId="502739959">
    <w:abstractNumId w:val="32"/>
  </w:num>
  <w:num w:numId="37" w16cid:durableId="265121265">
    <w:abstractNumId w:val="38"/>
  </w:num>
  <w:num w:numId="38" w16cid:durableId="1381593972">
    <w:abstractNumId w:val="36"/>
  </w:num>
  <w:num w:numId="39" w16cid:durableId="1695157616">
    <w:abstractNumId w:val="21"/>
  </w:num>
  <w:num w:numId="40" w16cid:durableId="882910464">
    <w:abstractNumId w:val="8"/>
  </w:num>
  <w:num w:numId="41" w16cid:durableId="74404148">
    <w:abstractNumId w:val="8"/>
  </w:num>
  <w:num w:numId="42" w16cid:durableId="998770964">
    <w:abstractNumId w:val="0"/>
  </w:num>
  <w:num w:numId="43" w16cid:durableId="184904280">
    <w:abstractNumId w:val="5"/>
  </w:num>
  <w:num w:numId="44" w16cid:durableId="908927443">
    <w:abstractNumId w:val="29"/>
  </w:num>
  <w:num w:numId="45" w16cid:durableId="167526283">
    <w:abstractNumId w:val="9"/>
  </w:num>
  <w:num w:numId="46" w16cid:durableId="912590001">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0" w:nlCheck="1" w:checkStyle="0"/>
  <w:activeWritingStyle w:appName="MSWord" w:lang="en-U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2"/>
    <w:rsid w:val="000003B9"/>
    <w:rsid w:val="000003F7"/>
    <w:rsid w:val="000008BD"/>
    <w:rsid w:val="0000095B"/>
    <w:rsid w:val="00000BA9"/>
    <w:rsid w:val="00001329"/>
    <w:rsid w:val="000014F1"/>
    <w:rsid w:val="0000152B"/>
    <w:rsid w:val="0000170B"/>
    <w:rsid w:val="00001AB4"/>
    <w:rsid w:val="00001B7F"/>
    <w:rsid w:val="00001FB7"/>
    <w:rsid w:val="00002295"/>
    <w:rsid w:val="000022E1"/>
    <w:rsid w:val="00002AE9"/>
    <w:rsid w:val="00002F34"/>
    <w:rsid w:val="000034CE"/>
    <w:rsid w:val="000035BB"/>
    <w:rsid w:val="00003C8E"/>
    <w:rsid w:val="00003D46"/>
    <w:rsid w:val="000040F3"/>
    <w:rsid w:val="00004658"/>
    <w:rsid w:val="00004D80"/>
    <w:rsid w:val="0000572B"/>
    <w:rsid w:val="00005B1A"/>
    <w:rsid w:val="000060F9"/>
    <w:rsid w:val="000062E0"/>
    <w:rsid w:val="00006C2A"/>
    <w:rsid w:val="00007335"/>
    <w:rsid w:val="000079BF"/>
    <w:rsid w:val="00007BD9"/>
    <w:rsid w:val="0001066F"/>
    <w:rsid w:val="000108B2"/>
    <w:rsid w:val="000109AA"/>
    <w:rsid w:val="0001141A"/>
    <w:rsid w:val="0001195C"/>
    <w:rsid w:val="0001212F"/>
    <w:rsid w:val="000123A7"/>
    <w:rsid w:val="0001281E"/>
    <w:rsid w:val="00012B30"/>
    <w:rsid w:val="00012CAB"/>
    <w:rsid w:val="00012E22"/>
    <w:rsid w:val="00012E85"/>
    <w:rsid w:val="00012EEE"/>
    <w:rsid w:val="00012FEC"/>
    <w:rsid w:val="000131C9"/>
    <w:rsid w:val="00013222"/>
    <w:rsid w:val="0001354E"/>
    <w:rsid w:val="000135B2"/>
    <w:rsid w:val="00013E19"/>
    <w:rsid w:val="000142C1"/>
    <w:rsid w:val="0001443C"/>
    <w:rsid w:val="0001464D"/>
    <w:rsid w:val="00014C5E"/>
    <w:rsid w:val="00014DFD"/>
    <w:rsid w:val="00014E13"/>
    <w:rsid w:val="0001524A"/>
    <w:rsid w:val="00015290"/>
    <w:rsid w:val="0001548D"/>
    <w:rsid w:val="00015B2B"/>
    <w:rsid w:val="00015DBA"/>
    <w:rsid w:val="000168CB"/>
    <w:rsid w:val="00016B3F"/>
    <w:rsid w:val="00016CF7"/>
    <w:rsid w:val="00016FCF"/>
    <w:rsid w:val="000170E1"/>
    <w:rsid w:val="00020343"/>
    <w:rsid w:val="000203BB"/>
    <w:rsid w:val="000205CC"/>
    <w:rsid w:val="00020885"/>
    <w:rsid w:val="0002095B"/>
    <w:rsid w:val="0002097A"/>
    <w:rsid w:val="00020A6A"/>
    <w:rsid w:val="00020E67"/>
    <w:rsid w:val="0002117B"/>
    <w:rsid w:val="000213C0"/>
    <w:rsid w:val="000215A4"/>
    <w:rsid w:val="0002194F"/>
    <w:rsid w:val="00021F2F"/>
    <w:rsid w:val="000226AA"/>
    <w:rsid w:val="000229BF"/>
    <w:rsid w:val="00022A44"/>
    <w:rsid w:val="00023139"/>
    <w:rsid w:val="00023192"/>
    <w:rsid w:val="0002333B"/>
    <w:rsid w:val="000239BE"/>
    <w:rsid w:val="00023CD6"/>
    <w:rsid w:val="00023F53"/>
    <w:rsid w:val="00024178"/>
    <w:rsid w:val="00024371"/>
    <w:rsid w:val="000249E3"/>
    <w:rsid w:val="0002501A"/>
    <w:rsid w:val="000254A8"/>
    <w:rsid w:val="00025896"/>
    <w:rsid w:val="00025B1B"/>
    <w:rsid w:val="00025E5A"/>
    <w:rsid w:val="00025E84"/>
    <w:rsid w:val="00025ED0"/>
    <w:rsid w:val="00025F70"/>
    <w:rsid w:val="0002651D"/>
    <w:rsid w:val="00026528"/>
    <w:rsid w:val="00026AF7"/>
    <w:rsid w:val="00027239"/>
    <w:rsid w:val="00027454"/>
    <w:rsid w:val="00030189"/>
    <w:rsid w:val="00030C35"/>
    <w:rsid w:val="00030D9F"/>
    <w:rsid w:val="0003179C"/>
    <w:rsid w:val="00031810"/>
    <w:rsid w:val="00031914"/>
    <w:rsid w:val="00031F3D"/>
    <w:rsid w:val="00031FE3"/>
    <w:rsid w:val="000323F2"/>
    <w:rsid w:val="00032B0C"/>
    <w:rsid w:val="00032EA4"/>
    <w:rsid w:val="00032FEF"/>
    <w:rsid w:val="00033373"/>
    <w:rsid w:val="00033C96"/>
    <w:rsid w:val="00033CE1"/>
    <w:rsid w:val="000340CE"/>
    <w:rsid w:val="000341AC"/>
    <w:rsid w:val="000343E2"/>
    <w:rsid w:val="00034404"/>
    <w:rsid w:val="00034949"/>
    <w:rsid w:val="0003497C"/>
    <w:rsid w:val="00034A0C"/>
    <w:rsid w:val="00035578"/>
    <w:rsid w:val="000359BA"/>
    <w:rsid w:val="00035C81"/>
    <w:rsid w:val="0003641E"/>
    <w:rsid w:val="000365BA"/>
    <w:rsid w:val="000366EE"/>
    <w:rsid w:val="000367B1"/>
    <w:rsid w:val="000367D6"/>
    <w:rsid w:val="00036AF5"/>
    <w:rsid w:val="00036D05"/>
    <w:rsid w:val="00037538"/>
    <w:rsid w:val="00037D2E"/>
    <w:rsid w:val="00037F06"/>
    <w:rsid w:val="00037FF9"/>
    <w:rsid w:val="000400D8"/>
    <w:rsid w:val="000403D4"/>
    <w:rsid w:val="00040603"/>
    <w:rsid w:val="000406F9"/>
    <w:rsid w:val="00040793"/>
    <w:rsid w:val="0004150B"/>
    <w:rsid w:val="000416D6"/>
    <w:rsid w:val="000419B9"/>
    <w:rsid w:val="0004204C"/>
    <w:rsid w:val="00042255"/>
    <w:rsid w:val="0004268D"/>
    <w:rsid w:val="0004278A"/>
    <w:rsid w:val="00042D7B"/>
    <w:rsid w:val="000435AF"/>
    <w:rsid w:val="00043861"/>
    <w:rsid w:val="00043EE0"/>
    <w:rsid w:val="00044159"/>
    <w:rsid w:val="0004441D"/>
    <w:rsid w:val="0004449D"/>
    <w:rsid w:val="0004466E"/>
    <w:rsid w:val="000446AB"/>
    <w:rsid w:val="00044AF9"/>
    <w:rsid w:val="00044E09"/>
    <w:rsid w:val="00044ED9"/>
    <w:rsid w:val="00044FB7"/>
    <w:rsid w:val="00044FE1"/>
    <w:rsid w:val="00045A02"/>
    <w:rsid w:val="00045EB1"/>
    <w:rsid w:val="00045ED4"/>
    <w:rsid w:val="000461CF"/>
    <w:rsid w:val="0004758F"/>
    <w:rsid w:val="000477CF"/>
    <w:rsid w:val="00047867"/>
    <w:rsid w:val="000478C7"/>
    <w:rsid w:val="0005008C"/>
    <w:rsid w:val="0005075B"/>
    <w:rsid w:val="00050AED"/>
    <w:rsid w:val="00051576"/>
    <w:rsid w:val="00051BF5"/>
    <w:rsid w:val="00051C1F"/>
    <w:rsid w:val="00051CC4"/>
    <w:rsid w:val="00051EB4"/>
    <w:rsid w:val="000522EE"/>
    <w:rsid w:val="00052561"/>
    <w:rsid w:val="0005265C"/>
    <w:rsid w:val="00052BCD"/>
    <w:rsid w:val="00052C4F"/>
    <w:rsid w:val="00053087"/>
    <w:rsid w:val="000534F3"/>
    <w:rsid w:val="000536F6"/>
    <w:rsid w:val="0005379C"/>
    <w:rsid w:val="00053F26"/>
    <w:rsid w:val="00054171"/>
    <w:rsid w:val="00054A95"/>
    <w:rsid w:val="00055158"/>
    <w:rsid w:val="0005595C"/>
    <w:rsid w:val="00055DCD"/>
    <w:rsid w:val="00056740"/>
    <w:rsid w:val="00056C22"/>
    <w:rsid w:val="000578D9"/>
    <w:rsid w:val="00057F28"/>
    <w:rsid w:val="00057F71"/>
    <w:rsid w:val="000601C1"/>
    <w:rsid w:val="0006045C"/>
    <w:rsid w:val="0006111F"/>
    <w:rsid w:val="0006118F"/>
    <w:rsid w:val="00061864"/>
    <w:rsid w:val="000619DF"/>
    <w:rsid w:val="00061C37"/>
    <w:rsid w:val="00061D30"/>
    <w:rsid w:val="00061E1A"/>
    <w:rsid w:val="00062018"/>
    <w:rsid w:val="00062067"/>
    <w:rsid w:val="0006259C"/>
    <w:rsid w:val="000626EB"/>
    <w:rsid w:val="0006287B"/>
    <w:rsid w:val="00063412"/>
    <w:rsid w:val="0006360E"/>
    <w:rsid w:val="000638E2"/>
    <w:rsid w:val="00063C2F"/>
    <w:rsid w:val="00063DEB"/>
    <w:rsid w:val="000640FD"/>
    <w:rsid w:val="000643FA"/>
    <w:rsid w:val="0006442F"/>
    <w:rsid w:val="00064791"/>
    <w:rsid w:val="000647BD"/>
    <w:rsid w:val="00064A3D"/>
    <w:rsid w:val="00064D04"/>
    <w:rsid w:val="00064E30"/>
    <w:rsid w:val="00064E49"/>
    <w:rsid w:val="00065383"/>
    <w:rsid w:val="00065610"/>
    <w:rsid w:val="00065C62"/>
    <w:rsid w:val="00065CDE"/>
    <w:rsid w:val="00065D7C"/>
    <w:rsid w:val="00065DE6"/>
    <w:rsid w:val="00065E4A"/>
    <w:rsid w:val="00065F4A"/>
    <w:rsid w:val="00066027"/>
    <w:rsid w:val="00066587"/>
    <w:rsid w:val="0006658E"/>
    <w:rsid w:val="00066D55"/>
    <w:rsid w:val="000676E5"/>
    <w:rsid w:val="0006770E"/>
    <w:rsid w:val="000677DE"/>
    <w:rsid w:val="0007063B"/>
    <w:rsid w:val="000708AA"/>
    <w:rsid w:val="000709F8"/>
    <w:rsid w:val="00070D75"/>
    <w:rsid w:val="00070F2E"/>
    <w:rsid w:val="00071344"/>
    <w:rsid w:val="00071790"/>
    <w:rsid w:val="00071DA6"/>
    <w:rsid w:val="00071EE3"/>
    <w:rsid w:val="000721FB"/>
    <w:rsid w:val="00072B93"/>
    <w:rsid w:val="00073106"/>
    <w:rsid w:val="00073A78"/>
    <w:rsid w:val="00073BA4"/>
    <w:rsid w:val="0007415F"/>
    <w:rsid w:val="000741F5"/>
    <w:rsid w:val="0007426D"/>
    <w:rsid w:val="00074A38"/>
    <w:rsid w:val="00074B59"/>
    <w:rsid w:val="00074BA4"/>
    <w:rsid w:val="00074C82"/>
    <w:rsid w:val="00075E34"/>
    <w:rsid w:val="000763E1"/>
    <w:rsid w:val="000763EC"/>
    <w:rsid w:val="00076857"/>
    <w:rsid w:val="00076B82"/>
    <w:rsid w:val="00076EEF"/>
    <w:rsid w:val="000772AA"/>
    <w:rsid w:val="0007776D"/>
    <w:rsid w:val="00077ABE"/>
    <w:rsid w:val="00077DAD"/>
    <w:rsid w:val="00077EB1"/>
    <w:rsid w:val="00077F1E"/>
    <w:rsid w:val="0008047E"/>
    <w:rsid w:val="00080789"/>
    <w:rsid w:val="00080813"/>
    <w:rsid w:val="000809BC"/>
    <w:rsid w:val="00080FF3"/>
    <w:rsid w:val="00081393"/>
    <w:rsid w:val="0008166F"/>
    <w:rsid w:val="000816DF"/>
    <w:rsid w:val="00081C56"/>
    <w:rsid w:val="00082422"/>
    <w:rsid w:val="000825EF"/>
    <w:rsid w:val="00082868"/>
    <w:rsid w:val="000829F7"/>
    <w:rsid w:val="00082BEC"/>
    <w:rsid w:val="00082E4C"/>
    <w:rsid w:val="00082EDE"/>
    <w:rsid w:val="00083053"/>
    <w:rsid w:val="000834ED"/>
    <w:rsid w:val="0008360B"/>
    <w:rsid w:val="0008362B"/>
    <w:rsid w:val="00083A37"/>
    <w:rsid w:val="00083A47"/>
    <w:rsid w:val="00083B95"/>
    <w:rsid w:val="000846AE"/>
    <w:rsid w:val="000847B8"/>
    <w:rsid w:val="000847FE"/>
    <w:rsid w:val="00084B18"/>
    <w:rsid w:val="00084C96"/>
    <w:rsid w:val="00084D1E"/>
    <w:rsid w:val="00084EE0"/>
    <w:rsid w:val="00084F0B"/>
    <w:rsid w:val="000850EB"/>
    <w:rsid w:val="00086133"/>
    <w:rsid w:val="000861B0"/>
    <w:rsid w:val="00086519"/>
    <w:rsid w:val="00086B70"/>
    <w:rsid w:val="00086B80"/>
    <w:rsid w:val="00087808"/>
    <w:rsid w:val="000878AB"/>
    <w:rsid w:val="000878DA"/>
    <w:rsid w:val="00087BCA"/>
    <w:rsid w:val="00090388"/>
    <w:rsid w:val="00090EB6"/>
    <w:rsid w:val="00090EC5"/>
    <w:rsid w:val="000911AF"/>
    <w:rsid w:val="00091D18"/>
    <w:rsid w:val="00091F1B"/>
    <w:rsid w:val="00091FDD"/>
    <w:rsid w:val="00092329"/>
    <w:rsid w:val="0009255A"/>
    <w:rsid w:val="00092727"/>
    <w:rsid w:val="000927A0"/>
    <w:rsid w:val="00092945"/>
    <w:rsid w:val="00092A5A"/>
    <w:rsid w:val="00092D5F"/>
    <w:rsid w:val="00092DD7"/>
    <w:rsid w:val="000935A4"/>
    <w:rsid w:val="00093A0A"/>
    <w:rsid w:val="00093EC6"/>
    <w:rsid w:val="00094007"/>
    <w:rsid w:val="0009449F"/>
    <w:rsid w:val="00094803"/>
    <w:rsid w:val="00094C33"/>
    <w:rsid w:val="00094CDE"/>
    <w:rsid w:val="00094D1B"/>
    <w:rsid w:val="00094ECF"/>
    <w:rsid w:val="00094EE2"/>
    <w:rsid w:val="00095744"/>
    <w:rsid w:val="00095B3C"/>
    <w:rsid w:val="00095C79"/>
    <w:rsid w:val="00095C7D"/>
    <w:rsid w:val="00095D05"/>
    <w:rsid w:val="00095DCC"/>
    <w:rsid w:val="000963A1"/>
    <w:rsid w:val="0009688E"/>
    <w:rsid w:val="00096BCD"/>
    <w:rsid w:val="000970A2"/>
    <w:rsid w:val="00097366"/>
    <w:rsid w:val="00097407"/>
    <w:rsid w:val="00097C20"/>
    <w:rsid w:val="00097F4A"/>
    <w:rsid w:val="000A012D"/>
    <w:rsid w:val="000A01FB"/>
    <w:rsid w:val="000A027E"/>
    <w:rsid w:val="000A0557"/>
    <w:rsid w:val="000A06FF"/>
    <w:rsid w:val="000A0816"/>
    <w:rsid w:val="000A0B3D"/>
    <w:rsid w:val="000A128D"/>
    <w:rsid w:val="000A130E"/>
    <w:rsid w:val="000A198A"/>
    <w:rsid w:val="000A1F7B"/>
    <w:rsid w:val="000A2694"/>
    <w:rsid w:val="000A2957"/>
    <w:rsid w:val="000A29D3"/>
    <w:rsid w:val="000A2A86"/>
    <w:rsid w:val="000A2EF1"/>
    <w:rsid w:val="000A2F8C"/>
    <w:rsid w:val="000A2FAD"/>
    <w:rsid w:val="000A3538"/>
    <w:rsid w:val="000A3BB3"/>
    <w:rsid w:val="000A3D99"/>
    <w:rsid w:val="000A3F4C"/>
    <w:rsid w:val="000A4B1A"/>
    <w:rsid w:val="000A5BFD"/>
    <w:rsid w:val="000A5D44"/>
    <w:rsid w:val="000A5E01"/>
    <w:rsid w:val="000A5FDE"/>
    <w:rsid w:val="000A6257"/>
    <w:rsid w:val="000A688D"/>
    <w:rsid w:val="000A6AAA"/>
    <w:rsid w:val="000A6FBD"/>
    <w:rsid w:val="000A7333"/>
    <w:rsid w:val="000A7CE1"/>
    <w:rsid w:val="000A7EA5"/>
    <w:rsid w:val="000B052D"/>
    <w:rsid w:val="000B064C"/>
    <w:rsid w:val="000B08A3"/>
    <w:rsid w:val="000B111E"/>
    <w:rsid w:val="000B1168"/>
    <w:rsid w:val="000B140C"/>
    <w:rsid w:val="000B14FE"/>
    <w:rsid w:val="000B1D8C"/>
    <w:rsid w:val="000B1EF4"/>
    <w:rsid w:val="000B1FB4"/>
    <w:rsid w:val="000B2853"/>
    <w:rsid w:val="000B2956"/>
    <w:rsid w:val="000B2BE3"/>
    <w:rsid w:val="000B32DC"/>
    <w:rsid w:val="000B35EA"/>
    <w:rsid w:val="000B35F9"/>
    <w:rsid w:val="000B43C0"/>
    <w:rsid w:val="000B491F"/>
    <w:rsid w:val="000B4FF1"/>
    <w:rsid w:val="000B56CD"/>
    <w:rsid w:val="000B574D"/>
    <w:rsid w:val="000B58AD"/>
    <w:rsid w:val="000B6169"/>
    <w:rsid w:val="000B68F0"/>
    <w:rsid w:val="000B6B56"/>
    <w:rsid w:val="000B6B69"/>
    <w:rsid w:val="000B6B87"/>
    <w:rsid w:val="000B72C3"/>
    <w:rsid w:val="000B7588"/>
    <w:rsid w:val="000B79F9"/>
    <w:rsid w:val="000B7AED"/>
    <w:rsid w:val="000B7D38"/>
    <w:rsid w:val="000C003B"/>
    <w:rsid w:val="000C0142"/>
    <w:rsid w:val="000C03F9"/>
    <w:rsid w:val="000C0501"/>
    <w:rsid w:val="000C0660"/>
    <w:rsid w:val="000C0AE7"/>
    <w:rsid w:val="000C0D30"/>
    <w:rsid w:val="000C0E63"/>
    <w:rsid w:val="000C0F30"/>
    <w:rsid w:val="000C0F94"/>
    <w:rsid w:val="000C11CC"/>
    <w:rsid w:val="000C15E0"/>
    <w:rsid w:val="000C1700"/>
    <w:rsid w:val="000C1E34"/>
    <w:rsid w:val="000C21F7"/>
    <w:rsid w:val="000C23C5"/>
    <w:rsid w:val="000C26A6"/>
    <w:rsid w:val="000C28F4"/>
    <w:rsid w:val="000C29ED"/>
    <w:rsid w:val="000C3039"/>
    <w:rsid w:val="000C3692"/>
    <w:rsid w:val="000C38D3"/>
    <w:rsid w:val="000C3E80"/>
    <w:rsid w:val="000C4094"/>
    <w:rsid w:val="000C4570"/>
    <w:rsid w:val="000C48A2"/>
    <w:rsid w:val="000C4A68"/>
    <w:rsid w:val="000C4E78"/>
    <w:rsid w:val="000C5009"/>
    <w:rsid w:val="000C53D7"/>
    <w:rsid w:val="000C5A75"/>
    <w:rsid w:val="000C5BC7"/>
    <w:rsid w:val="000C5EE4"/>
    <w:rsid w:val="000C668E"/>
    <w:rsid w:val="000C6A40"/>
    <w:rsid w:val="000C70DD"/>
    <w:rsid w:val="000C73A6"/>
    <w:rsid w:val="000C73D7"/>
    <w:rsid w:val="000C7883"/>
    <w:rsid w:val="000C7932"/>
    <w:rsid w:val="000C793A"/>
    <w:rsid w:val="000C7B1E"/>
    <w:rsid w:val="000C7C40"/>
    <w:rsid w:val="000C7ECD"/>
    <w:rsid w:val="000D0023"/>
    <w:rsid w:val="000D024B"/>
    <w:rsid w:val="000D06BF"/>
    <w:rsid w:val="000D0A81"/>
    <w:rsid w:val="000D0C69"/>
    <w:rsid w:val="000D0E6D"/>
    <w:rsid w:val="000D0FFE"/>
    <w:rsid w:val="000D154F"/>
    <w:rsid w:val="000D169F"/>
    <w:rsid w:val="000D1721"/>
    <w:rsid w:val="000D18F5"/>
    <w:rsid w:val="000D1A02"/>
    <w:rsid w:val="000D1AB4"/>
    <w:rsid w:val="000D21AC"/>
    <w:rsid w:val="000D2576"/>
    <w:rsid w:val="000D2A61"/>
    <w:rsid w:val="000D2B14"/>
    <w:rsid w:val="000D2CCC"/>
    <w:rsid w:val="000D3051"/>
    <w:rsid w:val="000D3153"/>
    <w:rsid w:val="000D3596"/>
    <w:rsid w:val="000D39EF"/>
    <w:rsid w:val="000D3F4A"/>
    <w:rsid w:val="000D4440"/>
    <w:rsid w:val="000D44EE"/>
    <w:rsid w:val="000D4793"/>
    <w:rsid w:val="000D4ADD"/>
    <w:rsid w:val="000D5375"/>
    <w:rsid w:val="000D5A2B"/>
    <w:rsid w:val="000D5DE8"/>
    <w:rsid w:val="000D6482"/>
    <w:rsid w:val="000D6C7F"/>
    <w:rsid w:val="000D779D"/>
    <w:rsid w:val="000D794A"/>
    <w:rsid w:val="000D7A9C"/>
    <w:rsid w:val="000D7EE2"/>
    <w:rsid w:val="000E0135"/>
    <w:rsid w:val="000E02A2"/>
    <w:rsid w:val="000E0462"/>
    <w:rsid w:val="000E04A2"/>
    <w:rsid w:val="000E05CE"/>
    <w:rsid w:val="000E07CD"/>
    <w:rsid w:val="000E0CF4"/>
    <w:rsid w:val="000E0E6C"/>
    <w:rsid w:val="000E1DD3"/>
    <w:rsid w:val="000E2102"/>
    <w:rsid w:val="000E21B1"/>
    <w:rsid w:val="000E240A"/>
    <w:rsid w:val="000E29A4"/>
    <w:rsid w:val="000E2F1E"/>
    <w:rsid w:val="000E31FD"/>
    <w:rsid w:val="000E3A1F"/>
    <w:rsid w:val="000E3EA2"/>
    <w:rsid w:val="000E3F51"/>
    <w:rsid w:val="000E4920"/>
    <w:rsid w:val="000E4C2E"/>
    <w:rsid w:val="000E527A"/>
    <w:rsid w:val="000E5319"/>
    <w:rsid w:val="000E53EF"/>
    <w:rsid w:val="000E546D"/>
    <w:rsid w:val="000E5ABB"/>
    <w:rsid w:val="000E6EFD"/>
    <w:rsid w:val="000E7019"/>
    <w:rsid w:val="000E7029"/>
    <w:rsid w:val="000E742B"/>
    <w:rsid w:val="000E7674"/>
    <w:rsid w:val="000E79DE"/>
    <w:rsid w:val="000E7BBF"/>
    <w:rsid w:val="000E7E1D"/>
    <w:rsid w:val="000E7E53"/>
    <w:rsid w:val="000F0331"/>
    <w:rsid w:val="000F08AD"/>
    <w:rsid w:val="000F1064"/>
    <w:rsid w:val="000F113E"/>
    <w:rsid w:val="000F15D0"/>
    <w:rsid w:val="000F179F"/>
    <w:rsid w:val="000F181F"/>
    <w:rsid w:val="000F243A"/>
    <w:rsid w:val="000F2534"/>
    <w:rsid w:val="000F2C5F"/>
    <w:rsid w:val="000F2CD9"/>
    <w:rsid w:val="000F313A"/>
    <w:rsid w:val="000F3263"/>
    <w:rsid w:val="000F332A"/>
    <w:rsid w:val="000F344A"/>
    <w:rsid w:val="000F3652"/>
    <w:rsid w:val="000F3C9C"/>
    <w:rsid w:val="000F41B5"/>
    <w:rsid w:val="000F4387"/>
    <w:rsid w:val="000F4753"/>
    <w:rsid w:val="000F4AF7"/>
    <w:rsid w:val="000F4EAC"/>
    <w:rsid w:val="000F515E"/>
    <w:rsid w:val="000F539A"/>
    <w:rsid w:val="000F54DA"/>
    <w:rsid w:val="000F595D"/>
    <w:rsid w:val="000F5C6B"/>
    <w:rsid w:val="000F624D"/>
    <w:rsid w:val="000F6B6B"/>
    <w:rsid w:val="000F6FED"/>
    <w:rsid w:val="000F7400"/>
    <w:rsid w:val="000F7490"/>
    <w:rsid w:val="000F7540"/>
    <w:rsid w:val="000F7AF4"/>
    <w:rsid w:val="000F7C75"/>
    <w:rsid w:val="000F7DCE"/>
    <w:rsid w:val="0010002A"/>
    <w:rsid w:val="00100410"/>
    <w:rsid w:val="00100509"/>
    <w:rsid w:val="0010086D"/>
    <w:rsid w:val="001008CD"/>
    <w:rsid w:val="00100A60"/>
    <w:rsid w:val="0010121E"/>
    <w:rsid w:val="001013E8"/>
    <w:rsid w:val="00101597"/>
    <w:rsid w:val="0010176B"/>
    <w:rsid w:val="001017EE"/>
    <w:rsid w:val="001018A8"/>
    <w:rsid w:val="00101D7F"/>
    <w:rsid w:val="0010308A"/>
    <w:rsid w:val="001035C8"/>
    <w:rsid w:val="0010395D"/>
    <w:rsid w:val="00103B56"/>
    <w:rsid w:val="00103B9B"/>
    <w:rsid w:val="001042A0"/>
    <w:rsid w:val="00104A1D"/>
    <w:rsid w:val="00104A99"/>
    <w:rsid w:val="0010504D"/>
    <w:rsid w:val="00105052"/>
    <w:rsid w:val="001054F7"/>
    <w:rsid w:val="001059D6"/>
    <w:rsid w:val="00106053"/>
    <w:rsid w:val="00106212"/>
    <w:rsid w:val="00106700"/>
    <w:rsid w:val="001069A7"/>
    <w:rsid w:val="001071EC"/>
    <w:rsid w:val="00107D08"/>
    <w:rsid w:val="0010B964"/>
    <w:rsid w:val="00110127"/>
    <w:rsid w:val="001106A2"/>
    <w:rsid w:val="00110A0B"/>
    <w:rsid w:val="00110CEF"/>
    <w:rsid w:val="00110F7A"/>
    <w:rsid w:val="0011145B"/>
    <w:rsid w:val="0011156A"/>
    <w:rsid w:val="00111667"/>
    <w:rsid w:val="00111951"/>
    <w:rsid w:val="00111A3E"/>
    <w:rsid w:val="00111D80"/>
    <w:rsid w:val="00111FAC"/>
    <w:rsid w:val="00112005"/>
    <w:rsid w:val="00112081"/>
    <w:rsid w:val="00112124"/>
    <w:rsid w:val="00112240"/>
    <w:rsid w:val="00112A90"/>
    <w:rsid w:val="00112D43"/>
    <w:rsid w:val="00112EC9"/>
    <w:rsid w:val="00112F1A"/>
    <w:rsid w:val="0011357F"/>
    <w:rsid w:val="001136A7"/>
    <w:rsid w:val="00113889"/>
    <w:rsid w:val="001143CB"/>
    <w:rsid w:val="00114494"/>
    <w:rsid w:val="00115152"/>
    <w:rsid w:val="001151EC"/>
    <w:rsid w:val="001156F5"/>
    <w:rsid w:val="00115CCE"/>
    <w:rsid w:val="00115D20"/>
    <w:rsid w:val="00115E13"/>
    <w:rsid w:val="00115EB4"/>
    <w:rsid w:val="0011603D"/>
    <w:rsid w:val="0011623B"/>
    <w:rsid w:val="001162D7"/>
    <w:rsid w:val="001166DA"/>
    <w:rsid w:val="001167DB"/>
    <w:rsid w:val="00116855"/>
    <w:rsid w:val="00116FEE"/>
    <w:rsid w:val="00117093"/>
    <w:rsid w:val="001172AF"/>
    <w:rsid w:val="00117457"/>
    <w:rsid w:val="00117B14"/>
    <w:rsid w:val="00117E44"/>
    <w:rsid w:val="00117E6E"/>
    <w:rsid w:val="001200AC"/>
    <w:rsid w:val="0012038B"/>
    <w:rsid w:val="001209A1"/>
    <w:rsid w:val="00120D0A"/>
    <w:rsid w:val="00121116"/>
    <w:rsid w:val="00121384"/>
    <w:rsid w:val="00121A8A"/>
    <w:rsid w:val="00121CAF"/>
    <w:rsid w:val="00121D1D"/>
    <w:rsid w:val="001220F1"/>
    <w:rsid w:val="001221C9"/>
    <w:rsid w:val="00122295"/>
    <w:rsid w:val="001227E5"/>
    <w:rsid w:val="00122C04"/>
    <w:rsid w:val="00122D20"/>
    <w:rsid w:val="0012301A"/>
    <w:rsid w:val="00123227"/>
    <w:rsid w:val="00123401"/>
    <w:rsid w:val="0012397E"/>
    <w:rsid w:val="00123E81"/>
    <w:rsid w:val="00124263"/>
    <w:rsid w:val="00124291"/>
    <w:rsid w:val="001243AC"/>
    <w:rsid w:val="001244F8"/>
    <w:rsid w:val="00124824"/>
    <w:rsid w:val="00124C5A"/>
    <w:rsid w:val="0012508B"/>
    <w:rsid w:val="0012523C"/>
    <w:rsid w:val="0012551A"/>
    <w:rsid w:val="001255F3"/>
    <w:rsid w:val="00125673"/>
    <w:rsid w:val="00125709"/>
    <w:rsid w:val="00125832"/>
    <w:rsid w:val="001258A4"/>
    <w:rsid w:val="001258AB"/>
    <w:rsid w:val="00125BB0"/>
    <w:rsid w:val="0012602C"/>
    <w:rsid w:val="001261CC"/>
    <w:rsid w:val="0012658E"/>
    <w:rsid w:val="001267CD"/>
    <w:rsid w:val="0012701F"/>
    <w:rsid w:val="001276F2"/>
    <w:rsid w:val="001279A9"/>
    <w:rsid w:val="001279AE"/>
    <w:rsid w:val="00130420"/>
    <w:rsid w:val="00130423"/>
    <w:rsid w:val="001309CC"/>
    <w:rsid w:val="00130C9A"/>
    <w:rsid w:val="00130E6B"/>
    <w:rsid w:val="0013119E"/>
    <w:rsid w:val="001311CF"/>
    <w:rsid w:val="00131419"/>
    <w:rsid w:val="001323D6"/>
    <w:rsid w:val="00132402"/>
    <w:rsid w:val="0013245A"/>
    <w:rsid w:val="0013261B"/>
    <w:rsid w:val="001328A6"/>
    <w:rsid w:val="00132C37"/>
    <w:rsid w:val="001330D1"/>
    <w:rsid w:val="00133166"/>
    <w:rsid w:val="001332CE"/>
    <w:rsid w:val="00133622"/>
    <w:rsid w:val="0013389D"/>
    <w:rsid w:val="00133A01"/>
    <w:rsid w:val="00133B1C"/>
    <w:rsid w:val="00133EEA"/>
    <w:rsid w:val="00133FB1"/>
    <w:rsid w:val="00134096"/>
    <w:rsid w:val="00134366"/>
    <w:rsid w:val="00134DEF"/>
    <w:rsid w:val="00135050"/>
    <w:rsid w:val="00135214"/>
    <w:rsid w:val="00135753"/>
    <w:rsid w:val="00135AAA"/>
    <w:rsid w:val="00135AC8"/>
    <w:rsid w:val="00135BE3"/>
    <w:rsid w:val="00135FCE"/>
    <w:rsid w:val="00136399"/>
    <w:rsid w:val="001364B4"/>
    <w:rsid w:val="00136950"/>
    <w:rsid w:val="00136E76"/>
    <w:rsid w:val="00136F0F"/>
    <w:rsid w:val="001370D3"/>
    <w:rsid w:val="0013728D"/>
    <w:rsid w:val="0013731D"/>
    <w:rsid w:val="0013786C"/>
    <w:rsid w:val="001378A8"/>
    <w:rsid w:val="00137E74"/>
    <w:rsid w:val="001401EE"/>
    <w:rsid w:val="00140238"/>
    <w:rsid w:val="0014041F"/>
    <w:rsid w:val="0014048A"/>
    <w:rsid w:val="001404A8"/>
    <w:rsid w:val="0014064C"/>
    <w:rsid w:val="00140991"/>
    <w:rsid w:val="00140A20"/>
    <w:rsid w:val="00140AED"/>
    <w:rsid w:val="00140B4A"/>
    <w:rsid w:val="00140C4A"/>
    <w:rsid w:val="00140CA0"/>
    <w:rsid w:val="00140DC7"/>
    <w:rsid w:val="0014126C"/>
    <w:rsid w:val="00141B05"/>
    <w:rsid w:val="00141B8C"/>
    <w:rsid w:val="00141D26"/>
    <w:rsid w:val="00141EFB"/>
    <w:rsid w:val="00142028"/>
    <w:rsid w:val="00142267"/>
    <w:rsid w:val="001424AC"/>
    <w:rsid w:val="001425F9"/>
    <w:rsid w:val="00142852"/>
    <w:rsid w:val="0014287B"/>
    <w:rsid w:val="0014291F"/>
    <w:rsid w:val="00142963"/>
    <w:rsid w:val="00142990"/>
    <w:rsid w:val="001429F4"/>
    <w:rsid w:val="00143E4D"/>
    <w:rsid w:val="00143FF1"/>
    <w:rsid w:val="00144466"/>
    <w:rsid w:val="00144B4C"/>
    <w:rsid w:val="00145040"/>
    <w:rsid w:val="001452A8"/>
    <w:rsid w:val="001453A9"/>
    <w:rsid w:val="00145444"/>
    <w:rsid w:val="001462EB"/>
    <w:rsid w:val="001464B9"/>
    <w:rsid w:val="001468C6"/>
    <w:rsid w:val="00146C47"/>
    <w:rsid w:val="00146D17"/>
    <w:rsid w:val="00147231"/>
    <w:rsid w:val="00147253"/>
    <w:rsid w:val="00147265"/>
    <w:rsid w:val="00147334"/>
    <w:rsid w:val="00147705"/>
    <w:rsid w:val="00147B23"/>
    <w:rsid w:val="00147BA9"/>
    <w:rsid w:val="001509DB"/>
    <w:rsid w:val="0015150F"/>
    <w:rsid w:val="00151A6A"/>
    <w:rsid w:val="00151CC6"/>
    <w:rsid w:val="00151DAB"/>
    <w:rsid w:val="0015232F"/>
    <w:rsid w:val="0015247C"/>
    <w:rsid w:val="00152635"/>
    <w:rsid w:val="00152C8C"/>
    <w:rsid w:val="0015306A"/>
    <w:rsid w:val="0015319A"/>
    <w:rsid w:val="001533D6"/>
    <w:rsid w:val="001533D7"/>
    <w:rsid w:val="0015355A"/>
    <w:rsid w:val="00153591"/>
    <w:rsid w:val="00153A3C"/>
    <w:rsid w:val="00153A4F"/>
    <w:rsid w:val="00153DAE"/>
    <w:rsid w:val="00153E0E"/>
    <w:rsid w:val="00154263"/>
    <w:rsid w:val="001545AE"/>
    <w:rsid w:val="00154735"/>
    <w:rsid w:val="00154CB6"/>
    <w:rsid w:val="00154F4E"/>
    <w:rsid w:val="00155C9E"/>
    <w:rsid w:val="001563C1"/>
    <w:rsid w:val="00156A5C"/>
    <w:rsid w:val="0015739F"/>
    <w:rsid w:val="0015758A"/>
    <w:rsid w:val="0015785A"/>
    <w:rsid w:val="00157D42"/>
    <w:rsid w:val="00157EE5"/>
    <w:rsid w:val="0016004F"/>
    <w:rsid w:val="00160888"/>
    <w:rsid w:val="001609A4"/>
    <w:rsid w:val="00160A93"/>
    <w:rsid w:val="001610F5"/>
    <w:rsid w:val="001613EF"/>
    <w:rsid w:val="001614F6"/>
    <w:rsid w:val="001618BB"/>
    <w:rsid w:val="00161946"/>
    <w:rsid w:val="00161A75"/>
    <w:rsid w:val="00161A8E"/>
    <w:rsid w:val="00162308"/>
    <w:rsid w:val="001623A2"/>
    <w:rsid w:val="00162420"/>
    <w:rsid w:val="00162897"/>
    <w:rsid w:val="00162AFD"/>
    <w:rsid w:val="00162B2C"/>
    <w:rsid w:val="00163598"/>
    <w:rsid w:val="001640C0"/>
    <w:rsid w:val="00164549"/>
    <w:rsid w:val="00164A45"/>
    <w:rsid w:val="00164F51"/>
    <w:rsid w:val="00165A37"/>
    <w:rsid w:val="00165A49"/>
    <w:rsid w:val="00165AD6"/>
    <w:rsid w:val="00165D46"/>
    <w:rsid w:val="00166487"/>
    <w:rsid w:val="001667A9"/>
    <w:rsid w:val="001669A9"/>
    <w:rsid w:val="00166A29"/>
    <w:rsid w:val="0016713E"/>
    <w:rsid w:val="00167257"/>
    <w:rsid w:val="001674C5"/>
    <w:rsid w:val="00167C37"/>
    <w:rsid w:val="00167E92"/>
    <w:rsid w:val="00167F45"/>
    <w:rsid w:val="0016D580"/>
    <w:rsid w:val="001702DC"/>
    <w:rsid w:val="001703C3"/>
    <w:rsid w:val="001707ED"/>
    <w:rsid w:val="0017080B"/>
    <w:rsid w:val="001709D4"/>
    <w:rsid w:val="001711B1"/>
    <w:rsid w:val="0017139D"/>
    <w:rsid w:val="00171D8E"/>
    <w:rsid w:val="0017210D"/>
    <w:rsid w:val="00172505"/>
    <w:rsid w:val="0017281F"/>
    <w:rsid w:val="001729E7"/>
    <w:rsid w:val="00173577"/>
    <w:rsid w:val="0017383E"/>
    <w:rsid w:val="00173A04"/>
    <w:rsid w:val="00173C51"/>
    <w:rsid w:val="00173E55"/>
    <w:rsid w:val="00173F4E"/>
    <w:rsid w:val="00174058"/>
    <w:rsid w:val="0017478B"/>
    <w:rsid w:val="00174C4B"/>
    <w:rsid w:val="0017564E"/>
    <w:rsid w:val="001758B6"/>
    <w:rsid w:val="001758D6"/>
    <w:rsid w:val="00175A3F"/>
    <w:rsid w:val="00176658"/>
    <w:rsid w:val="00176800"/>
    <w:rsid w:val="00176AA5"/>
    <w:rsid w:val="00176BB1"/>
    <w:rsid w:val="00176BF8"/>
    <w:rsid w:val="00176D07"/>
    <w:rsid w:val="00176D49"/>
    <w:rsid w:val="001770A7"/>
    <w:rsid w:val="001770E4"/>
    <w:rsid w:val="0017720E"/>
    <w:rsid w:val="001772CC"/>
    <w:rsid w:val="00177893"/>
    <w:rsid w:val="00177C07"/>
    <w:rsid w:val="00180217"/>
    <w:rsid w:val="00180631"/>
    <w:rsid w:val="00180905"/>
    <w:rsid w:val="00180E52"/>
    <w:rsid w:val="00180F7B"/>
    <w:rsid w:val="00180FB9"/>
    <w:rsid w:val="001810B7"/>
    <w:rsid w:val="0018141A"/>
    <w:rsid w:val="00181794"/>
    <w:rsid w:val="00182339"/>
    <w:rsid w:val="0018246C"/>
    <w:rsid w:val="0018276D"/>
    <w:rsid w:val="00182D7E"/>
    <w:rsid w:val="00182EFA"/>
    <w:rsid w:val="0018321C"/>
    <w:rsid w:val="00183413"/>
    <w:rsid w:val="0018373E"/>
    <w:rsid w:val="001839C0"/>
    <w:rsid w:val="00183A87"/>
    <w:rsid w:val="00183AAF"/>
    <w:rsid w:val="00183C07"/>
    <w:rsid w:val="00183CAF"/>
    <w:rsid w:val="00184221"/>
    <w:rsid w:val="0018443E"/>
    <w:rsid w:val="00184809"/>
    <w:rsid w:val="0018490C"/>
    <w:rsid w:val="0018507C"/>
    <w:rsid w:val="001853A6"/>
    <w:rsid w:val="00185B7C"/>
    <w:rsid w:val="00185BAE"/>
    <w:rsid w:val="00185C35"/>
    <w:rsid w:val="00186307"/>
    <w:rsid w:val="001863F7"/>
    <w:rsid w:val="00186479"/>
    <w:rsid w:val="00186A63"/>
    <w:rsid w:val="00186EBC"/>
    <w:rsid w:val="00186F6C"/>
    <w:rsid w:val="00186FE6"/>
    <w:rsid w:val="00187362"/>
    <w:rsid w:val="00187702"/>
    <w:rsid w:val="00187AA1"/>
    <w:rsid w:val="00187CEE"/>
    <w:rsid w:val="001904C2"/>
    <w:rsid w:val="0019110B"/>
    <w:rsid w:val="00191130"/>
    <w:rsid w:val="00191188"/>
    <w:rsid w:val="0019164B"/>
    <w:rsid w:val="001916C0"/>
    <w:rsid w:val="0019171B"/>
    <w:rsid w:val="00191B1A"/>
    <w:rsid w:val="00191DAB"/>
    <w:rsid w:val="001922E7"/>
    <w:rsid w:val="0019306B"/>
    <w:rsid w:val="001933CD"/>
    <w:rsid w:val="0019349D"/>
    <w:rsid w:val="00193C16"/>
    <w:rsid w:val="0019433C"/>
    <w:rsid w:val="001945C3"/>
    <w:rsid w:val="00194B64"/>
    <w:rsid w:val="00194BC6"/>
    <w:rsid w:val="00195201"/>
    <w:rsid w:val="00195263"/>
    <w:rsid w:val="001952BB"/>
    <w:rsid w:val="001953D1"/>
    <w:rsid w:val="0019585A"/>
    <w:rsid w:val="00195C01"/>
    <w:rsid w:val="00195DA4"/>
    <w:rsid w:val="001968C2"/>
    <w:rsid w:val="001969A4"/>
    <w:rsid w:val="00196BE4"/>
    <w:rsid w:val="00196F03"/>
    <w:rsid w:val="00196F66"/>
    <w:rsid w:val="001972E8"/>
    <w:rsid w:val="001975E2"/>
    <w:rsid w:val="00197682"/>
    <w:rsid w:val="001979E6"/>
    <w:rsid w:val="00197CF8"/>
    <w:rsid w:val="00197D31"/>
    <w:rsid w:val="001A0142"/>
    <w:rsid w:val="001A06DB"/>
    <w:rsid w:val="001A0B75"/>
    <w:rsid w:val="001A0D32"/>
    <w:rsid w:val="001A0E95"/>
    <w:rsid w:val="001A1195"/>
    <w:rsid w:val="001A1299"/>
    <w:rsid w:val="001A13BF"/>
    <w:rsid w:val="001A1B89"/>
    <w:rsid w:val="001A20DC"/>
    <w:rsid w:val="001A235C"/>
    <w:rsid w:val="001A270B"/>
    <w:rsid w:val="001A3161"/>
    <w:rsid w:val="001A35FB"/>
    <w:rsid w:val="001A3B5B"/>
    <w:rsid w:val="001A3DC9"/>
    <w:rsid w:val="001A4603"/>
    <w:rsid w:val="001A478B"/>
    <w:rsid w:val="001A4A0E"/>
    <w:rsid w:val="001A4BA0"/>
    <w:rsid w:val="001A508B"/>
    <w:rsid w:val="001A576E"/>
    <w:rsid w:val="001A6659"/>
    <w:rsid w:val="001A66FA"/>
    <w:rsid w:val="001A717D"/>
    <w:rsid w:val="001A731A"/>
    <w:rsid w:val="001A738D"/>
    <w:rsid w:val="001A76F3"/>
    <w:rsid w:val="001A7EEB"/>
    <w:rsid w:val="001B00CE"/>
    <w:rsid w:val="001B00DD"/>
    <w:rsid w:val="001B01C2"/>
    <w:rsid w:val="001B0D50"/>
    <w:rsid w:val="001B1260"/>
    <w:rsid w:val="001B12A9"/>
    <w:rsid w:val="001B14D8"/>
    <w:rsid w:val="001B1892"/>
    <w:rsid w:val="001B197F"/>
    <w:rsid w:val="001B1BAD"/>
    <w:rsid w:val="001B1C0F"/>
    <w:rsid w:val="001B1D75"/>
    <w:rsid w:val="001B2429"/>
    <w:rsid w:val="001B2630"/>
    <w:rsid w:val="001B26A9"/>
    <w:rsid w:val="001B28C4"/>
    <w:rsid w:val="001B2E06"/>
    <w:rsid w:val="001B3313"/>
    <w:rsid w:val="001B3558"/>
    <w:rsid w:val="001B37FE"/>
    <w:rsid w:val="001B388B"/>
    <w:rsid w:val="001B39C0"/>
    <w:rsid w:val="001B3CE7"/>
    <w:rsid w:val="001B4182"/>
    <w:rsid w:val="001B50F0"/>
    <w:rsid w:val="001B5433"/>
    <w:rsid w:val="001B585B"/>
    <w:rsid w:val="001B5ACB"/>
    <w:rsid w:val="001B5B6B"/>
    <w:rsid w:val="001B5D05"/>
    <w:rsid w:val="001B5D97"/>
    <w:rsid w:val="001B5E2C"/>
    <w:rsid w:val="001B5ECD"/>
    <w:rsid w:val="001B6054"/>
    <w:rsid w:val="001B6161"/>
    <w:rsid w:val="001B6209"/>
    <w:rsid w:val="001B6247"/>
    <w:rsid w:val="001B6389"/>
    <w:rsid w:val="001B64ED"/>
    <w:rsid w:val="001B65D8"/>
    <w:rsid w:val="001B6718"/>
    <w:rsid w:val="001B6C9F"/>
    <w:rsid w:val="001B6EA8"/>
    <w:rsid w:val="001B7034"/>
    <w:rsid w:val="001B72FD"/>
    <w:rsid w:val="001B7478"/>
    <w:rsid w:val="001B7B01"/>
    <w:rsid w:val="001B7DA7"/>
    <w:rsid w:val="001B7EFF"/>
    <w:rsid w:val="001C04CC"/>
    <w:rsid w:val="001C051E"/>
    <w:rsid w:val="001C06AA"/>
    <w:rsid w:val="001C0BE2"/>
    <w:rsid w:val="001C0F47"/>
    <w:rsid w:val="001C118C"/>
    <w:rsid w:val="001C19AC"/>
    <w:rsid w:val="001C1B09"/>
    <w:rsid w:val="001C1C5F"/>
    <w:rsid w:val="001C2323"/>
    <w:rsid w:val="001C2678"/>
    <w:rsid w:val="001C28CD"/>
    <w:rsid w:val="001C2CF7"/>
    <w:rsid w:val="001C37DD"/>
    <w:rsid w:val="001C3AD4"/>
    <w:rsid w:val="001C40A1"/>
    <w:rsid w:val="001C40C2"/>
    <w:rsid w:val="001C41CB"/>
    <w:rsid w:val="001C45A5"/>
    <w:rsid w:val="001C4640"/>
    <w:rsid w:val="001C470B"/>
    <w:rsid w:val="001C4F4D"/>
    <w:rsid w:val="001C5D08"/>
    <w:rsid w:val="001C5D25"/>
    <w:rsid w:val="001C6039"/>
    <w:rsid w:val="001C6080"/>
    <w:rsid w:val="001C66C4"/>
    <w:rsid w:val="001C69D7"/>
    <w:rsid w:val="001C6CFF"/>
    <w:rsid w:val="001C73FE"/>
    <w:rsid w:val="001C7497"/>
    <w:rsid w:val="001C796E"/>
    <w:rsid w:val="001C7A00"/>
    <w:rsid w:val="001C7AFD"/>
    <w:rsid w:val="001C7D17"/>
    <w:rsid w:val="001C7D1B"/>
    <w:rsid w:val="001C7F73"/>
    <w:rsid w:val="001D086B"/>
    <w:rsid w:val="001D0ECF"/>
    <w:rsid w:val="001D1074"/>
    <w:rsid w:val="001D1700"/>
    <w:rsid w:val="001D20F0"/>
    <w:rsid w:val="001D242F"/>
    <w:rsid w:val="001D259F"/>
    <w:rsid w:val="001D2AB4"/>
    <w:rsid w:val="001D33EF"/>
    <w:rsid w:val="001D3A31"/>
    <w:rsid w:val="001D4681"/>
    <w:rsid w:val="001D46DF"/>
    <w:rsid w:val="001D49F5"/>
    <w:rsid w:val="001D52C1"/>
    <w:rsid w:val="001D5ABB"/>
    <w:rsid w:val="001D5D47"/>
    <w:rsid w:val="001D5DE3"/>
    <w:rsid w:val="001D639E"/>
    <w:rsid w:val="001D6AAA"/>
    <w:rsid w:val="001D6C61"/>
    <w:rsid w:val="001D6D68"/>
    <w:rsid w:val="001D6F1D"/>
    <w:rsid w:val="001D7022"/>
    <w:rsid w:val="001D7211"/>
    <w:rsid w:val="001D7293"/>
    <w:rsid w:val="001D7325"/>
    <w:rsid w:val="001D73F7"/>
    <w:rsid w:val="001D75F2"/>
    <w:rsid w:val="001D7710"/>
    <w:rsid w:val="001D7CF1"/>
    <w:rsid w:val="001E0924"/>
    <w:rsid w:val="001E0994"/>
    <w:rsid w:val="001E0B0D"/>
    <w:rsid w:val="001E1517"/>
    <w:rsid w:val="001E1827"/>
    <w:rsid w:val="001E1CE7"/>
    <w:rsid w:val="001E2395"/>
    <w:rsid w:val="001E25EC"/>
    <w:rsid w:val="001E25FC"/>
    <w:rsid w:val="001E2860"/>
    <w:rsid w:val="001E2C79"/>
    <w:rsid w:val="001E2D2E"/>
    <w:rsid w:val="001E2ED8"/>
    <w:rsid w:val="001E302C"/>
    <w:rsid w:val="001E3D6E"/>
    <w:rsid w:val="001E4315"/>
    <w:rsid w:val="001E45BB"/>
    <w:rsid w:val="001E4E98"/>
    <w:rsid w:val="001E5896"/>
    <w:rsid w:val="001E5918"/>
    <w:rsid w:val="001E5B12"/>
    <w:rsid w:val="001E62CE"/>
    <w:rsid w:val="001E64F3"/>
    <w:rsid w:val="001E665E"/>
    <w:rsid w:val="001E6E53"/>
    <w:rsid w:val="001E71F1"/>
    <w:rsid w:val="001E7848"/>
    <w:rsid w:val="001E7A24"/>
    <w:rsid w:val="001E7E59"/>
    <w:rsid w:val="001E7ED8"/>
    <w:rsid w:val="001E7EE3"/>
    <w:rsid w:val="001F00D7"/>
    <w:rsid w:val="001F056E"/>
    <w:rsid w:val="001F073C"/>
    <w:rsid w:val="001F0845"/>
    <w:rsid w:val="001F0900"/>
    <w:rsid w:val="001F0D0A"/>
    <w:rsid w:val="001F0DCE"/>
    <w:rsid w:val="001F1135"/>
    <w:rsid w:val="001F1C56"/>
    <w:rsid w:val="001F1D31"/>
    <w:rsid w:val="001F1F50"/>
    <w:rsid w:val="001F22CE"/>
    <w:rsid w:val="001F28E6"/>
    <w:rsid w:val="001F2912"/>
    <w:rsid w:val="001F2B7A"/>
    <w:rsid w:val="001F2F47"/>
    <w:rsid w:val="001F36DC"/>
    <w:rsid w:val="001F3929"/>
    <w:rsid w:val="001F393A"/>
    <w:rsid w:val="001F3F1F"/>
    <w:rsid w:val="001F41F1"/>
    <w:rsid w:val="001F462B"/>
    <w:rsid w:val="001F481C"/>
    <w:rsid w:val="001F4F9A"/>
    <w:rsid w:val="001F5016"/>
    <w:rsid w:val="001F519E"/>
    <w:rsid w:val="001F5863"/>
    <w:rsid w:val="001F5EE5"/>
    <w:rsid w:val="001F5FA5"/>
    <w:rsid w:val="001F6896"/>
    <w:rsid w:val="001F68D2"/>
    <w:rsid w:val="001F74BC"/>
    <w:rsid w:val="001F7725"/>
    <w:rsid w:val="001F7CF1"/>
    <w:rsid w:val="001F7F7E"/>
    <w:rsid w:val="001F7FA1"/>
    <w:rsid w:val="00200296"/>
    <w:rsid w:val="002005C5"/>
    <w:rsid w:val="002008AE"/>
    <w:rsid w:val="00200F9E"/>
    <w:rsid w:val="00201025"/>
    <w:rsid w:val="0020164E"/>
    <w:rsid w:val="002018EB"/>
    <w:rsid w:val="002019B8"/>
    <w:rsid w:val="00201ADB"/>
    <w:rsid w:val="00201BC7"/>
    <w:rsid w:val="00201D53"/>
    <w:rsid w:val="00201F6A"/>
    <w:rsid w:val="00202084"/>
    <w:rsid w:val="002021B2"/>
    <w:rsid w:val="00202993"/>
    <w:rsid w:val="00202B61"/>
    <w:rsid w:val="0020344C"/>
    <w:rsid w:val="00203D8B"/>
    <w:rsid w:val="00203FBD"/>
    <w:rsid w:val="002041D1"/>
    <w:rsid w:val="00204382"/>
    <w:rsid w:val="0020471C"/>
    <w:rsid w:val="00204B6C"/>
    <w:rsid w:val="00204D5B"/>
    <w:rsid w:val="00204FDC"/>
    <w:rsid w:val="00205071"/>
    <w:rsid w:val="0020510A"/>
    <w:rsid w:val="002054D0"/>
    <w:rsid w:val="002054DF"/>
    <w:rsid w:val="002055B0"/>
    <w:rsid w:val="002055D7"/>
    <w:rsid w:val="0020565A"/>
    <w:rsid w:val="002058E5"/>
    <w:rsid w:val="002058F3"/>
    <w:rsid w:val="00205F36"/>
    <w:rsid w:val="00205F99"/>
    <w:rsid w:val="0020608D"/>
    <w:rsid w:val="00206392"/>
    <w:rsid w:val="00206C77"/>
    <w:rsid w:val="00206DB1"/>
    <w:rsid w:val="0020744E"/>
    <w:rsid w:val="002078F8"/>
    <w:rsid w:val="00207C52"/>
    <w:rsid w:val="00207C71"/>
    <w:rsid w:val="00210280"/>
    <w:rsid w:val="002104C4"/>
    <w:rsid w:val="0021071A"/>
    <w:rsid w:val="00210771"/>
    <w:rsid w:val="00210FAA"/>
    <w:rsid w:val="00211010"/>
    <w:rsid w:val="002110C8"/>
    <w:rsid w:val="00211265"/>
    <w:rsid w:val="00211340"/>
    <w:rsid w:val="00211B23"/>
    <w:rsid w:val="00211F51"/>
    <w:rsid w:val="002122CE"/>
    <w:rsid w:val="00212DA3"/>
    <w:rsid w:val="002134EE"/>
    <w:rsid w:val="00213EA6"/>
    <w:rsid w:val="00214438"/>
    <w:rsid w:val="00214CFF"/>
    <w:rsid w:val="00214EA5"/>
    <w:rsid w:val="00215787"/>
    <w:rsid w:val="00215A8D"/>
    <w:rsid w:val="00215B63"/>
    <w:rsid w:val="00215BE6"/>
    <w:rsid w:val="00215D32"/>
    <w:rsid w:val="002165E1"/>
    <w:rsid w:val="00216742"/>
    <w:rsid w:val="00216816"/>
    <w:rsid w:val="00216CD4"/>
    <w:rsid w:val="00216D3A"/>
    <w:rsid w:val="002179EB"/>
    <w:rsid w:val="002205E6"/>
    <w:rsid w:val="002205EB"/>
    <w:rsid w:val="00220903"/>
    <w:rsid w:val="00220E87"/>
    <w:rsid w:val="00220FE5"/>
    <w:rsid w:val="0022112C"/>
    <w:rsid w:val="00221281"/>
    <w:rsid w:val="0022174B"/>
    <w:rsid w:val="00221820"/>
    <w:rsid w:val="00221983"/>
    <w:rsid w:val="00221C04"/>
    <w:rsid w:val="002220AD"/>
    <w:rsid w:val="002220B6"/>
    <w:rsid w:val="0022222A"/>
    <w:rsid w:val="00222240"/>
    <w:rsid w:val="0022254D"/>
    <w:rsid w:val="0022282D"/>
    <w:rsid w:val="00222C06"/>
    <w:rsid w:val="00223152"/>
    <w:rsid w:val="0022316E"/>
    <w:rsid w:val="00223282"/>
    <w:rsid w:val="0022329F"/>
    <w:rsid w:val="002234A6"/>
    <w:rsid w:val="00223829"/>
    <w:rsid w:val="002246F6"/>
    <w:rsid w:val="002250C2"/>
    <w:rsid w:val="00225226"/>
    <w:rsid w:val="0022530A"/>
    <w:rsid w:val="00225652"/>
    <w:rsid w:val="00225AF6"/>
    <w:rsid w:val="00225D88"/>
    <w:rsid w:val="00225FCB"/>
    <w:rsid w:val="00226E33"/>
    <w:rsid w:val="002271C4"/>
    <w:rsid w:val="002271E2"/>
    <w:rsid w:val="002273AD"/>
    <w:rsid w:val="00227730"/>
    <w:rsid w:val="00227D10"/>
    <w:rsid w:val="002300D6"/>
    <w:rsid w:val="00230533"/>
    <w:rsid w:val="00230A23"/>
    <w:rsid w:val="00230BAF"/>
    <w:rsid w:val="00232510"/>
    <w:rsid w:val="002325E9"/>
    <w:rsid w:val="00232DAC"/>
    <w:rsid w:val="00232E72"/>
    <w:rsid w:val="00233207"/>
    <w:rsid w:val="00233279"/>
    <w:rsid w:val="00233296"/>
    <w:rsid w:val="002333F3"/>
    <w:rsid w:val="00233714"/>
    <w:rsid w:val="00233AF4"/>
    <w:rsid w:val="00233B8E"/>
    <w:rsid w:val="00233F1F"/>
    <w:rsid w:val="002340D4"/>
    <w:rsid w:val="00234110"/>
    <w:rsid w:val="002341D4"/>
    <w:rsid w:val="00234259"/>
    <w:rsid w:val="002345F2"/>
    <w:rsid w:val="00234A4B"/>
    <w:rsid w:val="00234C73"/>
    <w:rsid w:val="0023501F"/>
    <w:rsid w:val="002354BF"/>
    <w:rsid w:val="0023571A"/>
    <w:rsid w:val="002359E3"/>
    <w:rsid w:val="00235C8B"/>
    <w:rsid w:val="00236156"/>
    <w:rsid w:val="00236168"/>
    <w:rsid w:val="0023624C"/>
    <w:rsid w:val="0023624E"/>
    <w:rsid w:val="002363A0"/>
    <w:rsid w:val="002364B8"/>
    <w:rsid w:val="0023663E"/>
    <w:rsid w:val="002373F8"/>
    <w:rsid w:val="0023783E"/>
    <w:rsid w:val="00237F09"/>
    <w:rsid w:val="00240051"/>
    <w:rsid w:val="00240444"/>
    <w:rsid w:val="0024108F"/>
    <w:rsid w:val="002411F9"/>
    <w:rsid w:val="00241463"/>
    <w:rsid w:val="002419D6"/>
    <w:rsid w:val="00242050"/>
    <w:rsid w:val="002425EA"/>
    <w:rsid w:val="0024260B"/>
    <w:rsid w:val="00242BC3"/>
    <w:rsid w:val="00242C00"/>
    <w:rsid w:val="00242EA0"/>
    <w:rsid w:val="0024354F"/>
    <w:rsid w:val="00243607"/>
    <w:rsid w:val="00243685"/>
    <w:rsid w:val="00243C83"/>
    <w:rsid w:val="00243E2D"/>
    <w:rsid w:val="00243F24"/>
    <w:rsid w:val="0024459C"/>
    <w:rsid w:val="002448C0"/>
    <w:rsid w:val="00244A00"/>
    <w:rsid w:val="00245050"/>
    <w:rsid w:val="0024540A"/>
    <w:rsid w:val="002456A1"/>
    <w:rsid w:val="002459D3"/>
    <w:rsid w:val="00245AD1"/>
    <w:rsid w:val="00245AD9"/>
    <w:rsid w:val="00245BCD"/>
    <w:rsid w:val="002460BA"/>
    <w:rsid w:val="00246BDF"/>
    <w:rsid w:val="00246ECC"/>
    <w:rsid w:val="002470BB"/>
    <w:rsid w:val="00247237"/>
    <w:rsid w:val="00247BE8"/>
    <w:rsid w:val="00250365"/>
    <w:rsid w:val="00250FBD"/>
    <w:rsid w:val="0025112D"/>
    <w:rsid w:val="00251168"/>
    <w:rsid w:val="00251476"/>
    <w:rsid w:val="0025147D"/>
    <w:rsid w:val="00251E87"/>
    <w:rsid w:val="002522FC"/>
    <w:rsid w:val="0025237B"/>
    <w:rsid w:val="002523BF"/>
    <w:rsid w:val="002526AD"/>
    <w:rsid w:val="00252859"/>
    <w:rsid w:val="00252C8F"/>
    <w:rsid w:val="00252D61"/>
    <w:rsid w:val="00252F39"/>
    <w:rsid w:val="002530DE"/>
    <w:rsid w:val="002530E7"/>
    <w:rsid w:val="002532B4"/>
    <w:rsid w:val="0025374A"/>
    <w:rsid w:val="00253922"/>
    <w:rsid w:val="00253CC6"/>
    <w:rsid w:val="00253F36"/>
    <w:rsid w:val="002541DE"/>
    <w:rsid w:val="00254637"/>
    <w:rsid w:val="0025467F"/>
    <w:rsid w:val="002546FB"/>
    <w:rsid w:val="00254704"/>
    <w:rsid w:val="0025487C"/>
    <w:rsid w:val="00254AE2"/>
    <w:rsid w:val="00254E15"/>
    <w:rsid w:val="00254EEB"/>
    <w:rsid w:val="00254F0B"/>
    <w:rsid w:val="00254F66"/>
    <w:rsid w:val="002552A8"/>
    <w:rsid w:val="0025551D"/>
    <w:rsid w:val="002557A0"/>
    <w:rsid w:val="002558F1"/>
    <w:rsid w:val="00255988"/>
    <w:rsid w:val="0025613F"/>
    <w:rsid w:val="00256278"/>
    <w:rsid w:val="0025643D"/>
    <w:rsid w:val="00256FE5"/>
    <w:rsid w:val="00257012"/>
    <w:rsid w:val="00257327"/>
    <w:rsid w:val="0025762F"/>
    <w:rsid w:val="00257669"/>
    <w:rsid w:val="00257B1E"/>
    <w:rsid w:val="00257C43"/>
    <w:rsid w:val="00257F5F"/>
    <w:rsid w:val="00257F91"/>
    <w:rsid w:val="0026014A"/>
    <w:rsid w:val="00260316"/>
    <w:rsid w:val="0026031B"/>
    <w:rsid w:val="0026054E"/>
    <w:rsid w:val="00260A1D"/>
    <w:rsid w:val="00260CB3"/>
    <w:rsid w:val="00260CF9"/>
    <w:rsid w:val="00261471"/>
    <w:rsid w:val="00261BA6"/>
    <w:rsid w:val="00261DC6"/>
    <w:rsid w:val="00262060"/>
    <w:rsid w:val="002623FB"/>
    <w:rsid w:val="00262C13"/>
    <w:rsid w:val="00262E3F"/>
    <w:rsid w:val="00262E4C"/>
    <w:rsid w:val="002632F1"/>
    <w:rsid w:val="002637FA"/>
    <w:rsid w:val="00263A45"/>
    <w:rsid w:val="00263B5D"/>
    <w:rsid w:val="00264623"/>
    <w:rsid w:val="00264773"/>
    <w:rsid w:val="002649BF"/>
    <w:rsid w:val="00264AE1"/>
    <w:rsid w:val="00264B29"/>
    <w:rsid w:val="00264E52"/>
    <w:rsid w:val="00264F20"/>
    <w:rsid w:val="002651FC"/>
    <w:rsid w:val="002654BB"/>
    <w:rsid w:val="00265933"/>
    <w:rsid w:val="00265BDC"/>
    <w:rsid w:val="00265D1F"/>
    <w:rsid w:val="00265EEE"/>
    <w:rsid w:val="002661AD"/>
    <w:rsid w:val="002664C3"/>
    <w:rsid w:val="002665B3"/>
    <w:rsid w:val="00266B99"/>
    <w:rsid w:val="00267496"/>
    <w:rsid w:val="00270168"/>
    <w:rsid w:val="0027075B"/>
    <w:rsid w:val="00270899"/>
    <w:rsid w:val="00270AC6"/>
    <w:rsid w:val="00270BA2"/>
    <w:rsid w:val="00270BBC"/>
    <w:rsid w:val="00270EC5"/>
    <w:rsid w:val="00271139"/>
    <w:rsid w:val="00271381"/>
    <w:rsid w:val="00271537"/>
    <w:rsid w:val="002715E7"/>
    <w:rsid w:val="00271BD7"/>
    <w:rsid w:val="00272C77"/>
    <w:rsid w:val="00273186"/>
    <w:rsid w:val="002731D7"/>
    <w:rsid w:val="0027331C"/>
    <w:rsid w:val="00273459"/>
    <w:rsid w:val="0027358E"/>
    <w:rsid w:val="002747EB"/>
    <w:rsid w:val="00274E6B"/>
    <w:rsid w:val="00275037"/>
    <w:rsid w:val="0027575E"/>
    <w:rsid w:val="002757FC"/>
    <w:rsid w:val="002759D2"/>
    <w:rsid w:val="00276A4D"/>
    <w:rsid w:val="00276C8A"/>
    <w:rsid w:val="00276C8F"/>
    <w:rsid w:val="00277352"/>
    <w:rsid w:val="00277566"/>
    <w:rsid w:val="002777BB"/>
    <w:rsid w:val="00277D40"/>
    <w:rsid w:val="002801F4"/>
    <w:rsid w:val="00280321"/>
    <w:rsid w:val="002805BA"/>
    <w:rsid w:val="00280B09"/>
    <w:rsid w:val="00280B5B"/>
    <w:rsid w:val="00280D8D"/>
    <w:rsid w:val="00280E59"/>
    <w:rsid w:val="002816AE"/>
    <w:rsid w:val="00281708"/>
    <w:rsid w:val="0028195C"/>
    <w:rsid w:val="00281CAE"/>
    <w:rsid w:val="00281DCF"/>
    <w:rsid w:val="00282356"/>
    <w:rsid w:val="00282A13"/>
    <w:rsid w:val="00282CBA"/>
    <w:rsid w:val="00283238"/>
    <w:rsid w:val="0028325F"/>
    <w:rsid w:val="002836DF"/>
    <w:rsid w:val="002839AB"/>
    <w:rsid w:val="00283C7D"/>
    <w:rsid w:val="002840A1"/>
    <w:rsid w:val="002845DD"/>
    <w:rsid w:val="00284709"/>
    <w:rsid w:val="00284989"/>
    <w:rsid w:val="00284C29"/>
    <w:rsid w:val="00284C98"/>
    <w:rsid w:val="00285775"/>
    <w:rsid w:val="00285ACB"/>
    <w:rsid w:val="00285D32"/>
    <w:rsid w:val="002861AB"/>
    <w:rsid w:val="002863B9"/>
    <w:rsid w:val="00286E76"/>
    <w:rsid w:val="0028704D"/>
    <w:rsid w:val="00287596"/>
    <w:rsid w:val="0028777E"/>
    <w:rsid w:val="00287DE8"/>
    <w:rsid w:val="00287E1E"/>
    <w:rsid w:val="00287E9C"/>
    <w:rsid w:val="002909E8"/>
    <w:rsid w:val="00290F44"/>
    <w:rsid w:val="00290F97"/>
    <w:rsid w:val="00291004"/>
    <w:rsid w:val="00291018"/>
    <w:rsid w:val="002912AC"/>
    <w:rsid w:val="00291576"/>
    <w:rsid w:val="0029177F"/>
    <w:rsid w:val="00291928"/>
    <w:rsid w:val="0029220A"/>
    <w:rsid w:val="002923DF"/>
    <w:rsid w:val="0029289C"/>
    <w:rsid w:val="002928F4"/>
    <w:rsid w:val="00292923"/>
    <w:rsid w:val="00292DE9"/>
    <w:rsid w:val="00293431"/>
    <w:rsid w:val="00293818"/>
    <w:rsid w:val="0029394D"/>
    <w:rsid w:val="00293A1D"/>
    <w:rsid w:val="00293C37"/>
    <w:rsid w:val="00293D47"/>
    <w:rsid w:val="002946E6"/>
    <w:rsid w:val="00294BD9"/>
    <w:rsid w:val="00294FE0"/>
    <w:rsid w:val="00295078"/>
    <w:rsid w:val="002958BE"/>
    <w:rsid w:val="00295E76"/>
    <w:rsid w:val="00295F94"/>
    <w:rsid w:val="002960DA"/>
    <w:rsid w:val="002961B3"/>
    <w:rsid w:val="00296A5F"/>
    <w:rsid w:val="00296A64"/>
    <w:rsid w:val="00296D5D"/>
    <w:rsid w:val="002972A3"/>
    <w:rsid w:val="002974F2"/>
    <w:rsid w:val="00297730"/>
    <w:rsid w:val="002977D0"/>
    <w:rsid w:val="00297BB1"/>
    <w:rsid w:val="002A0197"/>
    <w:rsid w:val="002A08AE"/>
    <w:rsid w:val="002A1185"/>
    <w:rsid w:val="002A1EB0"/>
    <w:rsid w:val="002A2035"/>
    <w:rsid w:val="002A25AF"/>
    <w:rsid w:val="002A27D2"/>
    <w:rsid w:val="002A2A4D"/>
    <w:rsid w:val="002A2C50"/>
    <w:rsid w:val="002A2DC9"/>
    <w:rsid w:val="002A3036"/>
    <w:rsid w:val="002A34CC"/>
    <w:rsid w:val="002A3811"/>
    <w:rsid w:val="002A391F"/>
    <w:rsid w:val="002A3D4B"/>
    <w:rsid w:val="002A4103"/>
    <w:rsid w:val="002A4171"/>
    <w:rsid w:val="002A4207"/>
    <w:rsid w:val="002A4503"/>
    <w:rsid w:val="002A4F4C"/>
    <w:rsid w:val="002A4FD7"/>
    <w:rsid w:val="002A500B"/>
    <w:rsid w:val="002A511B"/>
    <w:rsid w:val="002A5A12"/>
    <w:rsid w:val="002A5A7B"/>
    <w:rsid w:val="002A6017"/>
    <w:rsid w:val="002A6471"/>
    <w:rsid w:val="002A6477"/>
    <w:rsid w:val="002A64A7"/>
    <w:rsid w:val="002A68DC"/>
    <w:rsid w:val="002A6DB0"/>
    <w:rsid w:val="002A6EFF"/>
    <w:rsid w:val="002A6F90"/>
    <w:rsid w:val="002A7321"/>
    <w:rsid w:val="002A7722"/>
    <w:rsid w:val="002A7897"/>
    <w:rsid w:val="002A78B6"/>
    <w:rsid w:val="002A78B9"/>
    <w:rsid w:val="002A791D"/>
    <w:rsid w:val="002B05B8"/>
    <w:rsid w:val="002B0A3C"/>
    <w:rsid w:val="002B123B"/>
    <w:rsid w:val="002B1428"/>
    <w:rsid w:val="002B199F"/>
    <w:rsid w:val="002B21C0"/>
    <w:rsid w:val="002B2662"/>
    <w:rsid w:val="002B26B0"/>
    <w:rsid w:val="002B27F9"/>
    <w:rsid w:val="002B28CD"/>
    <w:rsid w:val="002B29CB"/>
    <w:rsid w:val="002B2B88"/>
    <w:rsid w:val="002B2C43"/>
    <w:rsid w:val="002B306A"/>
    <w:rsid w:val="002B3091"/>
    <w:rsid w:val="002B30AC"/>
    <w:rsid w:val="002B3451"/>
    <w:rsid w:val="002B3BFB"/>
    <w:rsid w:val="002B3CD8"/>
    <w:rsid w:val="002B46D4"/>
    <w:rsid w:val="002B4941"/>
    <w:rsid w:val="002B49B4"/>
    <w:rsid w:val="002B4FB6"/>
    <w:rsid w:val="002B529F"/>
    <w:rsid w:val="002B5584"/>
    <w:rsid w:val="002B5929"/>
    <w:rsid w:val="002B5B68"/>
    <w:rsid w:val="002B5BEB"/>
    <w:rsid w:val="002B5CE0"/>
    <w:rsid w:val="002B5D74"/>
    <w:rsid w:val="002B5D8A"/>
    <w:rsid w:val="002B5E6D"/>
    <w:rsid w:val="002B67CA"/>
    <w:rsid w:val="002B6817"/>
    <w:rsid w:val="002B6971"/>
    <w:rsid w:val="002B6C2A"/>
    <w:rsid w:val="002B6CC6"/>
    <w:rsid w:val="002B707D"/>
    <w:rsid w:val="002B7270"/>
    <w:rsid w:val="002B72AB"/>
    <w:rsid w:val="002B7302"/>
    <w:rsid w:val="002B767D"/>
    <w:rsid w:val="002B7ADB"/>
    <w:rsid w:val="002B7F36"/>
    <w:rsid w:val="002C00F5"/>
    <w:rsid w:val="002C0511"/>
    <w:rsid w:val="002C0F26"/>
    <w:rsid w:val="002C1543"/>
    <w:rsid w:val="002C17C7"/>
    <w:rsid w:val="002C1BBC"/>
    <w:rsid w:val="002C1D2F"/>
    <w:rsid w:val="002C2154"/>
    <w:rsid w:val="002C247C"/>
    <w:rsid w:val="002C2731"/>
    <w:rsid w:val="002C3381"/>
    <w:rsid w:val="002C349E"/>
    <w:rsid w:val="002C34C6"/>
    <w:rsid w:val="002C4DE0"/>
    <w:rsid w:val="002C578A"/>
    <w:rsid w:val="002C578C"/>
    <w:rsid w:val="002C5BFD"/>
    <w:rsid w:val="002C618A"/>
    <w:rsid w:val="002C6342"/>
    <w:rsid w:val="002C6456"/>
    <w:rsid w:val="002C664A"/>
    <w:rsid w:val="002C6907"/>
    <w:rsid w:val="002C6DA5"/>
    <w:rsid w:val="002C7069"/>
    <w:rsid w:val="002C719E"/>
    <w:rsid w:val="002C73A2"/>
    <w:rsid w:val="002C7B11"/>
    <w:rsid w:val="002C7B88"/>
    <w:rsid w:val="002C7C13"/>
    <w:rsid w:val="002D00ED"/>
    <w:rsid w:val="002D06C1"/>
    <w:rsid w:val="002D0B93"/>
    <w:rsid w:val="002D0CF4"/>
    <w:rsid w:val="002D0EE1"/>
    <w:rsid w:val="002D0EF2"/>
    <w:rsid w:val="002D1242"/>
    <w:rsid w:val="002D12E0"/>
    <w:rsid w:val="002D1F27"/>
    <w:rsid w:val="002D1FBD"/>
    <w:rsid w:val="002D1FCA"/>
    <w:rsid w:val="002D208C"/>
    <w:rsid w:val="002D20F9"/>
    <w:rsid w:val="002D230A"/>
    <w:rsid w:val="002D23E6"/>
    <w:rsid w:val="002D24AC"/>
    <w:rsid w:val="002D2768"/>
    <w:rsid w:val="002D2FCA"/>
    <w:rsid w:val="002D3374"/>
    <w:rsid w:val="002D34CE"/>
    <w:rsid w:val="002D37CF"/>
    <w:rsid w:val="002D3901"/>
    <w:rsid w:val="002D3A0E"/>
    <w:rsid w:val="002D3D08"/>
    <w:rsid w:val="002D3EE2"/>
    <w:rsid w:val="002D4334"/>
    <w:rsid w:val="002D4AA7"/>
    <w:rsid w:val="002D4BD8"/>
    <w:rsid w:val="002D5192"/>
    <w:rsid w:val="002D6044"/>
    <w:rsid w:val="002D637D"/>
    <w:rsid w:val="002D6C17"/>
    <w:rsid w:val="002D6CDF"/>
    <w:rsid w:val="002D7823"/>
    <w:rsid w:val="002D7CCA"/>
    <w:rsid w:val="002E0407"/>
    <w:rsid w:val="002E04E5"/>
    <w:rsid w:val="002E0513"/>
    <w:rsid w:val="002E0889"/>
    <w:rsid w:val="002E0983"/>
    <w:rsid w:val="002E0E68"/>
    <w:rsid w:val="002E154C"/>
    <w:rsid w:val="002E1562"/>
    <w:rsid w:val="002E16CB"/>
    <w:rsid w:val="002E18EF"/>
    <w:rsid w:val="002E2522"/>
    <w:rsid w:val="002E2824"/>
    <w:rsid w:val="002E2ACE"/>
    <w:rsid w:val="002E2E45"/>
    <w:rsid w:val="002E2F5A"/>
    <w:rsid w:val="002E35EE"/>
    <w:rsid w:val="002E389F"/>
    <w:rsid w:val="002E3B4A"/>
    <w:rsid w:val="002E3F2F"/>
    <w:rsid w:val="002E4293"/>
    <w:rsid w:val="002E496D"/>
    <w:rsid w:val="002E4BA9"/>
    <w:rsid w:val="002E4C2D"/>
    <w:rsid w:val="002E517B"/>
    <w:rsid w:val="002E5285"/>
    <w:rsid w:val="002E5DDE"/>
    <w:rsid w:val="002E5DEA"/>
    <w:rsid w:val="002E5E33"/>
    <w:rsid w:val="002E5EE1"/>
    <w:rsid w:val="002E61B3"/>
    <w:rsid w:val="002E64D0"/>
    <w:rsid w:val="002E66A0"/>
    <w:rsid w:val="002E6CBB"/>
    <w:rsid w:val="002E724A"/>
    <w:rsid w:val="002E7668"/>
    <w:rsid w:val="002F0167"/>
    <w:rsid w:val="002F0689"/>
    <w:rsid w:val="002F078A"/>
    <w:rsid w:val="002F082A"/>
    <w:rsid w:val="002F0FD4"/>
    <w:rsid w:val="002F14EA"/>
    <w:rsid w:val="002F17AB"/>
    <w:rsid w:val="002F2014"/>
    <w:rsid w:val="002F217E"/>
    <w:rsid w:val="002F22DE"/>
    <w:rsid w:val="002F26E6"/>
    <w:rsid w:val="002F2893"/>
    <w:rsid w:val="002F311E"/>
    <w:rsid w:val="002F313A"/>
    <w:rsid w:val="002F345B"/>
    <w:rsid w:val="002F3CBD"/>
    <w:rsid w:val="002F4183"/>
    <w:rsid w:val="002F42BE"/>
    <w:rsid w:val="002F4515"/>
    <w:rsid w:val="002F48F8"/>
    <w:rsid w:val="002F4F27"/>
    <w:rsid w:val="002F500C"/>
    <w:rsid w:val="002F5109"/>
    <w:rsid w:val="002F5175"/>
    <w:rsid w:val="002F5856"/>
    <w:rsid w:val="002F5929"/>
    <w:rsid w:val="002F5FEC"/>
    <w:rsid w:val="002F6478"/>
    <w:rsid w:val="002F64F1"/>
    <w:rsid w:val="002F69E5"/>
    <w:rsid w:val="002F6B25"/>
    <w:rsid w:val="002F6E9C"/>
    <w:rsid w:val="002F71B8"/>
    <w:rsid w:val="002F71F4"/>
    <w:rsid w:val="002F745B"/>
    <w:rsid w:val="002F79D8"/>
    <w:rsid w:val="002F79E7"/>
    <w:rsid w:val="002F7A30"/>
    <w:rsid w:val="002F7C40"/>
    <w:rsid w:val="002F7F9B"/>
    <w:rsid w:val="0030036C"/>
    <w:rsid w:val="00300718"/>
    <w:rsid w:val="00301180"/>
    <w:rsid w:val="00301E18"/>
    <w:rsid w:val="00301EA1"/>
    <w:rsid w:val="00301EF0"/>
    <w:rsid w:val="00301F26"/>
    <w:rsid w:val="003026DB"/>
    <w:rsid w:val="0030276E"/>
    <w:rsid w:val="00302850"/>
    <w:rsid w:val="0030293A"/>
    <w:rsid w:val="00302CC1"/>
    <w:rsid w:val="00302FCC"/>
    <w:rsid w:val="00303069"/>
    <w:rsid w:val="0030308F"/>
    <w:rsid w:val="00303147"/>
    <w:rsid w:val="0030328B"/>
    <w:rsid w:val="00303F73"/>
    <w:rsid w:val="00304198"/>
    <w:rsid w:val="00304B60"/>
    <w:rsid w:val="00304E0F"/>
    <w:rsid w:val="003057E3"/>
    <w:rsid w:val="00305E0B"/>
    <w:rsid w:val="00305F0A"/>
    <w:rsid w:val="00305F9D"/>
    <w:rsid w:val="003061F6"/>
    <w:rsid w:val="003062AE"/>
    <w:rsid w:val="00306349"/>
    <w:rsid w:val="003065BB"/>
    <w:rsid w:val="003065BE"/>
    <w:rsid w:val="0030676A"/>
    <w:rsid w:val="0030685D"/>
    <w:rsid w:val="00306D60"/>
    <w:rsid w:val="00306E6E"/>
    <w:rsid w:val="00306F0C"/>
    <w:rsid w:val="003072EC"/>
    <w:rsid w:val="00307AE3"/>
    <w:rsid w:val="00307C4C"/>
    <w:rsid w:val="003100D0"/>
    <w:rsid w:val="0031033B"/>
    <w:rsid w:val="00310894"/>
    <w:rsid w:val="00310E37"/>
    <w:rsid w:val="00311496"/>
    <w:rsid w:val="003117BA"/>
    <w:rsid w:val="003118EE"/>
    <w:rsid w:val="00311DD0"/>
    <w:rsid w:val="003125DC"/>
    <w:rsid w:val="00312638"/>
    <w:rsid w:val="003128BF"/>
    <w:rsid w:val="00313921"/>
    <w:rsid w:val="00313A9C"/>
    <w:rsid w:val="0031413C"/>
    <w:rsid w:val="003145A2"/>
    <w:rsid w:val="0031480D"/>
    <w:rsid w:val="003149F2"/>
    <w:rsid w:val="00314BDF"/>
    <w:rsid w:val="00314BFC"/>
    <w:rsid w:val="00315514"/>
    <w:rsid w:val="003157A8"/>
    <w:rsid w:val="00315ED3"/>
    <w:rsid w:val="00316055"/>
    <w:rsid w:val="0031612F"/>
    <w:rsid w:val="00316293"/>
    <w:rsid w:val="003162EB"/>
    <w:rsid w:val="0031653E"/>
    <w:rsid w:val="00316682"/>
    <w:rsid w:val="00316799"/>
    <w:rsid w:val="00316B11"/>
    <w:rsid w:val="003170CD"/>
    <w:rsid w:val="003171A9"/>
    <w:rsid w:val="00317917"/>
    <w:rsid w:val="00317958"/>
    <w:rsid w:val="00317A1D"/>
    <w:rsid w:val="00317B53"/>
    <w:rsid w:val="00317E18"/>
    <w:rsid w:val="00320636"/>
    <w:rsid w:val="003208AE"/>
    <w:rsid w:val="00320D16"/>
    <w:rsid w:val="0032193F"/>
    <w:rsid w:val="00321F16"/>
    <w:rsid w:val="00322384"/>
    <w:rsid w:val="00322896"/>
    <w:rsid w:val="00322E28"/>
    <w:rsid w:val="00323CDD"/>
    <w:rsid w:val="00323D45"/>
    <w:rsid w:val="00324141"/>
    <w:rsid w:val="00324195"/>
    <w:rsid w:val="003241BC"/>
    <w:rsid w:val="00324350"/>
    <w:rsid w:val="00324505"/>
    <w:rsid w:val="00324694"/>
    <w:rsid w:val="0032490C"/>
    <w:rsid w:val="00324931"/>
    <w:rsid w:val="00324A61"/>
    <w:rsid w:val="00324B79"/>
    <w:rsid w:val="00324DB0"/>
    <w:rsid w:val="00325D62"/>
    <w:rsid w:val="00325F71"/>
    <w:rsid w:val="003261EF"/>
    <w:rsid w:val="0032688E"/>
    <w:rsid w:val="0032695B"/>
    <w:rsid w:val="00326971"/>
    <w:rsid w:val="00326A1D"/>
    <w:rsid w:val="00326AB1"/>
    <w:rsid w:val="00326DFB"/>
    <w:rsid w:val="0032725B"/>
    <w:rsid w:val="0032736E"/>
    <w:rsid w:val="00327841"/>
    <w:rsid w:val="00330038"/>
    <w:rsid w:val="003300D7"/>
    <w:rsid w:val="0033017B"/>
    <w:rsid w:val="00330266"/>
    <w:rsid w:val="00330537"/>
    <w:rsid w:val="00330699"/>
    <w:rsid w:val="00330942"/>
    <w:rsid w:val="00330C09"/>
    <w:rsid w:val="00330EF0"/>
    <w:rsid w:val="003311E1"/>
    <w:rsid w:val="003315DA"/>
    <w:rsid w:val="00331A16"/>
    <w:rsid w:val="00331C86"/>
    <w:rsid w:val="00331EF6"/>
    <w:rsid w:val="00332D2D"/>
    <w:rsid w:val="00332F7A"/>
    <w:rsid w:val="00332FC8"/>
    <w:rsid w:val="00333544"/>
    <w:rsid w:val="0033386C"/>
    <w:rsid w:val="00333978"/>
    <w:rsid w:val="00333C84"/>
    <w:rsid w:val="00333E73"/>
    <w:rsid w:val="00333F28"/>
    <w:rsid w:val="003342DF"/>
    <w:rsid w:val="003344AE"/>
    <w:rsid w:val="00334913"/>
    <w:rsid w:val="0033491A"/>
    <w:rsid w:val="00334ACF"/>
    <w:rsid w:val="0033554F"/>
    <w:rsid w:val="003357E0"/>
    <w:rsid w:val="00335858"/>
    <w:rsid w:val="00335F7F"/>
    <w:rsid w:val="00336542"/>
    <w:rsid w:val="00336597"/>
    <w:rsid w:val="00336AD0"/>
    <w:rsid w:val="00336E8C"/>
    <w:rsid w:val="00336E9E"/>
    <w:rsid w:val="00336EC5"/>
    <w:rsid w:val="0034044B"/>
    <w:rsid w:val="003407D4"/>
    <w:rsid w:val="00340E5E"/>
    <w:rsid w:val="00340F48"/>
    <w:rsid w:val="00341136"/>
    <w:rsid w:val="00341185"/>
    <w:rsid w:val="00341284"/>
    <w:rsid w:val="00341A14"/>
    <w:rsid w:val="003425C1"/>
    <w:rsid w:val="003427F5"/>
    <w:rsid w:val="003429D1"/>
    <w:rsid w:val="00343515"/>
    <w:rsid w:val="00343C78"/>
    <w:rsid w:val="00343F3D"/>
    <w:rsid w:val="00344078"/>
    <w:rsid w:val="00344172"/>
    <w:rsid w:val="00344548"/>
    <w:rsid w:val="00344904"/>
    <w:rsid w:val="00344C37"/>
    <w:rsid w:val="00344EA4"/>
    <w:rsid w:val="003452EB"/>
    <w:rsid w:val="003453EB"/>
    <w:rsid w:val="00345BD3"/>
    <w:rsid w:val="00345E01"/>
    <w:rsid w:val="0034612B"/>
    <w:rsid w:val="003461F9"/>
    <w:rsid w:val="003464B1"/>
    <w:rsid w:val="003465F3"/>
    <w:rsid w:val="00346701"/>
    <w:rsid w:val="00346834"/>
    <w:rsid w:val="00346A5A"/>
    <w:rsid w:val="00346C33"/>
    <w:rsid w:val="00347312"/>
    <w:rsid w:val="00347608"/>
    <w:rsid w:val="003477A7"/>
    <w:rsid w:val="00347A72"/>
    <w:rsid w:val="00347BE1"/>
    <w:rsid w:val="00350044"/>
    <w:rsid w:val="0035045D"/>
    <w:rsid w:val="003505A0"/>
    <w:rsid w:val="00350A58"/>
    <w:rsid w:val="00351381"/>
    <w:rsid w:val="003515F9"/>
    <w:rsid w:val="0035171A"/>
    <w:rsid w:val="003517A8"/>
    <w:rsid w:val="00351C01"/>
    <w:rsid w:val="00352B9A"/>
    <w:rsid w:val="00352EB6"/>
    <w:rsid w:val="003530A6"/>
    <w:rsid w:val="00353627"/>
    <w:rsid w:val="00353AB8"/>
    <w:rsid w:val="0035421C"/>
    <w:rsid w:val="00354367"/>
    <w:rsid w:val="003544ED"/>
    <w:rsid w:val="00354AF7"/>
    <w:rsid w:val="00355110"/>
    <w:rsid w:val="00355773"/>
    <w:rsid w:val="00355C3C"/>
    <w:rsid w:val="00355F72"/>
    <w:rsid w:val="0035608F"/>
    <w:rsid w:val="00356284"/>
    <w:rsid w:val="0035673A"/>
    <w:rsid w:val="00356A80"/>
    <w:rsid w:val="00356BC1"/>
    <w:rsid w:val="00357251"/>
    <w:rsid w:val="00357477"/>
    <w:rsid w:val="00357493"/>
    <w:rsid w:val="00357657"/>
    <w:rsid w:val="00357751"/>
    <w:rsid w:val="003578BC"/>
    <w:rsid w:val="00357BF7"/>
    <w:rsid w:val="00357D64"/>
    <w:rsid w:val="00357E32"/>
    <w:rsid w:val="0036022E"/>
    <w:rsid w:val="003603D3"/>
    <w:rsid w:val="003603E9"/>
    <w:rsid w:val="0036065B"/>
    <w:rsid w:val="0036065F"/>
    <w:rsid w:val="00360D5A"/>
    <w:rsid w:val="0036148B"/>
    <w:rsid w:val="0036149B"/>
    <w:rsid w:val="0036194D"/>
    <w:rsid w:val="00361BD1"/>
    <w:rsid w:val="0036222B"/>
    <w:rsid w:val="0036227D"/>
    <w:rsid w:val="00362D72"/>
    <w:rsid w:val="00362E20"/>
    <w:rsid w:val="0036300D"/>
    <w:rsid w:val="00363163"/>
    <w:rsid w:val="00363374"/>
    <w:rsid w:val="00363464"/>
    <w:rsid w:val="00363487"/>
    <w:rsid w:val="0036349A"/>
    <w:rsid w:val="0036367E"/>
    <w:rsid w:val="003639A6"/>
    <w:rsid w:val="00363A31"/>
    <w:rsid w:val="00363F16"/>
    <w:rsid w:val="003645D5"/>
    <w:rsid w:val="003646B0"/>
    <w:rsid w:val="00364948"/>
    <w:rsid w:val="00365244"/>
    <w:rsid w:val="003655ED"/>
    <w:rsid w:val="00365F6F"/>
    <w:rsid w:val="0036630E"/>
    <w:rsid w:val="003663B6"/>
    <w:rsid w:val="00366755"/>
    <w:rsid w:val="00366906"/>
    <w:rsid w:val="003671D8"/>
    <w:rsid w:val="00367214"/>
    <w:rsid w:val="003679AE"/>
    <w:rsid w:val="00367B69"/>
    <w:rsid w:val="00367C42"/>
    <w:rsid w:val="00367E82"/>
    <w:rsid w:val="00367F17"/>
    <w:rsid w:val="00370688"/>
    <w:rsid w:val="00370BA3"/>
    <w:rsid w:val="00370D1B"/>
    <w:rsid w:val="003712E2"/>
    <w:rsid w:val="003714BA"/>
    <w:rsid w:val="003717C5"/>
    <w:rsid w:val="00371842"/>
    <w:rsid w:val="00371D16"/>
    <w:rsid w:val="00372039"/>
    <w:rsid w:val="0037228E"/>
    <w:rsid w:val="00372382"/>
    <w:rsid w:val="00372ED3"/>
    <w:rsid w:val="00372EDB"/>
    <w:rsid w:val="00373A7A"/>
    <w:rsid w:val="00373C2B"/>
    <w:rsid w:val="00373DC6"/>
    <w:rsid w:val="00374194"/>
    <w:rsid w:val="0037425F"/>
    <w:rsid w:val="003743A3"/>
    <w:rsid w:val="003747ED"/>
    <w:rsid w:val="0037493F"/>
    <w:rsid w:val="00374B76"/>
    <w:rsid w:val="00374CD7"/>
    <w:rsid w:val="0037505F"/>
    <w:rsid w:val="00375140"/>
    <w:rsid w:val="00375469"/>
    <w:rsid w:val="00375688"/>
    <w:rsid w:val="00376203"/>
    <w:rsid w:val="00376372"/>
    <w:rsid w:val="003763C7"/>
    <w:rsid w:val="00376AF3"/>
    <w:rsid w:val="003775B7"/>
    <w:rsid w:val="00377AAC"/>
    <w:rsid w:val="00377BC1"/>
    <w:rsid w:val="00377EDA"/>
    <w:rsid w:val="0038008F"/>
    <w:rsid w:val="003800B3"/>
    <w:rsid w:val="003802AE"/>
    <w:rsid w:val="003806B4"/>
    <w:rsid w:val="00380715"/>
    <w:rsid w:val="00380811"/>
    <w:rsid w:val="00380BED"/>
    <w:rsid w:val="00380EEB"/>
    <w:rsid w:val="00380F9E"/>
    <w:rsid w:val="00381740"/>
    <w:rsid w:val="0038198A"/>
    <w:rsid w:val="003819BB"/>
    <w:rsid w:val="00381A0A"/>
    <w:rsid w:val="0038202C"/>
    <w:rsid w:val="003827C5"/>
    <w:rsid w:val="0038281C"/>
    <w:rsid w:val="0038306E"/>
    <w:rsid w:val="003835F3"/>
    <w:rsid w:val="0038383D"/>
    <w:rsid w:val="00383D64"/>
    <w:rsid w:val="00383EA3"/>
    <w:rsid w:val="00384469"/>
    <w:rsid w:val="00384576"/>
    <w:rsid w:val="00384809"/>
    <w:rsid w:val="00384FEB"/>
    <w:rsid w:val="0038502E"/>
    <w:rsid w:val="0038516B"/>
    <w:rsid w:val="003851BF"/>
    <w:rsid w:val="00385459"/>
    <w:rsid w:val="00385A64"/>
    <w:rsid w:val="00385F9F"/>
    <w:rsid w:val="00386817"/>
    <w:rsid w:val="00386D1A"/>
    <w:rsid w:val="00386E01"/>
    <w:rsid w:val="00386F4F"/>
    <w:rsid w:val="00387117"/>
    <w:rsid w:val="0038747A"/>
    <w:rsid w:val="0038761A"/>
    <w:rsid w:val="00387668"/>
    <w:rsid w:val="003876D8"/>
    <w:rsid w:val="00387798"/>
    <w:rsid w:val="00387D03"/>
    <w:rsid w:val="00390131"/>
    <w:rsid w:val="003901BE"/>
    <w:rsid w:val="00390296"/>
    <w:rsid w:val="0039045D"/>
    <w:rsid w:val="00390831"/>
    <w:rsid w:val="00390853"/>
    <w:rsid w:val="00390D5A"/>
    <w:rsid w:val="00391479"/>
    <w:rsid w:val="0039151C"/>
    <w:rsid w:val="0039182E"/>
    <w:rsid w:val="00391BED"/>
    <w:rsid w:val="00392446"/>
    <w:rsid w:val="003929C9"/>
    <w:rsid w:val="00392C8A"/>
    <w:rsid w:val="0039342B"/>
    <w:rsid w:val="003935EA"/>
    <w:rsid w:val="003937D2"/>
    <w:rsid w:val="003938BC"/>
    <w:rsid w:val="00393A26"/>
    <w:rsid w:val="00393B0F"/>
    <w:rsid w:val="00394320"/>
    <w:rsid w:val="003943A2"/>
    <w:rsid w:val="003943D8"/>
    <w:rsid w:val="003943FF"/>
    <w:rsid w:val="00394529"/>
    <w:rsid w:val="0039452F"/>
    <w:rsid w:val="00394C83"/>
    <w:rsid w:val="0039517F"/>
    <w:rsid w:val="003953AD"/>
    <w:rsid w:val="003953E0"/>
    <w:rsid w:val="0039572F"/>
    <w:rsid w:val="00395CEB"/>
    <w:rsid w:val="00396339"/>
    <w:rsid w:val="00396476"/>
    <w:rsid w:val="003969BE"/>
    <w:rsid w:val="00396A05"/>
    <w:rsid w:val="00397170"/>
    <w:rsid w:val="003974A1"/>
    <w:rsid w:val="0039781C"/>
    <w:rsid w:val="003979B5"/>
    <w:rsid w:val="003A016C"/>
    <w:rsid w:val="003A04B8"/>
    <w:rsid w:val="003A096A"/>
    <w:rsid w:val="003A0C1B"/>
    <w:rsid w:val="003A0E86"/>
    <w:rsid w:val="003A1265"/>
    <w:rsid w:val="003A219D"/>
    <w:rsid w:val="003A26B3"/>
    <w:rsid w:val="003A2DF2"/>
    <w:rsid w:val="003A3433"/>
    <w:rsid w:val="003A3E57"/>
    <w:rsid w:val="003A4027"/>
    <w:rsid w:val="003A40EC"/>
    <w:rsid w:val="003A4323"/>
    <w:rsid w:val="003A438A"/>
    <w:rsid w:val="003A47EF"/>
    <w:rsid w:val="003A4CD6"/>
    <w:rsid w:val="003A4CD7"/>
    <w:rsid w:val="003A537E"/>
    <w:rsid w:val="003A59B7"/>
    <w:rsid w:val="003A5E60"/>
    <w:rsid w:val="003A605D"/>
    <w:rsid w:val="003A660F"/>
    <w:rsid w:val="003A693E"/>
    <w:rsid w:val="003A6C7C"/>
    <w:rsid w:val="003A7595"/>
    <w:rsid w:val="003A7621"/>
    <w:rsid w:val="003A77CA"/>
    <w:rsid w:val="003A7930"/>
    <w:rsid w:val="003A79A4"/>
    <w:rsid w:val="003A79D3"/>
    <w:rsid w:val="003A7DC7"/>
    <w:rsid w:val="003B095E"/>
    <w:rsid w:val="003B0B28"/>
    <w:rsid w:val="003B0BC2"/>
    <w:rsid w:val="003B0DC8"/>
    <w:rsid w:val="003B0F2B"/>
    <w:rsid w:val="003B11D3"/>
    <w:rsid w:val="003B137D"/>
    <w:rsid w:val="003B13B7"/>
    <w:rsid w:val="003B1553"/>
    <w:rsid w:val="003B18C9"/>
    <w:rsid w:val="003B1FE6"/>
    <w:rsid w:val="003B23DF"/>
    <w:rsid w:val="003B247D"/>
    <w:rsid w:val="003B3184"/>
    <w:rsid w:val="003B3C35"/>
    <w:rsid w:val="003B40FA"/>
    <w:rsid w:val="003B479A"/>
    <w:rsid w:val="003B488A"/>
    <w:rsid w:val="003B4C4E"/>
    <w:rsid w:val="003B5339"/>
    <w:rsid w:val="003B5734"/>
    <w:rsid w:val="003B5AF5"/>
    <w:rsid w:val="003B5C85"/>
    <w:rsid w:val="003B5EFD"/>
    <w:rsid w:val="003B6363"/>
    <w:rsid w:val="003B6441"/>
    <w:rsid w:val="003B66B2"/>
    <w:rsid w:val="003B6906"/>
    <w:rsid w:val="003B6DF9"/>
    <w:rsid w:val="003B7099"/>
    <w:rsid w:val="003B71FE"/>
    <w:rsid w:val="003B72E5"/>
    <w:rsid w:val="003B7303"/>
    <w:rsid w:val="003B7567"/>
    <w:rsid w:val="003B7656"/>
    <w:rsid w:val="003B772F"/>
    <w:rsid w:val="003B7FE2"/>
    <w:rsid w:val="003C0127"/>
    <w:rsid w:val="003C02BF"/>
    <w:rsid w:val="003C055D"/>
    <w:rsid w:val="003C06E9"/>
    <w:rsid w:val="003C084D"/>
    <w:rsid w:val="003C0EAF"/>
    <w:rsid w:val="003C10AA"/>
    <w:rsid w:val="003C1416"/>
    <w:rsid w:val="003C1662"/>
    <w:rsid w:val="003C1A9F"/>
    <w:rsid w:val="003C1BF8"/>
    <w:rsid w:val="003C1DF2"/>
    <w:rsid w:val="003C239A"/>
    <w:rsid w:val="003C24E4"/>
    <w:rsid w:val="003C266F"/>
    <w:rsid w:val="003C2902"/>
    <w:rsid w:val="003C3EED"/>
    <w:rsid w:val="003C4325"/>
    <w:rsid w:val="003C437B"/>
    <w:rsid w:val="003C43FA"/>
    <w:rsid w:val="003C4C2E"/>
    <w:rsid w:val="003C4C50"/>
    <w:rsid w:val="003C5300"/>
    <w:rsid w:val="003C549A"/>
    <w:rsid w:val="003C54D2"/>
    <w:rsid w:val="003C5852"/>
    <w:rsid w:val="003C5981"/>
    <w:rsid w:val="003C598F"/>
    <w:rsid w:val="003C5CBE"/>
    <w:rsid w:val="003C620A"/>
    <w:rsid w:val="003C680E"/>
    <w:rsid w:val="003C687D"/>
    <w:rsid w:val="003C6947"/>
    <w:rsid w:val="003C6A73"/>
    <w:rsid w:val="003C6B3F"/>
    <w:rsid w:val="003C6B7C"/>
    <w:rsid w:val="003C6BA6"/>
    <w:rsid w:val="003C6E20"/>
    <w:rsid w:val="003C75D6"/>
    <w:rsid w:val="003C777E"/>
    <w:rsid w:val="003C7D37"/>
    <w:rsid w:val="003C7FB8"/>
    <w:rsid w:val="003D009C"/>
    <w:rsid w:val="003D053F"/>
    <w:rsid w:val="003D0AC2"/>
    <w:rsid w:val="003D0C28"/>
    <w:rsid w:val="003D11A9"/>
    <w:rsid w:val="003D1451"/>
    <w:rsid w:val="003D1A85"/>
    <w:rsid w:val="003D1C72"/>
    <w:rsid w:val="003D1D9F"/>
    <w:rsid w:val="003D1DAD"/>
    <w:rsid w:val="003D1FB3"/>
    <w:rsid w:val="003D20B7"/>
    <w:rsid w:val="003D25F1"/>
    <w:rsid w:val="003D278F"/>
    <w:rsid w:val="003D2A37"/>
    <w:rsid w:val="003D3DC8"/>
    <w:rsid w:val="003D3E6A"/>
    <w:rsid w:val="003D3EBA"/>
    <w:rsid w:val="003D3EFE"/>
    <w:rsid w:val="003D4244"/>
    <w:rsid w:val="003D48E9"/>
    <w:rsid w:val="003D4B58"/>
    <w:rsid w:val="003D5103"/>
    <w:rsid w:val="003D51E8"/>
    <w:rsid w:val="003D5606"/>
    <w:rsid w:val="003D5658"/>
    <w:rsid w:val="003D5853"/>
    <w:rsid w:val="003D5883"/>
    <w:rsid w:val="003D5BF2"/>
    <w:rsid w:val="003D6252"/>
    <w:rsid w:val="003D6285"/>
    <w:rsid w:val="003D62A1"/>
    <w:rsid w:val="003D6420"/>
    <w:rsid w:val="003D67C7"/>
    <w:rsid w:val="003D69EF"/>
    <w:rsid w:val="003D6AC6"/>
    <w:rsid w:val="003D7399"/>
    <w:rsid w:val="003D7BFD"/>
    <w:rsid w:val="003D7DD8"/>
    <w:rsid w:val="003E0362"/>
    <w:rsid w:val="003E0986"/>
    <w:rsid w:val="003E0B51"/>
    <w:rsid w:val="003E0EDB"/>
    <w:rsid w:val="003E2B86"/>
    <w:rsid w:val="003E3585"/>
    <w:rsid w:val="003E3624"/>
    <w:rsid w:val="003E37D7"/>
    <w:rsid w:val="003E3CE4"/>
    <w:rsid w:val="003E3DCE"/>
    <w:rsid w:val="003E4910"/>
    <w:rsid w:val="003E51B5"/>
    <w:rsid w:val="003E51E7"/>
    <w:rsid w:val="003E534A"/>
    <w:rsid w:val="003E555A"/>
    <w:rsid w:val="003E55A3"/>
    <w:rsid w:val="003E561B"/>
    <w:rsid w:val="003E5CF1"/>
    <w:rsid w:val="003E5D31"/>
    <w:rsid w:val="003E5D40"/>
    <w:rsid w:val="003E6196"/>
    <w:rsid w:val="003E6475"/>
    <w:rsid w:val="003E654A"/>
    <w:rsid w:val="003E67F9"/>
    <w:rsid w:val="003E749D"/>
    <w:rsid w:val="003E79C6"/>
    <w:rsid w:val="003E7CF4"/>
    <w:rsid w:val="003E7D55"/>
    <w:rsid w:val="003F0665"/>
    <w:rsid w:val="003F105A"/>
    <w:rsid w:val="003F1792"/>
    <w:rsid w:val="003F1DA9"/>
    <w:rsid w:val="003F2653"/>
    <w:rsid w:val="003F2CC6"/>
    <w:rsid w:val="003F2F6D"/>
    <w:rsid w:val="003F307A"/>
    <w:rsid w:val="003F321B"/>
    <w:rsid w:val="003F38AA"/>
    <w:rsid w:val="003F40CD"/>
    <w:rsid w:val="003F41F8"/>
    <w:rsid w:val="003F4377"/>
    <w:rsid w:val="003F4517"/>
    <w:rsid w:val="003F4677"/>
    <w:rsid w:val="003F4C38"/>
    <w:rsid w:val="003F53AA"/>
    <w:rsid w:val="003F57E6"/>
    <w:rsid w:val="003F5967"/>
    <w:rsid w:val="003F59DF"/>
    <w:rsid w:val="003F5C36"/>
    <w:rsid w:val="003F5D6E"/>
    <w:rsid w:val="003F5EFB"/>
    <w:rsid w:val="003F6199"/>
    <w:rsid w:val="003F654C"/>
    <w:rsid w:val="003F6B03"/>
    <w:rsid w:val="003F6B08"/>
    <w:rsid w:val="003F74F3"/>
    <w:rsid w:val="003F759B"/>
    <w:rsid w:val="003F75CC"/>
    <w:rsid w:val="00400856"/>
    <w:rsid w:val="004008AF"/>
    <w:rsid w:val="00400D74"/>
    <w:rsid w:val="00401482"/>
    <w:rsid w:val="004017AC"/>
    <w:rsid w:val="00401B87"/>
    <w:rsid w:val="00401E77"/>
    <w:rsid w:val="00401F14"/>
    <w:rsid w:val="004020BD"/>
    <w:rsid w:val="0040245A"/>
    <w:rsid w:val="00402ED3"/>
    <w:rsid w:val="0040339B"/>
    <w:rsid w:val="004033BF"/>
    <w:rsid w:val="0040350B"/>
    <w:rsid w:val="00403C05"/>
    <w:rsid w:val="00403F28"/>
    <w:rsid w:val="00404241"/>
    <w:rsid w:val="00404420"/>
    <w:rsid w:val="0040445F"/>
    <w:rsid w:val="004044F2"/>
    <w:rsid w:val="004045DE"/>
    <w:rsid w:val="00404B30"/>
    <w:rsid w:val="00404B7C"/>
    <w:rsid w:val="00404C3E"/>
    <w:rsid w:val="0040500D"/>
    <w:rsid w:val="00405EA9"/>
    <w:rsid w:val="0040607B"/>
    <w:rsid w:val="004067E0"/>
    <w:rsid w:val="00406884"/>
    <w:rsid w:val="00406E85"/>
    <w:rsid w:val="00406EF1"/>
    <w:rsid w:val="00407169"/>
    <w:rsid w:val="004073DC"/>
    <w:rsid w:val="00407500"/>
    <w:rsid w:val="00407623"/>
    <w:rsid w:val="00407D26"/>
    <w:rsid w:val="00410056"/>
    <w:rsid w:val="00410269"/>
    <w:rsid w:val="00410307"/>
    <w:rsid w:val="004107BC"/>
    <w:rsid w:val="004112C2"/>
    <w:rsid w:val="004118EE"/>
    <w:rsid w:val="00411D0E"/>
    <w:rsid w:val="00411F2D"/>
    <w:rsid w:val="0041293A"/>
    <w:rsid w:val="0041317F"/>
    <w:rsid w:val="00413348"/>
    <w:rsid w:val="004139A1"/>
    <w:rsid w:val="00413FE6"/>
    <w:rsid w:val="0041413D"/>
    <w:rsid w:val="00414387"/>
    <w:rsid w:val="00414755"/>
    <w:rsid w:val="004148AF"/>
    <w:rsid w:val="00414904"/>
    <w:rsid w:val="0041498A"/>
    <w:rsid w:val="00414A39"/>
    <w:rsid w:val="00414C6A"/>
    <w:rsid w:val="00414FDC"/>
    <w:rsid w:val="004151CD"/>
    <w:rsid w:val="00415824"/>
    <w:rsid w:val="00415ED8"/>
    <w:rsid w:val="00416189"/>
    <w:rsid w:val="00416479"/>
    <w:rsid w:val="0041685C"/>
    <w:rsid w:val="0041715D"/>
    <w:rsid w:val="0041731E"/>
    <w:rsid w:val="00417644"/>
    <w:rsid w:val="00417658"/>
    <w:rsid w:val="00417EF2"/>
    <w:rsid w:val="00417EF7"/>
    <w:rsid w:val="00417FEA"/>
    <w:rsid w:val="00420540"/>
    <w:rsid w:val="004207C5"/>
    <w:rsid w:val="00420AB1"/>
    <w:rsid w:val="00420CB0"/>
    <w:rsid w:val="00420FAA"/>
    <w:rsid w:val="00421288"/>
    <w:rsid w:val="004212FE"/>
    <w:rsid w:val="004213A4"/>
    <w:rsid w:val="00421450"/>
    <w:rsid w:val="00421CE2"/>
    <w:rsid w:val="0042210D"/>
    <w:rsid w:val="004222A9"/>
    <w:rsid w:val="00422831"/>
    <w:rsid w:val="00422F23"/>
    <w:rsid w:val="00423F3A"/>
    <w:rsid w:val="004244F8"/>
    <w:rsid w:val="00424747"/>
    <w:rsid w:val="0042484F"/>
    <w:rsid w:val="00424E4A"/>
    <w:rsid w:val="00424FF9"/>
    <w:rsid w:val="00425029"/>
    <w:rsid w:val="0042525E"/>
    <w:rsid w:val="00425299"/>
    <w:rsid w:val="004252D7"/>
    <w:rsid w:val="00425565"/>
    <w:rsid w:val="0042565D"/>
    <w:rsid w:val="0042568D"/>
    <w:rsid w:val="0042577B"/>
    <w:rsid w:val="00425CF5"/>
    <w:rsid w:val="00426090"/>
    <w:rsid w:val="00426203"/>
    <w:rsid w:val="00426987"/>
    <w:rsid w:val="00426A57"/>
    <w:rsid w:val="00426C29"/>
    <w:rsid w:val="00426CD0"/>
    <w:rsid w:val="00426CF2"/>
    <w:rsid w:val="00426F5D"/>
    <w:rsid w:val="00427157"/>
    <w:rsid w:val="004273AD"/>
    <w:rsid w:val="00427DF4"/>
    <w:rsid w:val="00427E55"/>
    <w:rsid w:val="00430211"/>
    <w:rsid w:val="00430525"/>
    <w:rsid w:val="00430552"/>
    <w:rsid w:val="004308AD"/>
    <w:rsid w:val="00430CE5"/>
    <w:rsid w:val="00430FAD"/>
    <w:rsid w:val="00431009"/>
    <w:rsid w:val="004313BB"/>
    <w:rsid w:val="00431875"/>
    <w:rsid w:val="00432547"/>
    <w:rsid w:val="00432CD2"/>
    <w:rsid w:val="00432E75"/>
    <w:rsid w:val="00433178"/>
    <w:rsid w:val="004337F4"/>
    <w:rsid w:val="00433898"/>
    <w:rsid w:val="0043426D"/>
    <w:rsid w:val="00434979"/>
    <w:rsid w:val="00434BC3"/>
    <w:rsid w:val="00434D53"/>
    <w:rsid w:val="00434DCC"/>
    <w:rsid w:val="00435587"/>
    <w:rsid w:val="004356E6"/>
    <w:rsid w:val="00435F6D"/>
    <w:rsid w:val="004368AB"/>
    <w:rsid w:val="00436E93"/>
    <w:rsid w:val="00437756"/>
    <w:rsid w:val="00437BB5"/>
    <w:rsid w:val="004409E0"/>
    <w:rsid w:val="00440A0A"/>
    <w:rsid w:val="0044101C"/>
    <w:rsid w:val="004410FE"/>
    <w:rsid w:val="00441962"/>
    <w:rsid w:val="004419CF"/>
    <w:rsid w:val="00441C14"/>
    <w:rsid w:val="00441C85"/>
    <w:rsid w:val="00441FA7"/>
    <w:rsid w:val="00441FC4"/>
    <w:rsid w:val="0044251F"/>
    <w:rsid w:val="0044259A"/>
    <w:rsid w:val="004425D8"/>
    <w:rsid w:val="00442607"/>
    <w:rsid w:val="0044267F"/>
    <w:rsid w:val="00442774"/>
    <w:rsid w:val="004428A1"/>
    <w:rsid w:val="0044299C"/>
    <w:rsid w:val="00442D34"/>
    <w:rsid w:val="00443A62"/>
    <w:rsid w:val="00443A6E"/>
    <w:rsid w:val="004440D3"/>
    <w:rsid w:val="0044489B"/>
    <w:rsid w:val="004448B0"/>
    <w:rsid w:val="00444A6A"/>
    <w:rsid w:val="00444BF9"/>
    <w:rsid w:val="00445179"/>
    <w:rsid w:val="004451D4"/>
    <w:rsid w:val="00445F5F"/>
    <w:rsid w:val="00446551"/>
    <w:rsid w:val="004469DB"/>
    <w:rsid w:val="00447552"/>
    <w:rsid w:val="00447795"/>
    <w:rsid w:val="00447800"/>
    <w:rsid w:val="00447BA0"/>
    <w:rsid w:val="00447D54"/>
    <w:rsid w:val="00447F53"/>
    <w:rsid w:val="004500EE"/>
    <w:rsid w:val="0045013A"/>
    <w:rsid w:val="004503DA"/>
    <w:rsid w:val="004504BA"/>
    <w:rsid w:val="00450F8A"/>
    <w:rsid w:val="004511D6"/>
    <w:rsid w:val="004518EB"/>
    <w:rsid w:val="00451A77"/>
    <w:rsid w:val="00451B3D"/>
    <w:rsid w:val="00451C51"/>
    <w:rsid w:val="00451E88"/>
    <w:rsid w:val="004524F5"/>
    <w:rsid w:val="00452AAF"/>
    <w:rsid w:val="004533BB"/>
    <w:rsid w:val="004537CF"/>
    <w:rsid w:val="0045389C"/>
    <w:rsid w:val="004538A7"/>
    <w:rsid w:val="00453BAE"/>
    <w:rsid w:val="00453D59"/>
    <w:rsid w:val="00454452"/>
    <w:rsid w:val="00454825"/>
    <w:rsid w:val="004548E9"/>
    <w:rsid w:val="004548F9"/>
    <w:rsid w:val="00454945"/>
    <w:rsid w:val="00454B6C"/>
    <w:rsid w:val="00454B9F"/>
    <w:rsid w:val="00454DBA"/>
    <w:rsid w:val="00454E1B"/>
    <w:rsid w:val="00454FD4"/>
    <w:rsid w:val="0045502E"/>
    <w:rsid w:val="0045557B"/>
    <w:rsid w:val="0045592F"/>
    <w:rsid w:val="00456242"/>
    <w:rsid w:val="00456354"/>
    <w:rsid w:val="00456398"/>
    <w:rsid w:val="00456BBE"/>
    <w:rsid w:val="00457155"/>
    <w:rsid w:val="004607B5"/>
    <w:rsid w:val="00460B6A"/>
    <w:rsid w:val="00460BCD"/>
    <w:rsid w:val="00460DDB"/>
    <w:rsid w:val="00461375"/>
    <w:rsid w:val="0046155D"/>
    <w:rsid w:val="004615A4"/>
    <w:rsid w:val="004617E4"/>
    <w:rsid w:val="004619BB"/>
    <w:rsid w:val="00461B0E"/>
    <w:rsid w:val="00461BE7"/>
    <w:rsid w:val="004622AD"/>
    <w:rsid w:val="00462447"/>
    <w:rsid w:val="004629BB"/>
    <w:rsid w:val="00462A4F"/>
    <w:rsid w:val="00462DE4"/>
    <w:rsid w:val="004636FA"/>
    <w:rsid w:val="004638B3"/>
    <w:rsid w:val="00463AC9"/>
    <w:rsid w:val="004642AA"/>
    <w:rsid w:val="00464ACB"/>
    <w:rsid w:val="00465258"/>
    <w:rsid w:val="004659FF"/>
    <w:rsid w:val="00465A02"/>
    <w:rsid w:val="00465B39"/>
    <w:rsid w:val="00465D3F"/>
    <w:rsid w:val="0046600B"/>
    <w:rsid w:val="0046618A"/>
    <w:rsid w:val="0046621E"/>
    <w:rsid w:val="00466E8C"/>
    <w:rsid w:val="004672EC"/>
    <w:rsid w:val="004673A9"/>
    <w:rsid w:val="0046770C"/>
    <w:rsid w:val="004677AD"/>
    <w:rsid w:val="00467DD3"/>
    <w:rsid w:val="00470104"/>
    <w:rsid w:val="004708F8"/>
    <w:rsid w:val="004709B0"/>
    <w:rsid w:val="00470AF9"/>
    <w:rsid w:val="00470D56"/>
    <w:rsid w:val="00470E4E"/>
    <w:rsid w:val="00471482"/>
    <w:rsid w:val="00471758"/>
    <w:rsid w:val="00471906"/>
    <w:rsid w:val="0047273A"/>
    <w:rsid w:val="00472944"/>
    <w:rsid w:val="00472D4D"/>
    <w:rsid w:val="00472E05"/>
    <w:rsid w:val="004730A8"/>
    <w:rsid w:val="00473128"/>
    <w:rsid w:val="00473BB1"/>
    <w:rsid w:val="004746B9"/>
    <w:rsid w:val="00474EA6"/>
    <w:rsid w:val="004751B0"/>
    <w:rsid w:val="004753EB"/>
    <w:rsid w:val="00475ADD"/>
    <w:rsid w:val="0047607E"/>
    <w:rsid w:val="0047618D"/>
    <w:rsid w:val="004761C3"/>
    <w:rsid w:val="004765BD"/>
    <w:rsid w:val="00476B0A"/>
    <w:rsid w:val="00476B36"/>
    <w:rsid w:val="004772F5"/>
    <w:rsid w:val="004778C8"/>
    <w:rsid w:val="00480006"/>
    <w:rsid w:val="00480CCE"/>
    <w:rsid w:val="00480F56"/>
    <w:rsid w:val="00480FE1"/>
    <w:rsid w:val="00481549"/>
    <w:rsid w:val="00481B47"/>
    <w:rsid w:val="004820D3"/>
    <w:rsid w:val="00482951"/>
    <w:rsid w:val="004829D9"/>
    <w:rsid w:val="00482A03"/>
    <w:rsid w:val="00482A99"/>
    <w:rsid w:val="00483365"/>
    <w:rsid w:val="004837B5"/>
    <w:rsid w:val="0048430C"/>
    <w:rsid w:val="0048478C"/>
    <w:rsid w:val="00484A27"/>
    <w:rsid w:val="00484AF0"/>
    <w:rsid w:val="004852CD"/>
    <w:rsid w:val="004855BF"/>
    <w:rsid w:val="00485727"/>
    <w:rsid w:val="00485DB9"/>
    <w:rsid w:val="004860D3"/>
    <w:rsid w:val="004864B8"/>
    <w:rsid w:val="00486D48"/>
    <w:rsid w:val="00486EA7"/>
    <w:rsid w:val="00486FF7"/>
    <w:rsid w:val="00487504"/>
    <w:rsid w:val="0048761C"/>
    <w:rsid w:val="00487A5C"/>
    <w:rsid w:val="00487F24"/>
    <w:rsid w:val="00490536"/>
    <w:rsid w:val="004905CF"/>
    <w:rsid w:val="0049081A"/>
    <w:rsid w:val="004908B7"/>
    <w:rsid w:val="00490945"/>
    <w:rsid w:val="0049096A"/>
    <w:rsid w:val="00490A71"/>
    <w:rsid w:val="00490BFB"/>
    <w:rsid w:val="0049128D"/>
    <w:rsid w:val="00491485"/>
    <w:rsid w:val="0049150C"/>
    <w:rsid w:val="0049154D"/>
    <w:rsid w:val="004918E7"/>
    <w:rsid w:val="0049194C"/>
    <w:rsid w:val="004919DD"/>
    <w:rsid w:val="00491BFB"/>
    <w:rsid w:val="00491CE2"/>
    <w:rsid w:val="00492420"/>
    <w:rsid w:val="004924ED"/>
    <w:rsid w:val="00492530"/>
    <w:rsid w:val="004926F2"/>
    <w:rsid w:val="00492ADF"/>
    <w:rsid w:val="00492DC9"/>
    <w:rsid w:val="00492DDB"/>
    <w:rsid w:val="004933F5"/>
    <w:rsid w:val="004935EF"/>
    <w:rsid w:val="00493EEA"/>
    <w:rsid w:val="004943A5"/>
    <w:rsid w:val="00494DEF"/>
    <w:rsid w:val="00494F7C"/>
    <w:rsid w:val="004957F6"/>
    <w:rsid w:val="004959DF"/>
    <w:rsid w:val="00495A0A"/>
    <w:rsid w:val="00495B71"/>
    <w:rsid w:val="0049602B"/>
    <w:rsid w:val="00496557"/>
    <w:rsid w:val="00496A42"/>
    <w:rsid w:val="00496A60"/>
    <w:rsid w:val="00496AA6"/>
    <w:rsid w:val="00496B3A"/>
    <w:rsid w:val="004974D9"/>
    <w:rsid w:val="004A01B1"/>
    <w:rsid w:val="004A055E"/>
    <w:rsid w:val="004A055F"/>
    <w:rsid w:val="004A06EF"/>
    <w:rsid w:val="004A0989"/>
    <w:rsid w:val="004A0C6D"/>
    <w:rsid w:val="004A0D07"/>
    <w:rsid w:val="004A0FFD"/>
    <w:rsid w:val="004A137E"/>
    <w:rsid w:val="004A145C"/>
    <w:rsid w:val="004A1A63"/>
    <w:rsid w:val="004A1B7C"/>
    <w:rsid w:val="004A2079"/>
    <w:rsid w:val="004A23A0"/>
    <w:rsid w:val="004A27C6"/>
    <w:rsid w:val="004A2A13"/>
    <w:rsid w:val="004A2D0C"/>
    <w:rsid w:val="004A2DF5"/>
    <w:rsid w:val="004A33C1"/>
    <w:rsid w:val="004A3560"/>
    <w:rsid w:val="004A356F"/>
    <w:rsid w:val="004A4332"/>
    <w:rsid w:val="004A4A6C"/>
    <w:rsid w:val="004A4E33"/>
    <w:rsid w:val="004A4EF3"/>
    <w:rsid w:val="004A5413"/>
    <w:rsid w:val="004A5746"/>
    <w:rsid w:val="004A579C"/>
    <w:rsid w:val="004A663A"/>
    <w:rsid w:val="004A7ACD"/>
    <w:rsid w:val="004A7F38"/>
    <w:rsid w:val="004B010F"/>
    <w:rsid w:val="004B0D4C"/>
    <w:rsid w:val="004B0FD3"/>
    <w:rsid w:val="004B10DB"/>
    <w:rsid w:val="004B118D"/>
    <w:rsid w:val="004B1787"/>
    <w:rsid w:val="004B1876"/>
    <w:rsid w:val="004B230D"/>
    <w:rsid w:val="004B23F8"/>
    <w:rsid w:val="004B263D"/>
    <w:rsid w:val="004B267B"/>
    <w:rsid w:val="004B297D"/>
    <w:rsid w:val="004B3095"/>
    <w:rsid w:val="004B321C"/>
    <w:rsid w:val="004B3418"/>
    <w:rsid w:val="004B3892"/>
    <w:rsid w:val="004B38FD"/>
    <w:rsid w:val="004B3B2B"/>
    <w:rsid w:val="004B3C00"/>
    <w:rsid w:val="004B3DC2"/>
    <w:rsid w:val="004B3EF3"/>
    <w:rsid w:val="004B4139"/>
    <w:rsid w:val="004B4337"/>
    <w:rsid w:val="004B4464"/>
    <w:rsid w:val="004B459A"/>
    <w:rsid w:val="004B45A4"/>
    <w:rsid w:val="004B4BA6"/>
    <w:rsid w:val="004B5D83"/>
    <w:rsid w:val="004B7117"/>
    <w:rsid w:val="004B721E"/>
    <w:rsid w:val="004B7488"/>
    <w:rsid w:val="004B7546"/>
    <w:rsid w:val="004B755F"/>
    <w:rsid w:val="004B7ADE"/>
    <w:rsid w:val="004B7D80"/>
    <w:rsid w:val="004C000E"/>
    <w:rsid w:val="004C002C"/>
    <w:rsid w:val="004C016E"/>
    <w:rsid w:val="004C01A0"/>
    <w:rsid w:val="004C0270"/>
    <w:rsid w:val="004C0673"/>
    <w:rsid w:val="004C0777"/>
    <w:rsid w:val="004C08A6"/>
    <w:rsid w:val="004C0B3A"/>
    <w:rsid w:val="004C0CA8"/>
    <w:rsid w:val="004C0DF5"/>
    <w:rsid w:val="004C0E2B"/>
    <w:rsid w:val="004C112B"/>
    <w:rsid w:val="004C17E9"/>
    <w:rsid w:val="004C1A04"/>
    <w:rsid w:val="004C1D0C"/>
    <w:rsid w:val="004C203B"/>
    <w:rsid w:val="004C233B"/>
    <w:rsid w:val="004C2A0B"/>
    <w:rsid w:val="004C2A21"/>
    <w:rsid w:val="004C2DF8"/>
    <w:rsid w:val="004C2FF3"/>
    <w:rsid w:val="004C37B3"/>
    <w:rsid w:val="004C3B63"/>
    <w:rsid w:val="004C4048"/>
    <w:rsid w:val="004C4068"/>
    <w:rsid w:val="004C40D1"/>
    <w:rsid w:val="004C445C"/>
    <w:rsid w:val="004C481F"/>
    <w:rsid w:val="004C4BFC"/>
    <w:rsid w:val="004C559B"/>
    <w:rsid w:val="004C5A96"/>
    <w:rsid w:val="004C5F62"/>
    <w:rsid w:val="004C66AA"/>
    <w:rsid w:val="004C6990"/>
    <w:rsid w:val="004C6C92"/>
    <w:rsid w:val="004C6CB0"/>
    <w:rsid w:val="004C7210"/>
    <w:rsid w:val="004C728F"/>
    <w:rsid w:val="004C730F"/>
    <w:rsid w:val="004C73D1"/>
    <w:rsid w:val="004C7554"/>
    <w:rsid w:val="004C7726"/>
    <w:rsid w:val="004D0343"/>
    <w:rsid w:val="004D065A"/>
    <w:rsid w:val="004D0CE9"/>
    <w:rsid w:val="004D0E53"/>
    <w:rsid w:val="004D1006"/>
    <w:rsid w:val="004D11C0"/>
    <w:rsid w:val="004D1366"/>
    <w:rsid w:val="004D153A"/>
    <w:rsid w:val="004D1830"/>
    <w:rsid w:val="004D1865"/>
    <w:rsid w:val="004D1A46"/>
    <w:rsid w:val="004D1DB7"/>
    <w:rsid w:val="004D24BB"/>
    <w:rsid w:val="004D28F8"/>
    <w:rsid w:val="004D2939"/>
    <w:rsid w:val="004D2970"/>
    <w:rsid w:val="004D2E62"/>
    <w:rsid w:val="004D35B0"/>
    <w:rsid w:val="004D3DB5"/>
    <w:rsid w:val="004D45A3"/>
    <w:rsid w:val="004D45DF"/>
    <w:rsid w:val="004D5466"/>
    <w:rsid w:val="004D5EAC"/>
    <w:rsid w:val="004D6111"/>
    <w:rsid w:val="004D7F30"/>
    <w:rsid w:val="004E0235"/>
    <w:rsid w:val="004E0C0B"/>
    <w:rsid w:val="004E182F"/>
    <w:rsid w:val="004E1BAF"/>
    <w:rsid w:val="004E2125"/>
    <w:rsid w:val="004E224F"/>
    <w:rsid w:val="004E2EE3"/>
    <w:rsid w:val="004E2FFB"/>
    <w:rsid w:val="004E319A"/>
    <w:rsid w:val="004E3429"/>
    <w:rsid w:val="004E346E"/>
    <w:rsid w:val="004E370F"/>
    <w:rsid w:val="004E3777"/>
    <w:rsid w:val="004E3CD8"/>
    <w:rsid w:val="004E3F89"/>
    <w:rsid w:val="004E4317"/>
    <w:rsid w:val="004E44E1"/>
    <w:rsid w:val="004E46D2"/>
    <w:rsid w:val="004E4784"/>
    <w:rsid w:val="004E4CFE"/>
    <w:rsid w:val="004E54C6"/>
    <w:rsid w:val="004E5512"/>
    <w:rsid w:val="004E5DAC"/>
    <w:rsid w:val="004E5E8B"/>
    <w:rsid w:val="004E5F8F"/>
    <w:rsid w:val="004E6699"/>
    <w:rsid w:val="004E698E"/>
    <w:rsid w:val="004E6CFF"/>
    <w:rsid w:val="004E6D75"/>
    <w:rsid w:val="004E6EF5"/>
    <w:rsid w:val="004E6F34"/>
    <w:rsid w:val="004E7AD4"/>
    <w:rsid w:val="004E7B66"/>
    <w:rsid w:val="004E7C43"/>
    <w:rsid w:val="004F00E5"/>
    <w:rsid w:val="004F0830"/>
    <w:rsid w:val="004F0E2B"/>
    <w:rsid w:val="004F10AA"/>
    <w:rsid w:val="004F14EC"/>
    <w:rsid w:val="004F1802"/>
    <w:rsid w:val="004F1830"/>
    <w:rsid w:val="004F1A4B"/>
    <w:rsid w:val="004F1A99"/>
    <w:rsid w:val="004F1EBB"/>
    <w:rsid w:val="004F2158"/>
    <w:rsid w:val="004F2248"/>
    <w:rsid w:val="004F22E7"/>
    <w:rsid w:val="004F2321"/>
    <w:rsid w:val="004F2608"/>
    <w:rsid w:val="004F28ED"/>
    <w:rsid w:val="004F2B19"/>
    <w:rsid w:val="004F342F"/>
    <w:rsid w:val="004F3688"/>
    <w:rsid w:val="004F3A3F"/>
    <w:rsid w:val="004F3AAE"/>
    <w:rsid w:val="004F3C69"/>
    <w:rsid w:val="004F4253"/>
    <w:rsid w:val="004F4310"/>
    <w:rsid w:val="004F4372"/>
    <w:rsid w:val="004F458B"/>
    <w:rsid w:val="004F474D"/>
    <w:rsid w:val="004F477D"/>
    <w:rsid w:val="004F47FD"/>
    <w:rsid w:val="004F4ACB"/>
    <w:rsid w:val="004F4BDE"/>
    <w:rsid w:val="004F4EB5"/>
    <w:rsid w:val="004F5006"/>
    <w:rsid w:val="004F5BBF"/>
    <w:rsid w:val="004F5D64"/>
    <w:rsid w:val="004F5E0A"/>
    <w:rsid w:val="004F6169"/>
    <w:rsid w:val="004F636B"/>
    <w:rsid w:val="004F6600"/>
    <w:rsid w:val="004F67EE"/>
    <w:rsid w:val="004F682E"/>
    <w:rsid w:val="004F74E6"/>
    <w:rsid w:val="004F7A83"/>
    <w:rsid w:val="004F7B09"/>
    <w:rsid w:val="004F7CAC"/>
    <w:rsid w:val="004F7DC4"/>
    <w:rsid w:val="005000D4"/>
    <w:rsid w:val="00500462"/>
    <w:rsid w:val="00500B6B"/>
    <w:rsid w:val="005010CA"/>
    <w:rsid w:val="0050164E"/>
    <w:rsid w:val="0050175A"/>
    <w:rsid w:val="00501A42"/>
    <w:rsid w:val="00501FCC"/>
    <w:rsid w:val="00502229"/>
    <w:rsid w:val="005026C3"/>
    <w:rsid w:val="00503B25"/>
    <w:rsid w:val="00503C16"/>
    <w:rsid w:val="00503CE6"/>
    <w:rsid w:val="00503E77"/>
    <w:rsid w:val="005044D3"/>
    <w:rsid w:val="0050485A"/>
    <w:rsid w:val="0050495B"/>
    <w:rsid w:val="00504DA3"/>
    <w:rsid w:val="005050DE"/>
    <w:rsid w:val="00505350"/>
    <w:rsid w:val="00505607"/>
    <w:rsid w:val="005058DC"/>
    <w:rsid w:val="00505ADC"/>
    <w:rsid w:val="00505DEA"/>
    <w:rsid w:val="00506190"/>
    <w:rsid w:val="00506A1D"/>
    <w:rsid w:val="00506AA9"/>
    <w:rsid w:val="00506D42"/>
    <w:rsid w:val="0050764E"/>
    <w:rsid w:val="00507757"/>
    <w:rsid w:val="005077FE"/>
    <w:rsid w:val="00507876"/>
    <w:rsid w:val="0051001D"/>
    <w:rsid w:val="00510772"/>
    <w:rsid w:val="005108F0"/>
    <w:rsid w:val="00510CA5"/>
    <w:rsid w:val="005112DA"/>
    <w:rsid w:val="00511320"/>
    <w:rsid w:val="005119C9"/>
    <w:rsid w:val="00511D0D"/>
    <w:rsid w:val="00512842"/>
    <w:rsid w:val="0051291E"/>
    <w:rsid w:val="00512CD2"/>
    <w:rsid w:val="00512D8E"/>
    <w:rsid w:val="00512E8C"/>
    <w:rsid w:val="00512FD0"/>
    <w:rsid w:val="00512FD8"/>
    <w:rsid w:val="0051341A"/>
    <w:rsid w:val="00513692"/>
    <w:rsid w:val="00513D10"/>
    <w:rsid w:val="0051435F"/>
    <w:rsid w:val="005143F9"/>
    <w:rsid w:val="00514714"/>
    <w:rsid w:val="005147C5"/>
    <w:rsid w:val="00514972"/>
    <w:rsid w:val="00514AD0"/>
    <w:rsid w:val="00514B58"/>
    <w:rsid w:val="00514E56"/>
    <w:rsid w:val="00516082"/>
    <w:rsid w:val="005162AC"/>
    <w:rsid w:val="00516566"/>
    <w:rsid w:val="005165E1"/>
    <w:rsid w:val="00516B6D"/>
    <w:rsid w:val="00516E89"/>
    <w:rsid w:val="00517207"/>
    <w:rsid w:val="0051794C"/>
    <w:rsid w:val="00517A82"/>
    <w:rsid w:val="00517B35"/>
    <w:rsid w:val="00517BDD"/>
    <w:rsid w:val="0052037F"/>
    <w:rsid w:val="005204D2"/>
    <w:rsid w:val="0052099A"/>
    <w:rsid w:val="00520D40"/>
    <w:rsid w:val="005218C3"/>
    <w:rsid w:val="00521B74"/>
    <w:rsid w:val="0052218B"/>
    <w:rsid w:val="005221C6"/>
    <w:rsid w:val="005221E4"/>
    <w:rsid w:val="005225CB"/>
    <w:rsid w:val="0052298F"/>
    <w:rsid w:val="00522BF3"/>
    <w:rsid w:val="00522D72"/>
    <w:rsid w:val="005230CF"/>
    <w:rsid w:val="00523392"/>
    <w:rsid w:val="0052345A"/>
    <w:rsid w:val="00523BC9"/>
    <w:rsid w:val="0052448B"/>
    <w:rsid w:val="005248ED"/>
    <w:rsid w:val="00524AB5"/>
    <w:rsid w:val="00525133"/>
    <w:rsid w:val="0052513C"/>
    <w:rsid w:val="005253E2"/>
    <w:rsid w:val="00525508"/>
    <w:rsid w:val="005256E2"/>
    <w:rsid w:val="005258EA"/>
    <w:rsid w:val="00526059"/>
    <w:rsid w:val="0052606B"/>
    <w:rsid w:val="00526170"/>
    <w:rsid w:val="00526458"/>
    <w:rsid w:val="005264C2"/>
    <w:rsid w:val="005267F9"/>
    <w:rsid w:val="00526C29"/>
    <w:rsid w:val="0052720E"/>
    <w:rsid w:val="0052758B"/>
    <w:rsid w:val="00527DAB"/>
    <w:rsid w:val="005301CE"/>
    <w:rsid w:val="005302B1"/>
    <w:rsid w:val="00530310"/>
    <w:rsid w:val="005305F9"/>
    <w:rsid w:val="00530CA1"/>
    <w:rsid w:val="00530E3C"/>
    <w:rsid w:val="005312DE"/>
    <w:rsid w:val="00531361"/>
    <w:rsid w:val="00531378"/>
    <w:rsid w:val="00531615"/>
    <w:rsid w:val="0053193D"/>
    <w:rsid w:val="00531C11"/>
    <w:rsid w:val="00531D6C"/>
    <w:rsid w:val="0053211C"/>
    <w:rsid w:val="0053238D"/>
    <w:rsid w:val="005325EB"/>
    <w:rsid w:val="00532724"/>
    <w:rsid w:val="00532D78"/>
    <w:rsid w:val="0053350B"/>
    <w:rsid w:val="0053364F"/>
    <w:rsid w:val="00533913"/>
    <w:rsid w:val="00534819"/>
    <w:rsid w:val="005349AA"/>
    <w:rsid w:val="00534A4D"/>
    <w:rsid w:val="005351CF"/>
    <w:rsid w:val="005357DC"/>
    <w:rsid w:val="00535C74"/>
    <w:rsid w:val="00535F58"/>
    <w:rsid w:val="005361AB"/>
    <w:rsid w:val="005363C1"/>
    <w:rsid w:val="005369F2"/>
    <w:rsid w:val="00536FC1"/>
    <w:rsid w:val="005372F7"/>
    <w:rsid w:val="00537CC7"/>
    <w:rsid w:val="00537E44"/>
    <w:rsid w:val="005402DF"/>
    <w:rsid w:val="0054067C"/>
    <w:rsid w:val="00541062"/>
    <w:rsid w:val="0054127A"/>
    <w:rsid w:val="0054132D"/>
    <w:rsid w:val="005416CF"/>
    <w:rsid w:val="00541A9D"/>
    <w:rsid w:val="00541B20"/>
    <w:rsid w:val="00541D43"/>
    <w:rsid w:val="00541E76"/>
    <w:rsid w:val="00542068"/>
    <w:rsid w:val="0054247E"/>
    <w:rsid w:val="005427F0"/>
    <w:rsid w:val="00542810"/>
    <w:rsid w:val="0054291D"/>
    <w:rsid w:val="00542C3C"/>
    <w:rsid w:val="00542FCA"/>
    <w:rsid w:val="005434D7"/>
    <w:rsid w:val="005439E5"/>
    <w:rsid w:val="00543ABE"/>
    <w:rsid w:val="00543AF9"/>
    <w:rsid w:val="00543E8A"/>
    <w:rsid w:val="0054442F"/>
    <w:rsid w:val="00544622"/>
    <w:rsid w:val="00544C74"/>
    <w:rsid w:val="00544D8B"/>
    <w:rsid w:val="00544DE1"/>
    <w:rsid w:val="00544FB4"/>
    <w:rsid w:val="005457F9"/>
    <w:rsid w:val="00545953"/>
    <w:rsid w:val="00545978"/>
    <w:rsid w:val="00545C2B"/>
    <w:rsid w:val="00546168"/>
    <w:rsid w:val="0054667D"/>
    <w:rsid w:val="00546701"/>
    <w:rsid w:val="0054696A"/>
    <w:rsid w:val="00547313"/>
    <w:rsid w:val="00547795"/>
    <w:rsid w:val="005478F3"/>
    <w:rsid w:val="00547936"/>
    <w:rsid w:val="00547AE0"/>
    <w:rsid w:val="00547CD2"/>
    <w:rsid w:val="00547FC0"/>
    <w:rsid w:val="0055072B"/>
    <w:rsid w:val="00551C72"/>
    <w:rsid w:val="00551DCF"/>
    <w:rsid w:val="00552033"/>
    <w:rsid w:val="00552173"/>
    <w:rsid w:val="0055246E"/>
    <w:rsid w:val="00552CDB"/>
    <w:rsid w:val="00552FC4"/>
    <w:rsid w:val="005530F3"/>
    <w:rsid w:val="0055323C"/>
    <w:rsid w:val="005532FE"/>
    <w:rsid w:val="005535A0"/>
    <w:rsid w:val="005536FA"/>
    <w:rsid w:val="00553971"/>
    <w:rsid w:val="00553AE9"/>
    <w:rsid w:val="0055409F"/>
    <w:rsid w:val="00554C25"/>
    <w:rsid w:val="0055532F"/>
    <w:rsid w:val="005558A9"/>
    <w:rsid w:val="0055597F"/>
    <w:rsid w:val="00556578"/>
    <w:rsid w:val="005573B0"/>
    <w:rsid w:val="00557628"/>
    <w:rsid w:val="0055780A"/>
    <w:rsid w:val="00560033"/>
    <w:rsid w:val="0056046D"/>
    <w:rsid w:val="00560A93"/>
    <w:rsid w:val="00560B4A"/>
    <w:rsid w:val="00560BC3"/>
    <w:rsid w:val="00560D73"/>
    <w:rsid w:val="00561120"/>
    <w:rsid w:val="00561146"/>
    <w:rsid w:val="005612F4"/>
    <w:rsid w:val="005617DF"/>
    <w:rsid w:val="005618BD"/>
    <w:rsid w:val="00561D24"/>
    <w:rsid w:val="00561DFC"/>
    <w:rsid w:val="00561E9B"/>
    <w:rsid w:val="00562354"/>
    <w:rsid w:val="00562772"/>
    <w:rsid w:val="005628B4"/>
    <w:rsid w:val="0056294F"/>
    <w:rsid w:val="00563933"/>
    <w:rsid w:val="00563F02"/>
    <w:rsid w:val="00564075"/>
    <w:rsid w:val="0056429D"/>
    <w:rsid w:val="00564328"/>
    <w:rsid w:val="005644A5"/>
    <w:rsid w:val="00564718"/>
    <w:rsid w:val="005658F2"/>
    <w:rsid w:val="00565905"/>
    <w:rsid w:val="00565A06"/>
    <w:rsid w:val="00565B1E"/>
    <w:rsid w:val="00566926"/>
    <w:rsid w:val="00566BB4"/>
    <w:rsid w:val="00566FBB"/>
    <w:rsid w:val="00567970"/>
    <w:rsid w:val="00567DA9"/>
    <w:rsid w:val="005708FE"/>
    <w:rsid w:val="00570A57"/>
    <w:rsid w:val="00570CC7"/>
    <w:rsid w:val="005712FA"/>
    <w:rsid w:val="00571465"/>
    <w:rsid w:val="005717EA"/>
    <w:rsid w:val="0057184C"/>
    <w:rsid w:val="00571B6C"/>
    <w:rsid w:val="00571D72"/>
    <w:rsid w:val="00571F2A"/>
    <w:rsid w:val="0057232A"/>
    <w:rsid w:val="00572380"/>
    <w:rsid w:val="00572BF6"/>
    <w:rsid w:val="00572E86"/>
    <w:rsid w:val="005730D5"/>
    <w:rsid w:val="00573214"/>
    <w:rsid w:val="0057324A"/>
    <w:rsid w:val="00573283"/>
    <w:rsid w:val="00573406"/>
    <w:rsid w:val="005738A6"/>
    <w:rsid w:val="00573B26"/>
    <w:rsid w:val="005740A1"/>
    <w:rsid w:val="005747F8"/>
    <w:rsid w:val="00574959"/>
    <w:rsid w:val="00574CA4"/>
    <w:rsid w:val="00574ED2"/>
    <w:rsid w:val="00574EFD"/>
    <w:rsid w:val="00575062"/>
    <w:rsid w:val="00575174"/>
    <w:rsid w:val="00575488"/>
    <w:rsid w:val="005754FE"/>
    <w:rsid w:val="0057601B"/>
    <w:rsid w:val="00576115"/>
    <w:rsid w:val="0057693C"/>
    <w:rsid w:val="00576ADE"/>
    <w:rsid w:val="00576C75"/>
    <w:rsid w:val="005770BA"/>
    <w:rsid w:val="00577363"/>
    <w:rsid w:val="005776BC"/>
    <w:rsid w:val="00577726"/>
    <w:rsid w:val="00577733"/>
    <w:rsid w:val="00577CC9"/>
    <w:rsid w:val="00577CFD"/>
    <w:rsid w:val="00577DEF"/>
    <w:rsid w:val="00580119"/>
    <w:rsid w:val="005813C9"/>
    <w:rsid w:val="005816FD"/>
    <w:rsid w:val="0058255A"/>
    <w:rsid w:val="00582630"/>
    <w:rsid w:val="00582743"/>
    <w:rsid w:val="00582A5B"/>
    <w:rsid w:val="0058347D"/>
    <w:rsid w:val="00583632"/>
    <w:rsid w:val="00583678"/>
    <w:rsid w:val="00583946"/>
    <w:rsid w:val="00583AB4"/>
    <w:rsid w:val="00583E72"/>
    <w:rsid w:val="00583EE0"/>
    <w:rsid w:val="00584869"/>
    <w:rsid w:val="00584B6C"/>
    <w:rsid w:val="00584D5F"/>
    <w:rsid w:val="00584EA7"/>
    <w:rsid w:val="00584F0C"/>
    <w:rsid w:val="00584F54"/>
    <w:rsid w:val="00585158"/>
    <w:rsid w:val="0058550A"/>
    <w:rsid w:val="0058566B"/>
    <w:rsid w:val="00585AE3"/>
    <w:rsid w:val="00585B16"/>
    <w:rsid w:val="00585B6C"/>
    <w:rsid w:val="00585D6A"/>
    <w:rsid w:val="005861EB"/>
    <w:rsid w:val="00586649"/>
    <w:rsid w:val="00586E5E"/>
    <w:rsid w:val="0058767A"/>
    <w:rsid w:val="00587E47"/>
    <w:rsid w:val="00587F4E"/>
    <w:rsid w:val="00591041"/>
    <w:rsid w:val="00591359"/>
    <w:rsid w:val="0059168A"/>
    <w:rsid w:val="005918B3"/>
    <w:rsid w:val="00591AF8"/>
    <w:rsid w:val="00592461"/>
    <w:rsid w:val="0059277D"/>
    <w:rsid w:val="00592801"/>
    <w:rsid w:val="005928A3"/>
    <w:rsid w:val="00592F19"/>
    <w:rsid w:val="00592FC3"/>
    <w:rsid w:val="005935C4"/>
    <w:rsid w:val="00593780"/>
    <w:rsid w:val="00593C33"/>
    <w:rsid w:val="005941C8"/>
    <w:rsid w:val="00594E6C"/>
    <w:rsid w:val="00595861"/>
    <w:rsid w:val="005959C0"/>
    <w:rsid w:val="00596357"/>
    <w:rsid w:val="005968F1"/>
    <w:rsid w:val="00596BB4"/>
    <w:rsid w:val="00596E7C"/>
    <w:rsid w:val="0059701B"/>
    <w:rsid w:val="00597972"/>
    <w:rsid w:val="005979C1"/>
    <w:rsid w:val="00597A6D"/>
    <w:rsid w:val="00597FAB"/>
    <w:rsid w:val="005A006F"/>
    <w:rsid w:val="005A00AD"/>
    <w:rsid w:val="005A05A1"/>
    <w:rsid w:val="005A0801"/>
    <w:rsid w:val="005A0B8E"/>
    <w:rsid w:val="005A0CF6"/>
    <w:rsid w:val="005A1C3A"/>
    <w:rsid w:val="005A21C3"/>
    <w:rsid w:val="005A261A"/>
    <w:rsid w:val="005A2631"/>
    <w:rsid w:val="005A2919"/>
    <w:rsid w:val="005A2B1F"/>
    <w:rsid w:val="005A2E4C"/>
    <w:rsid w:val="005A3281"/>
    <w:rsid w:val="005A3BAF"/>
    <w:rsid w:val="005A3FB1"/>
    <w:rsid w:val="005A4108"/>
    <w:rsid w:val="005A458F"/>
    <w:rsid w:val="005A47D5"/>
    <w:rsid w:val="005A48FD"/>
    <w:rsid w:val="005A4BED"/>
    <w:rsid w:val="005A4C43"/>
    <w:rsid w:val="005A4FE8"/>
    <w:rsid w:val="005A509A"/>
    <w:rsid w:val="005A526B"/>
    <w:rsid w:val="005A5390"/>
    <w:rsid w:val="005A588E"/>
    <w:rsid w:val="005A5B0C"/>
    <w:rsid w:val="005A6BC8"/>
    <w:rsid w:val="005A6FDA"/>
    <w:rsid w:val="005A7106"/>
    <w:rsid w:val="005A7383"/>
    <w:rsid w:val="005A7476"/>
    <w:rsid w:val="005A777A"/>
    <w:rsid w:val="005A7817"/>
    <w:rsid w:val="005A7CBB"/>
    <w:rsid w:val="005A7FFC"/>
    <w:rsid w:val="005B05DE"/>
    <w:rsid w:val="005B0A48"/>
    <w:rsid w:val="005B104C"/>
    <w:rsid w:val="005B10D8"/>
    <w:rsid w:val="005B11D1"/>
    <w:rsid w:val="005B12A8"/>
    <w:rsid w:val="005B12E0"/>
    <w:rsid w:val="005B1C7E"/>
    <w:rsid w:val="005B1CF6"/>
    <w:rsid w:val="005B249C"/>
    <w:rsid w:val="005B29B5"/>
    <w:rsid w:val="005B371B"/>
    <w:rsid w:val="005B3A3B"/>
    <w:rsid w:val="005B488E"/>
    <w:rsid w:val="005B5698"/>
    <w:rsid w:val="005B59CB"/>
    <w:rsid w:val="005B5DED"/>
    <w:rsid w:val="005B61EA"/>
    <w:rsid w:val="005B629C"/>
    <w:rsid w:val="005B672A"/>
    <w:rsid w:val="005B67C8"/>
    <w:rsid w:val="005B6C21"/>
    <w:rsid w:val="005B760F"/>
    <w:rsid w:val="005B7802"/>
    <w:rsid w:val="005B79C5"/>
    <w:rsid w:val="005B7C1B"/>
    <w:rsid w:val="005B7DB8"/>
    <w:rsid w:val="005C08B4"/>
    <w:rsid w:val="005C0A76"/>
    <w:rsid w:val="005C0D9C"/>
    <w:rsid w:val="005C1721"/>
    <w:rsid w:val="005C1CE7"/>
    <w:rsid w:val="005C1E2B"/>
    <w:rsid w:val="005C2085"/>
    <w:rsid w:val="005C211F"/>
    <w:rsid w:val="005C22FE"/>
    <w:rsid w:val="005C266A"/>
    <w:rsid w:val="005C2980"/>
    <w:rsid w:val="005C2B14"/>
    <w:rsid w:val="005C3548"/>
    <w:rsid w:val="005C3A10"/>
    <w:rsid w:val="005C3A7A"/>
    <w:rsid w:val="005C3CEF"/>
    <w:rsid w:val="005C3D00"/>
    <w:rsid w:val="005C407E"/>
    <w:rsid w:val="005C4817"/>
    <w:rsid w:val="005C4CF8"/>
    <w:rsid w:val="005C50AA"/>
    <w:rsid w:val="005C532A"/>
    <w:rsid w:val="005C611B"/>
    <w:rsid w:val="005C626F"/>
    <w:rsid w:val="005C6344"/>
    <w:rsid w:val="005C67A8"/>
    <w:rsid w:val="005C6A66"/>
    <w:rsid w:val="005C6D21"/>
    <w:rsid w:val="005C6F94"/>
    <w:rsid w:val="005C7348"/>
    <w:rsid w:val="005C7482"/>
    <w:rsid w:val="005C770C"/>
    <w:rsid w:val="005C793C"/>
    <w:rsid w:val="005C7CCC"/>
    <w:rsid w:val="005C7FA5"/>
    <w:rsid w:val="005D0BC0"/>
    <w:rsid w:val="005D0F7C"/>
    <w:rsid w:val="005D12FC"/>
    <w:rsid w:val="005D13DF"/>
    <w:rsid w:val="005D1A98"/>
    <w:rsid w:val="005D2112"/>
    <w:rsid w:val="005D21CD"/>
    <w:rsid w:val="005D2E10"/>
    <w:rsid w:val="005D391F"/>
    <w:rsid w:val="005D3CFE"/>
    <w:rsid w:val="005D3CFF"/>
    <w:rsid w:val="005D45D7"/>
    <w:rsid w:val="005D460A"/>
    <w:rsid w:val="005D48E7"/>
    <w:rsid w:val="005D4978"/>
    <w:rsid w:val="005D4A01"/>
    <w:rsid w:val="005D4AFB"/>
    <w:rsid w:val="005D51D8"/>
    <w:rsid w:val="005D566B"/>
    <w:rsid w:val="005D57B1"/>
    <w:rsid w:val="005D581C"/>
    <w:rsid w:val="005D583F"/>
    <w:rsid w:val="005D585F"/>
    <w:rsid w:val="005D5909"/>
    <w:rsid w:val="005D5A64"/>
    <w:rsid w:val="005D5BA1"/>
    <w:rsid w:val="005D5FF1"/>
    <w:rsid w:val="005D6205"/>
    <w:rsid w:val="005D63A8"/>
    <w:rsid w:val="005D640F"/>
    <w:rsid w:val="005D6578"/>
    <w:rsid w:val="005D697E"/>
    <w:rsid w:val="005D6E54"/>
    <w:rsid w:val="005D6E6C"/>
    <w:rsid w:val="005D6F2D"/>
    <w:rsid w:val="005D7378"/>
    <w:rsid w:val="005D784E"/>
    <w:rsid w:val="005D79C5"/>
    <w:rsid w:val="005D7AA8"/>
    <w:rsid w:val="005E071C"/>
    <w:rsid w:val="005E0C2D"/>
    <w:rsid w:val="005E1345"/>
    <w:rsid w:val="005E143B"/>
    <w:rsid w:val="005E151B"/>
    <w:rsid w:val="005E1A7D"/>
    <w:rsid w:val="005E1BF8"/>
    <w:rsid w:val="005E1C6F"/>
    <w:rsid w:val="005E1F22"/>
    <w:rsid w:val="005E2471"/>
    <w:rsid w:val="005E2479"/>
    <w:rsid w:val="005E2637"/>
    <w:rsid w:val="005E268C"/>
    <w:rsid w:val="005E284C"/>
    <w:rsid w:val="005E2A1E"/>
    <w:rsid w:val="005E2AE8"/>
    <w:rsid w:val="005E2BD5"/>
    <w:rsid w:val="005E31E5"/>
    <w:rsid w:val="005E3602"/>
    <w:rsid w:val="005E3613"/>
    <w:rsid w:val="005E40E0"/>
    <w:rsid w:val="005E469B"/>
    <w:rsid w:val="005E48D2"/>
    <w:rsid w:val="005E49B2"/>
    <w:rsid w:val="005E52F4"/>
    <w:rsid w:val="005E55D2"/>
    <w:rsid w:val="005E55F2"/>
    <w:rsid w:val="005E5D90"/>
    <w:rsid w:val="005E6358"/>
    <w:rsid w:val="005E63F0"/>
    <w:rsid w:val="005E6660"/>
    <w:rsid w:val="005E67EC"/>
    <w:rsid w:val="005E67FC"/>
    <w:rsid w:val="005E6821"/>
    <w:rsid w:val="005E7007"/>
    <w:rsid w:val="005E71FA"/>
    <w:rsid w:val="005E731A"/>
    <w:rsid w:val="005E73DA"/>
    <w:rsid w:val="005E776D"/>
    <w:rsid w:val="005E7BD1"/>
    <w:rsid w:val="005E7E04"/>
    <w:rsid w:val="005F00D4"/>
    <w:rsid w:val="005F0176"/>
    <w:rsid w:val="005F03DB"/>
    <w:rsid w:val="005F03F4"/>
    <w:rsid w:val="005F0AE8"/>
    <w:rsid w:val="005F19AF"/>
    <w:rsid w:val="005F1AB4"/>
    <w:rsid w:val="005F1B53"/>
    <w:rsid w:val="005F1D8C"/>
    <w:rsid w:val="005F1FD6"/>
    <w:rsid w:val="005F24EE"/>
    <w:rsid w:val="005F2515"/>
    <w:rsid w:val="005F2620"/>
    <w:rsid w:val="005F2957"/>
    <w:rsid w:val="005F2A6B"/>
    <w:rsid w:val="005F2F69"/>
    <w:rsid w:val="005F321E"/>
    <w:rsid w:val="005F3366"/>
    <w:rsid w:val="005F3759"/>
    <w:rsid w:val="005F40C1"/>
    <w:rsid w:val="005F41EF"/>
    <w:rsid w:val="005F4266"/>
    <w:rsid w:val="005F4586"/>
    <w:rsid w:val="005F4DAC"/>
    <w:rsid w:val="005F4EBB"/>
    <w:rsid w:val="005F54F1"/>
    <w:rsid w:val="005F581F"/>
    <w:rsid w:val="005F59B5"/>
    <w:rsid w:val="005F67B2"/>
    <w:rsid w:val="005F683F"/>
    <w:rsid w:val="005F6C9D"/>
    <w:rsid w:val="005F6D0C"/>
    <w:rsid w:val="005F6E3B"/>
    <w:rsid w:val="005F77BF"/>
    <w:rsid w:val="006002A0"/>
    <w:rsid w:val="006003AA"/>
    <w:rsid w:val="006008E0"/>
    <w:rsid w:val="00600A39"/>
    <w:rsid w:val="00600E59"/>
    <w:rsid w:val="00601106"/>
    <w:rsid w:val="006013C1"/>
    <w:rsid w:val="006014F8"/>
    <w:rsid w:val="006015E9"/>
    <w:rsid w:val="0060165F"/>
    <w:rsid w:val="00601705"/>
    <w:rsid w:val="006018F8"/>
    <w:rsid w:val="00601B6A"/>
    <w:rsid w:val="00601BBD"/>
    <w:rsid w:val="00601CF9"/>
    <w:rsid w:val="006024D3"/>
    <w:rsid w:val="0060254E"/>
    <w:rsid w:val="00602638"/>
    <w:rsid w:val="00602AED"/>
    <w:rsid w:val="00602C79"/>
    <w:rsid w:val="00602CC0"/>
    <w:rsid w:val="006033F5"/>
    <w:rsid w:val="006037AD"/>
    <w:rsid w:val="00603990"/>
    <w:rsid w:val="00603B6F"/>
    <w:rsid w:val="00604179"/>
    <w:rsid w:val="006042A6"/>
    <w:rsid w:val="00604833"/>
    <w:rsid w:val="006048CE"/>
    <w:rsid w:val="00604C06"/>
    <w:rsid w:val="00604C4E"/>
    <w:rsid w:val="006053F5"/>
    <w:rsid w:val="006058D8"/>
    <w:rsid w:val="00605A8F"/>
    <w:rsid w:val="00605D5A"/>
    <w:rsid w:val="006060E1"/>
    <w:rsid w:val="00606105"/>
    <w:rsid w:val="006066BA"/>
    <w:rsid w:val="00606EF9"/>
    <w:rsid w:val="0060706A"/>
    <w:rsid w:val="00607406"/>
    <w:rsid w:val="00607670"/>
    <w:rsid w:val="00607758"/>
    <w:rsid w:val="006078F2"/>
    <w:rsid w:val="006078FD"/>
    <w:rsid w:val="00607C81"/>
    <w:rsid w:val="00610274"/>
    <w:rsid w:val="00610294"/>
    <w:rsid w:val="006104D8"/>
    <w:rsid w:val="00610582"/>
    <w:rsid w:val="00610674"/>
    <w:rsid w:val="00610807"/>
    <w:rsid w:val="00610A41"/>
    <w:rsid w:val="00610D5E"/>
    <w:rsid w:val="006110E8"/>
    <w:rsid w:val="00611110"/>
    <w:rsid w:val="006111F5"/>
    <w:rsid w:val="006112E3"/>
    <w:rsid w:val="006118CA"/>
    <w:rsid w:val="00611C29"/>
    <w:rsid w:val="00611CE3"/>
    <w:rsid w:val="00611F96"/>
    <w:rsid w:val="0061225A"/>
    <w:rsid w:val="00612CA8"/>
    <w:rsid w:val="00613015"/>
    <w:rsid w:val="00613467"/>
    <w:rsid w:val="00613512"/>
    <w:rsid w:val="006135CD"/>
    <w:rsid w:val="00613A88"/>
    <w:rsid w:val="00614091"/>
    <w:rsid w:val="00614195"/>
    <w:rsid w:val="006147B0"/>
    <w:rsid w:val="00614BAE"/>
    <w:rsid w:val="00615A88"/>
    <w:rsid w:val="00616275"/>
    <w:rsid w:val="00616498"/>
    <w:rsid w:val="0061665E"/>
    <w:rsid w:val="00616AB0"/>
    <w:rsid w:val="00616C46"/>
    <w:rsid w:val="00616C56"/>
    <w:rsid w:val="006173DF"/>
    <w:rsid w:val="006175B2"/>
    <w:rsid w:val="00617789"/>
    <w:rsid w:val="00617D99"/>
    <w:rsid w:val="0062027A"/>
    <w:rsid w:val="0062031F"/>
    <w:rsid w:val="00620365"/>
    <w:rsid w:val="0062042B"/>
    <w:rsid w:val="006204C8"/>
    <w:rsid w:val="0062123C"/>
    <w:rsid w:val="00621B9F"/>
    <w:rsid w:val="00622009"/>
    <w:rsid w:val="00622436"/>
    <w:rsid w:val="0062248F"/>
    <w:rsid w:val="00622A4E"/>
    <w:rsid w:val="00622B55"/>
    <w:rsid w:val="00623092"/>
    <w:rsid w:val="00623218"/>
    <w:rsid w:val="00623454"/>
    <w:rsid w:val="0062392F"/>
    <w:rsid w:val="0062398E"/>
    <w:rsid w:val="00623B6A"/>
    <w:rsid w:val="00624315"/>
    <w:rsid w:val="0062433B"/>
    <w:rsid w:val="006245AB"/>
    <w:rsid w:val="00624769"/>
    <w:rsid w:val="00624778"/>
    <w:rsid w:val="00624829"/>
    <w:rsid w:val="00624BF4"/>
    <w:rsid w:val="00624C32"/>
    <w:rsid w:val="0062513E"/>
    <w:rsid w:val="0062545B"/>
    <w:rsid w:val="0062552A"/>
    <w:rsid w:val="0062589A"/>
    <w:rsid w:val="00625CC2"/>
    <w:rsid w:val="00626E66"/>
    <w:rsid w:val="0062706C"/>
    <w:rsid w:val="0062726F"/>
    <w:rsid w:val="00627291"/>
    <w:rsid w:val="006273EA"/>
    <w:rsid w:val="006279AB"/>
    <w:rsid w:val="00627CBD"/>
    <w:rsid w:val="00630020"/>
    <w:rsid w:val="006300C8"/>
    <w:rsid w:val="0063010E"/>
    <w:rsid w:val="0063041B"/>
    <w:rsid w:val="00630496"/>
    <w:rsid w:val="006305A0"/>
    <w:rsid w:val="0063067C"/>
    <w:rsid w:val="00630EE2"/>
    <w:rsid w:val="006314B2"/>
    <w:rsid w:val="00631710"/>
    <w:rsid w:val="00631E54"/>
    <w:rsid w:val="006323C4"/>
    <w:rsid w:val="0063253E"/>
    <w:rsid w:val="00632667"/>
    <w:rsid w:val="00632699"/>
    <w:rsid w:val="0063278A"/>
    <w:rsid w:val="006329DA"/>
    <w:rsid w:val="00632C64"/>
    <w:rsid w:val="00632E01"/>
    <w:rsid w:val="006332BE"/>
    <w:rsid w:val="006333C5"/>
    <w:rsid w:val="00633790"/>
    <w:rsid w:val="00633D61"/>
    <w:rsid w:val="00633D93"/>
    <w:rsid w:val="00634470"/>
    <w:rsid w:val="0063469A"/>
    <w:rsid w:val="00634C1B"/>
    <w:rsid w:val="00634FBD"/>
    <w:rsid w:val="006353C9"/>
    <w:rsid w:val="0063554C"/>
    <w:rsid w:val="0063579F"/>
    <w:rsid w:val="00635A72"/>
    <w:rsid w:val="00636616"/>
    <w:rsid w:val="006368B1"/>
    <w:rsid w:val="00636CB1"/>
    <w:rsid w:val="00636D93"/>
    <w:rsid w:val="00636F41"/>
    <w:rsid w:val="00636F5B"/>
    <w:rsid w:val="006377EC"/>
    <w:rsid w:val="00637ABF"/>
    <w:rsid w:val="00637C5B"/>
    <w:rsid w:val="00637F7E"/>
    <w:rsid w:val="006408C3"/>
    <w:rsid w:val="00640E65"/>
    <w:rsid w:val="006418B5"/>
    <w:rsid w:val="00641F9D"/>
    <w:rsid w:val="00642376"/>
    <w:rsid w:val="0064248C"/>
    <w:rsid w:val="006428AF"/>
    <w:rsid w:val="0064290C"/>
    <w:rsid w:val="0064293F"/>
    <w:rsid w:val="00642BBD"/>
    <w:rsid w:val="006430A4"/>
    <w:rsid w:val="00643166"/>
    <w:rsid w:val="0064344A"/>
    <w:rsid w:val="006436B7"/>
    <w:rsid w:val="006436E5"/>
    <w:rsid w:val="00643876"/>
    <w:rsid w:val="00643E60"/>
    <w:rsid w:val="00644180"/>
    <w:rsid w:val="006442E4"/>
    <w:rsid w:val="006444C8"/>
    <w:rsid w:val="006448C0"/>
    <w:rsid w:val="00644B1E"/>
    <w:rsid w:val="0064518D"/>
    <w:rsid w:val="00645251"/>
    <w:rsid w:val="006453BA"/>
    <w:rsid w:val="006454BB"/>
    <w:rsid w:val="006455BF"/>
    <w:rsid w:val="00645AA0"/>
    <w:rsid w:val="00645AB3"/>
    <w:rsid w:val="0064620D"/>
    <w:rsid w:val="00646305"/>
    <w:rsid w:val="0064637D"/>
    <w:rsid w:val="00646A15"/>
    <w:rsid w:val="0064719A"/>
    <w:rsid w:val="006474BB"/>
    <w:rsid w:val="006478E2"/>
    <w:rsid w:val="006479D4"/>
    <w:rsid w:val="00647E25"/>
    <w:rsid w:val="00650553"/>
    <w:rsid w:val="00650D97"/>
    <w:rsid w:val="006519DF"/>
    <w:rsid w:val="00651A47"/>
    <w:rsid w:val="00651B25"/>
    <w:rsid w:val="00651E0D"/>
    <w:rsid w:val="0065226B"/>
    <w:rsid w:val="006523F7"/>
    <w:rsid w:val="00652F0C"/>
    <w:rsid w:val="00653228"/>
    <w:rsid w:val="00653282"/>
    <w:rsid w:val="006535DB"/>
    <w:rsid w:val="006545E6"/>
    <w:rsid w:val="00654B4A"/>
    <w:rsid w:val="00654D4D"/>
    <w:rsid w:val="00655158"/>
    <w:rsid w:val="00655727"/>
    <w:rsid w:val="00655D92"/>
    <w:rsid w:val="006568AF"/>
    <w:rsid w:val="00656A27"/>
    <w:rsid w:val="00656BAF"/>
    <w:rsid w:val="00656D9F"/>
    <w:rsid w:val="00656DCD"/>
    <w:rsid w:val="0065704D"/>
    <w:rsid w:val="006570BD"/>
    <w:rsid w:val="006574A6"/>
    <w:rsid w:val="006575EB"/>
    <w:rsid w:val="00657754"/>
    <w:rsid w:val="00657A0F"/>
    <w:rsid w:val="006603F3"/>
    <w:rsid w:val="0066078F"/>
    <w:rsid w:val="00660A18"/>
    <w:rsid w:val="00660C7D"/>
    <w:rsid w:val="00661437"/>
    <w:rsid w:val="006616A9"/>
    <w:rsid w:val="006618AA"/>
    <w:rsid w:val="00662B50"/>
    <w:rsid w:val="00662DFF"/>
    <w:rsid w:val="00662ECC"/>
    <w:rsid w:val="00663156"/>
    <w:rsid w:val="006632DE"/>
    <w:rsid w:val="00663413"/>
    <w:rsid w:val="00663614"/>
    <w:rsid w:val="00663C84"/>
    <w:rsid w:val="0066433B"/>
    <w:rsid w:val="00664356"/>
    <w:rsid w:val="006649AF"/>
    <w:rsid w:val="00664ABA"/>
    <w:rsid w:val="00665443"/>
    <w:rsid w:val="00665A64"/>
    <w:rsid w:val="00665FC6"/>
    <w:rsid w:val="00666083"/>
    <w:rsid w:val="0066632A"/>
    <w:rsid w:val="0066667B"/>
    <w:rsid w:val="00666916"/>
    <w:rsid w:val="00666C13"/>
    <w:rsid w:val="00667104"/>
    <w:rsid w:val="00667176"/>
    <w:rsid w:val="006671AE"/>
    <w:rsid w:val="006674B6"/>
    <w:rsid w:val="00667B00"/>
    <w:rsid w:val="00667CBF"/>
    <w:rsid w:val="00667EB0"/>
    <w:rsid w:val="00670003"/>
    <w:rsid w:val="0067020B"/>
    <w:rsid w:val="00670821"/>
    <w:rsid w:val="0067095A"/>
    <w:rsid w:val="00670B03"/>
    <w:rsid w:val="006718A3"/>
    <w:rsid w:val="006718AF"/>
    <w:rsid w:val="00672008"/>
    <w:rsid w:val="00672120"/>
    <w:rsid w:val="00672285"/>
    <w:rsid w:val="00672402"/>
    <w:rsid w:val="0067290D"/>
    <w:rsid w:val="00672A5A"/>
    <w:rsid w:val="00672EA9"/>
    <w:rsid w:val="00672FCD"/>
    <w:rsid w:val="0067312C"/>
    <w:rsid w:val="00673173"/>
    <w:rsid w:val="00673201"/>
    <w:rsid w:val="0067322A"/>
    <w:rsid w:val="0067327D"/>
    <w:rsid w:val="00673352"/>
    <w:rsid w:val="00673843"/>
    <w:rsid w:val="006738A1"/>
    <w:rsid w:val="00673F9C"/>
    <w:rsid w:val="006742F9"/>
    <w:rsid w:val="0067459F"/>
    <w:rsid w:val="0067460C"/>
    <w:rsid w:val="00674705"/>
    <w:rsid w:val="006748F3"/>
    <w:rsid w:val="00675195"/>
    <w:rsid w:val="00675418"/>
    <w:rsid w:val="00675DD4"/>
    <w:rsid w:val="00675DD8"/>
    <w:rsid w:val="00675F48"/>
    <w:rsid w:val="00676309"/>
    <w:rsid w:val="00676A14"/>
    <w:rsid w:val="00676B12"/>
    <w:rsid w:val="00676C59"/>
    <w:rsid w:val="00676D57"/>
    <w:rsid w:val="00676E15"/>
    <w:rsid w:val="00677061"/>
    <w:rsid w:val="006770D5"/>
    <w:rsid w:val="00677167"/>
    <w:rsid w:val="00677912"/>
    <w:rsid w:val="00677BAE"/>
    <w:rsid w:val="00677DED"/>
    <w:rsid w:val="00680927"/>
    <w:rsid w:val="006809E0"/>
    <w:rsid w:val="00680FBE"/>
    <w:rsid w:val="00681472"/>
    <w:rsid w:val="0068196B"/>
    <w:rsid w:val="00681C5B"/>
    <w:rsid w:val="00681D74"/>
    <w:rsid w:val="006825A8"/>
    <w:rsid w:val="00682974"/>
    <w:rsid w:val="00682A94"/>
    <w:rsid w:val="00682B1F"/>
    <w:rsid w:val="00683082"/>
    <w:rsid w:val="0068368C"/>
    <w:rsid w:val="00683A26"/>
    <w:rsid w:val="00683A3B"/>
    <w:rsid w:val="00683C6E"/>
    <w:rsid w:val="00683D89"/>
    <w:rsid w:val="00683F48"/>
    <w:rsid w:val="00683F83"/>
    <w:rsid w:val="00683FCF"/>
    <w:rsid w:val="0068405A"/>
    <w:rsid w:val="00684261"/>
    <w:rsid w:val="0068446B"/>
    <w:rsid w:val="00684545"/>
    <w:rsid w:val="00684840"/>
    <w:rsid w:val="006848CA"/>
    <w:rsid w:val="00684B7B"/>
    <w:rsid w:val="00684B7C"/>
    <w:rsid w:val="00684F6F"/>
    <w:rsid w:val="006854E3"/>
    <w:rsid w:val="006857A9"/>
    <w:rsid w:val="00685B29"/>
    <w:rsid w:val="00685DC7"/>
    <w:rsid w:val="00685EB1"/>
    <w:rsid w:val="00686193"/>
    <w:rsid w:val="006861EC"/>
    <w:rsid w:val="006861FE"/>
    <w:rsid w:val="00686450"/>
    <w:rsid w:val="0068650C"/>
    <w:rsid w:val="0068676F"/>
    <w:rsid w:val="0068699C"/>
    <w:rsid w:val="00686A53"/>
    <w:rsid w:val="00686A71"/>
    <w:rsid w:val="00686B28"/>
    <w:rsid w:val="00686B62"/>
    <w:rsid w:val="006871A1"/>
    <w:rsid w:val="006879BE"/>
    <w:rsid w:val="00687C4D"/>
    <w:rsid w:val="006906FE"/>
    <w:rsid w:val="006910E3"/>
    <w:rsid w:val="0069123E"/>
    <w:rsid w:val="006918FA"/>
    <w:rsid w:val="00691913"/>
    <w:rsid w:val="006922D5"/>
    <w:rsid w:val="00692A80"/>
    <w:rsid w:val="00693399"/>
    <w:rsid w:val="006940D3"/>
    <w:rsid w:val="00694434"/>
    <w:rsid w:val="006944D8"/>
    <w:rsid w:val="0069459C"/>
    <w:rsid w:val="00694726"/>
    <w:rsid w:val="00694C84"/>
    <w:rsid w:val="00694F78"/>
    <w:rsid w:val="00694FD7"/>
    <w:rsid w:val="0069541E"/>
    <w:rsid w:val="00695835"/>
    <w:rsid w:val="00696371"/>
    <w:rsid w:val="00696D25"/>
    <w:rsid w:val="00696F95"/>
    <w:rsid w:val="00697081"/>
    <w:rsid w:val="006970A6"/>
    <w:rsid w:val="00697142"/>
    <w:rsid w:val="006971AC"/>
    <w:rsid w:val="00697397"/>
    <w:rsid w:val="006979B2"/>
    <w:rsid w:val="00697AB8"/>
    <w:rsid w:val="00697DC4"/>
    <w:rsid w:val="006A009F"/>
    <w:rsid w:val="006A0CC3"/>
    <w:rsid w:val="006A0DD1"/>
    <w:rsid w:val="006A0E71"/>
    <w:rsid w:val="006A1016"/>
    <w:rsid w:val="006A11F4"/>
    <w:rsid w:val="006A138B"/>
    <w:rsid w:val="006A1569"/>
    <w:rsid w:val="006A15B9"/>
    <w:rsid w:val="006A239A"/>
    <w:rsid w:val="006A23E5"/>
    <w:rsid w:val="006A2810"/>
    <w:rsid w:val="006A29DC"/>
    <w:rsid w:val="006A2B59"/>
    <w:rsid w:val="006A2D24"/>
    <w:rsid w:val="006A2FB8"/>
    <w:rsid w:val="006A2FC1"/>
    <w:rsid w:val="006A3B13"/>
    <w:rsid w:val="006A3D90"/>
    <w:rsid w:val="006A4080"/>
    <w:rsid w:val="006A449D"/>
    <w:rsid w:val="006A4B18"/>
    <w:rsid w:val="006A4B1B"/>
    <w:rsid w:val="006A4F4F"/>
    <w:rsid w:val="006A5418"/>
    <w:rsid w:val="006A5534"/>
    <w:rsid w:val="006A55FC"/>
    <w:rsid w:val="006A5883"/>
    <w:rsid w:val="006A5B9A"/>
    <w:rsid w:val="006A5C0B"/>
    <w:rsid w:val="006A5C40"/>
    <w:rsid w:val="006A5CE6"/>
    <w:rsid w:val="006A678C"/>
    <w:rsid w:val="006A6A71"/>
    <w:rsid w:val="006A6EB9"/>
    <w:rsid w:val="006A730C"/>
    <w:rsid w:val="006A7361"/>
    <w:rsid w:val="006A75D0"/>
    <w:rsid w:val="006A78C3"/>
    <w:rsid w:val="006B031E"/>
    <w:rsid w:val="006B0480"/>
    <w:rsid w:val="006B06F9"/>
    <w:rsid w:val="006B0AEA"/>
    <w:rsid w:val="006B135A"/>
    <w:rsid w:val="006B140A"/>
    <w:rsid w:val="006B19CA"/>
    <w:rsid w:val="006B1B6C"/>
    <w:rsid w:val="006B1D56"/>
    <w:rsid w:val="006B1D97"/>
    <w:rsid w:val="006B1D99"/>
    <w:rsid w:val="006B2C2A"/>
    <w:rsid w:val="006B2EC9"/>
    <w:rsid w:val="006B3018"/>
    <w:rsid w:val="006B3147"/>
    <w:rsid w:val="006B32AD"/>
    <w:rsid w:val="006B33D9"/>
    <w:rsid w:val="006B383D"/>
    <w:rsid w:val="006B3BD6"/>
    <w:rsid w:val="006B3EC1"/>
    <w:rsid w:val="006B43DF"/>
    <w:rsid w:val="006B4F9B"/>
    <w:rsid w:val="006B53A7"/>
    <w:rsid w:val="006B5D29"/>
    <w:rsid w:val="006B6044"/>
    <w:rsid w:val="006B670E"/>
    <w:rsid w:val="006B6724"/>
    <w:rsid w:val="006B673B"/>
    <w:rsid w:val="006B6DE4"/>
    <w:rsid w:val="006B766C"/>
    <w:rsid w:val="006B79D9"/>
    <w:rsid w:val="006B7C4D"/>
    <w:rsid w:val="006B7DD8"/>
    <w:rsid w:val="006B7E82"/>
    <w:rsid w:val="006B7FBB"/>
    <w:rsid w:val="006B7FCF"/>
    <w:rsid w:val="006C014A"/>
    <w:rsid w:val="006C06DD"/>
    <w:rsid w:val="006C0963"/>
    <w:rsid w:val="006C0974"/>
    <w:rsid w:val="006C0B7F"/>
    <w:rsid w:val="006C0D90"/>
    <w:rsid w:val="006C1532"/>
    <w:rsid w:val="006C1D97"/>
    <w:rsid w:val="006C1DBC"/>
    <w:rsid w:val="006C1ED6"/>
    <w:rsid w:val="006C258C"/>
    <w:rsid w:val="006C2711"/>
    <w:rsid w:val="006C2E4D"/>
    <w:rsid w:val="006C3404"/>
    <w:rsid w:val="006C34F2"/>
    <w:rsid w:val="006C367B"/>
    <w:rsid w:val="006C36D5"/>
    <w:rsid w:val="006C374B"/>
    <w:rsid w:val="006C3DD8"/>
    <w:rsid w:val="006C43F7"/>
    <w:rsid w:val="006C462C"/>
    <w:rsid w:val="006C46CC"/>
    <w:rsid w:val="006C4906"/>
    <w:rsid w:val="006C504B"/>
    <w:rsid w:val="006C51D9"/>
    <w:rsid w:val="006C527B"/>
    <w:rsid w:val="006C5EC4"/>
    <w:rsid w:val="006C5F57"/>
    <w:rsid w:val="006C6104"/>
    <w:rsid w:val="006C62AB"/>
    <w:rsid w:val="006C653C"/>
    <w:rsid w:val="006C67C8"/>
    <w:rsid w:val="006C6A24"/>
    <w:rsid w:val="006C6AA6"/>
    <w:rsid w:val="006C7026"/>
    <w:rsid w:val="006C7375"/>
    <w:rsid w:val="006C74EF"/>
    <w:rsid w:val="006D0243"/>
    <w:rsid w:val="006D035A"/>
    <w:rsid w:val="006D058C"/>
    <w:rsid w:val="006D0664"/>
    <w:rsid w:val="006D069E"/>
    <w:rsid w:val="006D0905"/>
    <w:rsid w:val="006D1234"/>
    <w:rsid w:val="006D1413"/>
    <w:rsid w:val="006D24BC"/>
    <w:rsid w:val="006D2590"/>
    <w:rsid w:val="006D2CD1"/>
    <w:rsid w:val="006D2DE8"/>
    <w:rsid w:val="006D305F"/>
    <w:rsid w:val="006D3179"/>
    <w:rsid w:val="006D323A"/>
    <w:rsid w:val="006D3271"/>
    <w:rsid w:val="006D33C5"/>
    <w:rsid w:val="006D3D14"/>
    <w:rsid w:val="006D49AD"/>
    <w:rsid w:val="006D4D76"/>
    <w:rsid w:val="006D4E1F"/>
    <w:rsid w:val="006D5CB1"/>
    <w:rsid w:val="006D5D03"/>
    <w:rsid w:val="006D5D64"/>
    <w:rsid w:val="006D5E47"/>
    <w:rsid w:val="006D5F43"/>
    <w:rsid w:val="006D6695"/>
    <w:rsid w:val="006D6992"/>
    <w:rsid w:val="006D6F2F"/>
    <w:rsid w:val="006D70B0"/>
    <w:rsid w:val="006D71FC"/>
    <w:rsid w:val="006D7590"/>
    <w:rsid w:val="006D76EF"/>
    <w:rsid w:val="006D7D25"/>
    <w:rsid w:val="006E0B15"/>
    <w:rsid w:val="006E0B1C"/>
    <w:rsid w:val="006E0C51"/>
    <w:rsid w:val="006E0D5B"/>
    <w:rsid w:val="006E0E9F"/>
    <w:rsid w:val="006E1246"/>
    <w:rsid w:val="006E138B"/>
    <w:rsid w:val="006E2184"/>
    <w:rsid w:val="006E2315"/>
    <w:rsid w:val="006E28D2"/>
    <w:rsid w:val="006E29D3"/>
    <w:rsid w:val="006E2CB0"/>
    <w:rsid w:val="006E32F8"/>
    <w:rsid w:val="006E36CB"/>
    <w:rsid w:val="006E3773"/>
    <w:rsid w:val="006E41BE"/>
    <w:rsid w:val="006E43C7"/>
    <w:rsid w:val="006E493D"/>
    <w:rsid w:val="006E4956"/>
    <w:rsid w:val="006E4AE2"/>
    <w:rsid w:val="006E4E74"/>
    <w:rsid w:val="006E5453"/>
    <w:rsid w:val="006E558A"/>
    <w:rsid w:val="006E5C00"/>
    <w:rsid w:val="006E614B"/>
    <w:rsid w:val="006E6296"/>
    <w:rsid w:val="006E6D62"/>
    <w:rsid w:val="006E7302"/>
    <w:rsid w:val="006E76E4"/>
    <w:rsid w:val="006E7992"/>
    <w:rsid w:val="006E7BA4"/>
    <w:rsid w:val="006E7BDC"/>
    <w:rsid w:val="006F02AD"/>
    <w:rsid w:val="006F078C"/>
    <w:rsid w:val="006F0BBF"/>
    <w:rsid w:val="006F0F5F"/>
    <w:rsid w:val="006F10AA"/>
    <w:rsid w:val="006F1295"/>
    <w:rsid w:val="006F150C"/>
    <w:rsid w:val="006F161E"/>
    <w:rsid w:val="006F17DB"/>
    <w:rsid w:val="006F18C5"/>
    <w:rsid w:val="006F18F7"/>
    <w:rsid w:val="006F19B4"/>
    <w:rsid w:val="006F1BB3"/>
    <w:rsid w:val="006F1DA3"/>
    <w:rsid w:val="006F219C"/>
    <w:rsid w:val="006F21B8"/>
    <w:rsid w:val="006F21CC"/>
    <w:rsid w:val="006F266D"/>
    <w:rsid w:val="006F2BF3"/>
    <w:rsid w:val="006F2CA5"/>
    <w:rsid w:val="006F2F15"/>
    <w:rsid w:val="006F2F55"/>
    <w:rsid w:val="006F350A"/>
    <w:rsid w:val="006F355D"/>
    <w:rsid w:val="006F3B27"/>
    <w:rsid w:val="006F4145"/>
    <w:rsid w:val="006F4379"/>
    <w:rsid w:val="006F4A4B"/>
    <w:rsid w:val="006F51F3"/>
    <w:rsid w:val="006F5AA3"/>
    <w:rsid w:val="006F5B70"/>
    <w:rsid w:val="006F6CB2"/>
    <w:rsid w:val="006F6CD5"/>
    <w:rsid w:val="0070063F"/>
    <w:rsid w:val="0070094B"/>
    <w:rsid w:val="00700AE9"/>
    <w:rsid w:val="00700FE7"/>
    <w:rsid w:val="00701577"/>
    <w:rsid w:val="00701765"/>
    <w:rsid w:val="007023A3"/>
    <w:rsid w:val="007024A8"/>
    <w:rsid w:val="0070318F"/>
    <w:rsid w:val="00703418"/>
    <w:rsid w:val="00703640"/>
    <w:rsid w:val="00703B22"/>
    <w:rsid w:val="00703CC4"/>
    <w:rsid w:val="007040D4"/>
    <w:rsid w:val="007042A3"/>
    <w:rsid w:val="0070459F"/>
    <w:rsid w:val="00704D40"/>
    <w:rsid w:val="00704D58"/>
    <w:rsid w:val="0070516B"/>
    <w:rsid w:val="007051E2"/>
    <w:rsid w:val="007052BC"/>
    <w:rsid w:val="00705481"/>
    <w:rsid w:val="007055D9"/>
    <w:rsid w:val="0070591F"/>
    <w:rsid w:val="0070617C"/>
    <w:rsid w:val="007061AA"/>
    <w:rsid w:val="007063D3"/>
    <w:rsid w:val="007064C4"/>
    <w:rsid w:val="00706598"/>
    <w:rsid w:val="00706A6F"/>
    <w:rsid w:val="007070F9"/>
    <w:rsid w:val="00707236"/>
    <w:rsid w:val="007077EA"/>
    <w:rsid w:val="007079FB"/>
    <w:rsid w:val="00707B8C"/>
    <w:rsid w:val="00707BAE"/>
    <w:rsid w:val="00707F32"/>
    <w:rsid w:val="0071015E"/>
    <w:rsid w:val="00710464"/>
    <w:rsid w:val="00710485"/>
    <w:rsid w:val="00710687"/>
    <w:rsid w:val="0071081B"/>
    <w:rsid w:val="007108D3"/>
    <w:rsid w:val="007109D8"/>
    <w:rsid w:val="00710CBE"/>
    <w:rsid w:val="00710D1D"/>
    <w:rsid w:val="007113A8"/>
    <w:rsid w:val="007115E8"/>
    <w:rsid w:val="00711682"/>
    <w:rsid w:val="00711BF0"/>
    <w:rsid w:val="00712353"/>
    <w:rsid w:val="007124E6"/>
    <w:rsid w:val="0071251B"/>
    <w:rsid w:val="007125DE"/>
    <w:rsid w:val="00712C73"/>
    <w:rsid w:val="00713462"/>
    <w:rsid w:val="0071362E"/>
    <w:rsid w:val="0071384A"/>
    <w:rsid w:val="00713D05"/>
    <w:rsid w:val="00714E0D"/>
    <w:rsid w:val="00715033"/>
    <w:rsid w:val="007159AC"/>
    <w:rsid w:val="00716548"/>
    <w:rsid w:val="0071665B"/>
    <w:rsid w:val="007168CD"/>
    <w:rsid w:val="007169DA"/>
    <w:rsid w:val="00716DF3"/>
    <w:rsid w:val="00717A2F"/>
    <w:rsid w:val="00717C8E"/>
    <w:rsid w:val="00717D77"/>
    <w:rsid w:val="00717E4D"/>
    <w:rsid w:val="007202DB"/>
    <w:rsid w:val="00720D34"/>
    <w:rsid w:val="00720E59"/>
    <w:rsid w:val="0072116D"/>
    <w:rsid w:val="007211D5"/>
    <w:rsid w:val="00721229"/>
    <w:rsid w:val="00721371"/>
    <w:rsid w:val="00721551"/>
    <w:rsid w:val="00721618"/>
    <w:rsid w:val="00721C40"/>
    <w:rsid w:val="00721C8F"/>
    <w:rsid w:val="00721CC5"/>
    <w:rsid w:val="00721D37"/>
    <w:rsid w:val="00722107"/>
    <w:rsid w:val="00722369"/>
    <w:rsid w:val="00722446"/>
    <w:rsid w:val="00722C57"/>
    <w:rsid w:val="00722E66"/>
    <w:rsid w:val="007236C8"/>
    <w:rsid w:val="0072372D"/>
    <w:rsid w:val="00723E1E"/>
    <w:rsid w:val="007248D7"/>
    <w:rsid w:val="00724A3A"/>
    <w:rsid w:val="00724A9E"/>
    <w:rsid w:val="00724C32"/>
    <w:rsid w:val="007251B6"/>
    <w:rsid w:val="00725370"/>
    <w:rsid w:val="00725B65"/>
    <w:rsid w:val="00725B91"/>
    <w:rsid w:val="00726062"/>
    <w:rsid w:val="0072615B"/>
    <w:rsid w:val="0072618F"/>
    <w:rsid w:val="007262C6"/>
    <w:rsid w:val="0072685C"/>
    <w:rsid w:val="007273EF"/>
    <w:rsid w:val="00727538"/>
    <w:rsid w:val="0072759E"/>
    <w:rsid w:val="007275AA"/>
    <w:rsid w:val="00727DE2"/>
    <w:rsid w:val="00730D7F"/>
    <w:rsid w:val="0073112A"/>
    <w:rsid w:val="007311A3"/>
    <w:rsid w:val="007312AE"/>
    <w:rsid w:val="00731685"/>
    <w:rsid w:val="00731F91"/>
    <w:rsid w:val="00732264"/>
    <w:rsid w:val="00732848"/>
    <w:rsid w:val="00732CB2"/>
    <w:rsid w:val="00732D7C"/>
    <w:rsid w:val="00732EB0"/>
    <w:rsid w:val="00732F12"/>
    <w:rsid w:val="007335A4"/>
    <w:rsid w:val="00733A22"/>
    <w:rsid w:val="00733D19"/>
    <w:rsid w:val="00734430"/>
    <w:rsid w:val="007344EC"/>
    <w:rsid w:val="0073467F"/>
    <w:rsid w:val="00734823"/>
    <w:rsid w:val="00734987"/>
    <w:rsid w:val="00734A35"/>
    <w:rsid w:val="00734B05"/>
    <w:rsid w:val="00734B78"/>
    <w:rsid w:val="00734C65"/>
    <w:rsid w:val="00735846"/>
    <w:rsid w:val="00735AF8"/>
    <w:rsid w:val="00735CCC"/>
    <w:rsid w:val="00735E6D"/>
    <w:rsid w:val="00735FD8"/>
    <w:rsid w:val="007363C5"/>
    <w:rsid w:val="00736611"/>
    <w:rsid w:val="007367A4"/>
    <w:rsid w:val="0073695C"/>
    <w:rsid w:val="00736B4B"/>
    <w:rsid w:val="00737391"/>
    <w:rsid w:val="007379AB"/>
    <w:rsid w:val="00737FD7"/>
    <w:rsid w:val="00740135"/>
    <w:rsid w:val="00740220"/>
    <w:rsid w:val="00740257"/>
    <w:rsid w:val="0074029C"/>
    <w:rsid w:val="00740414"/>
    <w:rsid w:val="007404E4"/>
    <w:rsid w:val="0074071B"/>
    <w:rsid w:val="007408F2"/>
    <w:rsid w:val="007415D7"/>
    <w:rsid w:val="007417CE"/>
    <w:rsid w:val="007417CF"/>
    <w:rsid w:val="00741990"/>
    <w:rsid w:val="0074226A"/>
    <w:rsid w:val="007431E2"/>
    <w:rsid w:val="0074386E"/>
    <w:rsid w:val="0074394F"/>
    <w:rsid w:val="00743B80"/>
    <w:rsid w:val="007440F8"/>
    <w:rsid w:val="007442B8"/>
    <w:rsid w:val="007442EE"/>
    <w:rsid w:val="00744331"/>
    <w:rsid w:val="007448F3"/>
    <w:rsid w:val="007449D1"/>
    <w:rsid w:val="00744A69"/>
    <w:rsid w:val="0074504E"/>
    <w:rsid w:val="00745113"/>
    <w:rsid w:val="00745525"/>
    <w:rsid w:val="00745DD6"/>
    <w:rsid w:val="00745F9D"/>
    <w:rsid w:val="0074632E"/>
    <w:rsid w:val="00746AF0"/>
    <w:rsid w:val="00746B5A"/>
    <w:rsid w:val="00746EBD"/>
    <w:rsid w:val="00746EC0"/>
    <w:rsid w:val="00746F0C"/>
    <w:rsid w:val="00747380"/>
    <w:rsid w:val="00747515"/>
    <w:rsid w:val="00747C80"/>
    <w:rsid w:val="00747F28"/>
    <w:rsid w:val="007501CD"/>
    <w:rsid w:val="007503C5"/>
    <w:rsid w:val="007503E5"/>
    <w:rsid w:val="00750420"/>
    <w:rsid w:val="0075048B"/>
    <w:rsid w:val="007506BD"/>
    <w:rsid w:val="007506EE"/>
    <w:rsid w:val="00750704"/>
    <w:rsid w:val="0075082C"/>
    <w:rsid w:val="00750916"/>
    <w:rsid w:val="007509A6"/>
    <w:rsid w:val="007509BF"/>
    <w:rsid w:val="007509F0"/>
    <w:rsid w:val="00750B5A"/>
    <w:rsid w:val="00750C74"/>
    <w:rsid w:val="00750D45"/>
    <w:rsid w:val="00750EA8"/>
    <w:rsid w:val="00750FF8"/>
    <w:rsid w:val="0075134C"/>
    <w:rsid w:val="00751C6B"/>
    <w:rsid w:val="00751F15"/>
    <w:rsid w:val="00752797"/>
    <w:rsid w:val="00752EDA"/>
    <w:rsid w:val="00752FC1"/>
    <w:rsid w:val="00753146"/>
    <w:rsid w:val="00753285"/>
    <w:rsid w:val="00753701"/>
    <w:rsid w:val="00753FB2"/>
    <w:rsid w:val="00754579"/>
    <w:rsid w:val="007547A5"/>
    <w:rsid w:val="00754860"/>
    <w:rsid w:val="00754AD0"/>
    <w:rsid w:val="00754B2C"/>
    <w:rsid w:val="00754D37"/>
    <w:rsid w:val="00754D5C"/>
    <w:rsid w:val="00754E85"/>
    <w:rsid w:val="007550A3"/>
    <w:rsid w:val="00755179"/>
    <w:rsid w:val="00755240"/>
    <w:rsid w:val="0075527F"/>
    <w:rsid w:val="007558FA"/>
    <w:rsid w:val="00755BA3"/>
    <w:rsid w:val="00755D46"/>
    <w:rsid w:val="007565D0"/>
    <w:rsid w:val="00756AD4"/>
    <w:rsid w:val="00756CD8"/>
    <w:rsid w:val="00756FB8"/>
    <w:rsid w:val="0075750F"/>
    <w:rsid w:val="007579E1"/>
    <w:rsid w:val="00757A26"/>
    <w:rsid w:val="00757C2D"/>
    <w:rsid w:val="00757CCE"/>
    <w:rsid w:val="00757E7E"/>
    <w:rsid w:val="007602AD"/>
    <w:rsid w:val="00760494"/>
    <w:rsid w:val="00760808"/>
    <w:rsid w:val="00760B47"/>
    <w:rsid w:val="00760D62"/>
    <w:rsid w:val="00760E5D"/>
    <w:rsid w:val="0076176E"/>
    <w:rsid w:val="00761784"/>
    <w:rsid w:val="007617D4"/>
    <w:rsid w:val="00761B93"/>
    <w:rsid w:val="0076201D"/>
    <w:rsid w:val="00762373"/>
    <w:rsid w:val="007627AA"/>
    <w:rsid w:val="0076310A"/>
    <w:rsid w:val="0076347C"/>
    <w:rsid w:val="00763905"/>
    <w:rsid w:val="00763C00"/>
    <w:rsid w:val="0076446C"/>
    <w:rsid w:val="007645BC"/>
    <w:rsid w:val="007650F2"/>
    <w:rsid w:val="007653DB"/>
    <w:rsid w:val="007656AC"/>
    <w:rsid w:val="0076599B"/>
    <w:rsid w:val="00765C84"/>
    <w:rsid w:val="00765EC0"/>
    <w:rsid w:val="00765F43"/>
    <w:rsid w:val="00766310"/>
    <w:rsid w:val="00766B22"/>
    <w:rsid w:val="00766D6F"/>
    <w:rsid w:val="00766F77"/>
    <w:rsid w:val="00766FAB"/>
    <w:rsid w:val="007672B6"/>
    <w:rsid w:val="00767A32"/>
    <w:rsid w:val="00767D0D"/>
    <w:rsid w:val="00767E11"/>
    <w:rsid w:val="0077005D"/>
    <w:rsid w:val="007701FA"/>
    <w:rsid w:val="0077031B"/>
    <w:rsid w:val="00770966"/>
    <w:rsid w:val="00770E35"/>
    <w:rsid w:val="007716F3"/>
    <w:rsid w:val="00771757"/>
    <w:rsid w:val="00771A18"/>
    <w:rsid w:val="00772589"/>
    <w:rsid w:val="007727F0"/>
    <w:rsid w:val="007729DF"/>
    <w:rsid w:val="00772C70"/>
    <w:rsid w:val="00772D45"/>
    <w:rsid w:val="0077326D"/>
    <w:rsid w:val="00773334"/>
    <w:rsid w:val="00773871"/>
    <w:rsid w:val="00773A72"/>
    <w:rsid w:val="00773AF8"/>
    <w:rsid w:val="00773B32"/>
    <w:rsid w:val="00773DAC"/>
    <w:rsid w:val="00774677"/>
    <w:rsid w:val="007746D7"/>
    <w:rsid w:val="0077472A"/>
    <w:rsid w:val="00774B5A"/>
    <w:rsid w:val="00774F1C"/>
    <w:rsid w:val="00775072"/>
    <w:rsid w:val="0077515F"/>
    <w:rsid w:val="007751B6"/>
    <w:rsid w:val="0077548D"/>
    <w:rsid w:val="007755EB"/>
    <w:rsid w:val="00776115"/>
    <w:rsid w:val="00776649"/>
    <w:rsid w:val="0077665D"/>
    <w:rsid w:val="0077674D"/>
    <w:rsid w:val="007767DA"/>
    <w:rsid w:val="00777109"/>
    <w:rsid w:val="0077753A"/>
    <w:rsid w:val="0077759C"/>
    <w:rsid w:val="007778D4"/>
    <w:rsid w:val="00777D3D"/>
    <w:rsid w:val="00777F80"/>
    <w:rsid w:val="007800CD"/>
    <w:rsid w:val="00780189"/>
    <w:rsid w:val="007809A0"/>
    <w:rsid w:val="00780E45"/>
    <w:rsid w:val="00780FCA"/>
    <w:rsid w:val="00781777"/>
    <w:rsid w:val="00781BAD"/>
    <w:rsid w:val="00781EC7"/>
    <w:rsid w:val="00781F4B"/>
    <w:rsid w:val="0078218C"/>
    <w:rsid w:val="007823A0"/>
    <w:rsid w:val="00782453"/>
    <w:rsid w:val="007825CD"/>
    <w:rsid w:val="00782EEE"/>
    <w:rsid w:val="00783035"/>
    <w:rsid w:val="00783454"/>
    <w:rsid w:val="007837CF"/>
    <w:rsid w:val="00783DD5"/>
    <w:rsid w:val="0078419C"/>
    <w:rsid w:val="00784266"/>
    <w:rsid w:val="007847FA"/>
    <w:rsid w:val="00784E80"/>
    <w:rsid w:val="007855C5"/>
    <w:rsid w:val="0078586F"/>
    <w:rsid w:val="00785E75"/>
    <w:rsid w:val="00786243"/>
    <w:rsid w:val="0078657F"/>
    <w:rsid w:val="00786BD1"/>
    <w:rsid w:val="00786D1C"/>
    <w:rsid w:val="00786F7E"/>
    <w:rsid w:val="00787029"/>
    <w:rsid w:val="007870C8"/>
    <w:rsid w:val="00787332"/>
    <w:rsid w:val="007877C7"/>
    <w:rsid w:val="007878AD"/>
    <w:rsid w:val="007900E9"/>
    <w:rsid w:val="0079039F"/>
    <w:rsid w:val="00790496"/>
    <w:rsid w:val="007907B5"/>
    <w:rsid w:val="00790910"/>
    <w:rsid w:val="00790C20"/>
    <w:rsid w:val="00790E19"/>
    <w:rsid w:val="00791239"/>
    <w:rsid w:val="00791C49"/>
    <w:rsid w:val="00791DE1"/>
    <w:rsid w:val="007922B2"/>
    <w:rsid w:val="00792587"/>
    <w:rsid w:val="007925DA"/>
    <w:rsid w:val="00792733"/>
    <w:rsid w:val="00793066"/>
    <w:rsid w:val="007934EC"/>
    <w:rsid w:val="0079375E"/>
    <w:rsid w:val="00793BAC"/>
    <w:rsid w:val="00793BE0"/>
    <w:rsid w:val="00793D82"/>
    <w:rsid w:val="00793E4A"/>
    <w:rsid w:val="00794486"/>
    <w:rsid w:val="007946D5"/>
    <w:rsid w:val="007946F0"/>
    <w:rsid w:val="00794AAC"/>
    <w:rsid w:val="00794BF1"/>
    <w:rsid w:val="00794C56"/>
    <w:rsid w:val="00794C59"/>
    <w:rsid w:val="00794FE1"/>
    <w:rsid w:val="0079515E"/>
    <w:rsid w:val="007959CE"/>
    <w:rsid w:val="007961AD"/>
    <w:rsid w:val="00796212"/>
    <w:rsid w:val="007967CE"/>
    <w:rsid w:val="00797BB2"/>
    <w:rsid w:val="00797D36"/>
    <w:rsid w:val="007A00CB"/>
    <w:rsid w:val="007A035D"/>
    <w:rsid w:val="007A0667"/>
    <w:rsid w:val="007A0A0E"/>
    <w:rsid w:val="007A0B25"/>
    <w:rsid w:val="007A0C94"/>
    <w:rsid w:val="007A15B8"/>
    <w:rsid w:val="007A17BE"/>
    <w:rsid w:val="007A18C4"/>
    <w:rsid w:val="007A1AC0"/>
    <w:rsid w:val="007A1AEB"/>
    <w:rsid w:val="007A231A"/>
    <w:rsid w:val="007A24CB"/>
    <w:rsid w:val="007A2961"/>
    <w:rsid w:val="007A2AF1"/>
    <w:rsid w:val="007A2CC7"/>
    <w:rsid w:val="007A321D"/>
    <w:rsid w:val="007A3572"/>
    <w:rsid w:val="007A36EC"/>
    <w:rsid w:val="007A37EA"/>
    <w:rsid w:val="007A3866"/>
    <w:rsid w:val="007A3910"/>
    <w:rsid w:val="007A3A8C"/>
    <w:rsid w:val="007A3B01"/>
    <w:rsid w:val="007A44DA"/>
    <w:rsid w:val="007A4500"/>
    <w:rsid w:val="007A45E7"/>
    <w:rsid w:val="007A4EC3"/>
    <w:rsid w:val="007A4FCC"/>
    <w:rsid w:val="007A50C6"/>
    <w:rsid w:val="007A5914"/>
    <w:rsid w:val="007A5FB6"/>
    <w:rsid w:val="007A6254"/>
    <w:rsid w:val="007A65ED"/>
    <w:rsid w:val="007A755E"/>
    <w:rsid w:val="007A7635"/>
    <w:rsid w:val="007A77E1"/>
    <w:rsid w:val="007A7E7D"/>
    <w:rsid w:val="007B032A"/>
    <w:rsid w:val="007B04C9"/>
    <w:rsid w:val="007B06F4"/>
    <w:rsid w:val="007B0743"/>
    <w:rsid w:val="007B07F9"/>
    <w:rsid w:val="007B090E"/>
    <w:rsid w:val="007B0A3F"/>
    <w:rsid w:val="007B0A68"/>
    <w:rsid w:val="007B0E0C"/>
    <w:rsid w:val="007B1720"/>
    <w:rsid w:val="007B20D7"/>
    <w:rsid w:val="007B211B"/>
    <w:rsid w:val="007B221B"/>
    <w:rsid w:val="007B2275"/>
    <w:rsid w:val="007B23AF"/>
    <w:rsid w:val="007B2439"/>
    <w:rsid w:val="007B2890"/>
    <w:rsid w:val="007B2AC9"/>
    <w:rsid w:val="007B2AF8"/>
    <w:rsid w:val="007B2C7B"/>
    <w:rsid w:val="007B3369"/>
    <w:rsid w:val="007B3391"/>
    <w:rsid w:val="007B386B"/>
    <w:rsid w:val="007B3CB0"/>
    <w:rsid w:val="007B3F78"/>
    <w:rsid w:val="007B4051"/>
    <w:rsid w:val="007B41C9"/>
    <w:rsid w:val="007B4B5B"/>
    <w:rsid w:val="007B4EFD"/>
    <w:rsid w:val="007B50A3"/>
    <w:rsid w:val="007B50FF"/>
    <w:rsid w:val="007B540D"/>
    <w:rsid w:val="007B55EE"/>
    <w:rsid w:val="007B58C1"/>
    <w:rsid w:val="007B606D"/>
    <w:rsid w:val="007B62A2"/>
    <w:rsid w:val="007B64C2"/>
    <w:rsid w:val="007B7566"/>
    <w:rsid w:val="007B76C1"/>
    <w:rsid w:val="007B7E62"/>
    <w:rsid w:val="007C004B"/>
    <w:rsid w:val="007C0118"/>
    <w:rsid w:val="007C031B"/>
    <w:rsid w:val="007C06AD"/>
    <w:rsid w:val="007C0868"/>
    <w:rsid w:val="007C0D0E"/>
    <w:rsid w:val="007C1489"/>
    <w:rsid w:val="007C1A90"/>
    <w:rsid w:val="007C1B02"/>
    <w:rsid w:val="007C1D28"/>
    <w:rsid w:val="007C20C7"/>
    <w:rsid w:val="007C25B3"/>
    <w:rsid w:val="007C26E5"/>
    <w:rsid w:val="007C2875"/>
    <w:rsid w:val="007C2B78"/>
    <w:rsid w:val="007C32DE"/>
    <w:rsid w:val="007C33B5"/>
    <w:rsid w:val="007C4345"/>
    <w:rsid w:val="007C4818"/>
    <w:rsid w:val="007C4E24"/>
    <w:rsid w:val="007C5118"/>
    <w:rsid w:val="007C5313"/>
    <w:rsid w:val="007C5CD3"/>
    <w:rsid w:val="007C6279"/>
    <w:rsid w:val="007C6320"/>
    <w:rsid w:val="007C6631"/>
    <w:rsid w:val="007C6B1D"/>
    <w:rsid w:val="007C720A"/>
    <w:rsid w:val="007C7389"/>
    <w:rsid w:val="007C7499"/>
    <w:rsid w:val="007C7A94"/>
    <w:rsid w:val="007D0231"/>
    <w:rsid w:val="007D0E5B"/>
    <w:rsid w:val="007D1092"/>
    <w:rsid w:val="007D118C"/>
    <w:rsid w:val="007D1542"/>
    <w:rsid w:val="007D157B"/>
    <w:rsid w:val="007D180C"/>
    <w:rsid w:val="007D1875"/>
    <w:rsid w:val="007D1924"/>
    <w:rsid w:val="007D19E3"/>
    <w:rsid w:val="007D1AF7"/>
    <w:rsid w:val="007D2621"/>
    <w:rsid w:val="007D2632"/>
    <w:rsid w:val="007D29A2"/>
    <w:rsid w:val="007D2A94"/>
    <w:rsid w:val="007D2FE9"/>
    <w:rsid w:val="007D3261"/>
    <w:rsid w:val="007D3281"/>
    <w:rsid w:val="007D389E"/>
    <w:rsid w:val="007D3945"/>
    <w:rsid w:val="007D3BFB"/>
    <w:rsid w:val="007D3DFF"/>
    <w:rsid w:val="007D45A0"/>
    <w:rsid w:val="007D4AE3"/>
    <w:rsid w:val="007D4E8E"/>
    <w:rsid w:val="007D506E"/>
    <w:rsid w:val="007D581B"/>
    <w:rsid w:val="007D5CA8"/>
    <w:rsid w:val="007D60D1"/>
    <w:rsid w:val="007D655B"/>
    <w:rsid w:val="007D6812"/>
    <w:rsid w:val="007D6AB3"/>
    <w:rsid w:val="007D6ABF"/>
    <w:rsid w:val="007D6B9E"/>
    <w:rsid w:val="007D7319"/>
    <w:rsid w:val="007D765F"/>
    <w:rsid w:val="007D7821"/>
    <w:rsid w:val="007D7D7B"/>
    <w:rsid w:val="007E00F6"/>
    <w:rsid w:val="007E0CAF"/>
    <w:rsid w:val="007E0D2F"/>
    <w:rsid w:val="007E0E17"/>
    <w:rsid w:val="007E10FD"/>
    <w:rsid w:val="007E1540"/>
    <w:rsid w:val="007E1971"/>
    <w:rsid w:val="007E1B52"/>
    <w:rsid w:val="007E1ED6"/>
    <w:rsid w:val="007E20D4"/>
    <w:rsid w:val="007E2B77"/>
    <w:rsid w:val="007E2F09"/>
    <w:rsid w:val="007E38D7"/>
    <w:rsid w:val="007E392D"/>
    <w:rsid w:val="007E3C2D"/>
    <w:rsid w:val="007E410B"/>
    <w:rsid w:val="007E4204"/>
    <w:rsid w:val="007E437A"/>
    <w:rsid w:val="007E4680"/>
    <w:rsid w:val="007E4FB8"/>
    <w:rsid w:val="007E504D"/>
    <w:rsid w:val="007E58EB"/>
    <w:rsid w:val="007E6042"/>
    <w:rsid w:val="007E6133"/>
    <w:rsid w:val="007E6180"/>
    <w:rsid w:val="007E61D5"/>
    <w:rsid w:val="007E6746"/>
    <w:rsid w:val="007E6779"/>
    <w:rsid w:val="007E6DD3"/>
    <w:rsid w:val="007E7340"/>
    <w:rsid w:val="007E7A48"/>
    <w:rsid w:val="007F077C"/>
    <w:rsid w:val="007F07A8"/>
    <w:rsid w:val="007F08CA"/>
    <w:rsid w:val="007F0A40"/>
    <w:rsid w:val="007F0C70"/>
    <w:rsid w:val="007F0CE5"/>
    <w:rsid w:val="007F1071"/>
    <w:rsid w:val="007F1203"/>
    <w:rsid w:val="007F1A25"/>
    <w:rsid w:val="007F1B76"/>
    <w:rsid w:val="007F1ED3"/>
    <w:rsid w:val="007F2009"/>
    <w:rsid w:val="007F218B"/>
    <w:rsid w:val="007F21A2"/>
    <w:rsid w:val="007F2B67"/>
    <w:rsid w:val="007F2EE8"/>
    <w:rsid w:val="007F30CA"/>
    <w:rsid w:val="007F32BB"/>
    <w:rsid w:val="007F3B6E"/>
    <w:rsid w:val="007F3C09"/>
    <w:rsid w:val="007F43F6"/>
    <w:rsid w:val="007F4503"/>
    <w:rsid w:val="007F4F1E"/>
    <w:rsid w:val="007F504C"/>
    <w:rsid w:val="007F54C7"/>
    <w:rsid w:val="007F56A1"/>
    <w:rsid w:val="007F6104"/>
    <w:rsid w:val="007F6846"/>
    <w:rsid w:val="007F6B70"/>
    <w:rsid w:val="007F7158"/>
    <w:rsid w:val="007F7204"/>
    <w:rsid w:val="007F72F4"/>
    <w:rsid w:val="007F74BC"/>
    <w:rsid w:val="007F772D"/>
    <w:rsid w:val="007F7769"/>
    <w:rsid w:val="007F7AC2"/>
    <w:rsid w:val="007F7E00"/>
    <w:rsid w:val="007F7F7F"/>
    <w:rsid w:val="007F7FFB"/>
    <w:rsid w:val="008002B1"/>
    <w:rsid w:val="00800B52"/>
    <w:rsid w:val="00800B92"/>
    <w:rsid w:val="00800CB1"/>
    <w:rsid w:val="00800F43"/>
    <w:rsid w:val="008014FC"/>
    <w:rsid w:val="008018B0"/>
    <w:rsid w:val="00801A75"/>
    <w:rsid w:val="00801EAB"/>
    <w:rsid w:val="008023F2"/>
    <w:rsid w:val="00802924"/>
    <w:rsid w:val="00802933"/>
    <w:rsid w:val="0080294E"/>
    <w:rsid w:val="00802ABF"/>
    <w:rsid w:val="00802B63"/>
    <w:rsid w:val="00802C82"/>
    <w:rsid w:val="00802D45"/>
    <w:rsid w:val="008038A8"/>
    <w:rsid w:val="00803C38"/>
    <w:rsid w:val="008040EA"/>
    <w:rsid w:val="00804445"/>
    <w:rsid w:val="00804572"/>
    <w:rsid w:val="00804CCC"/>
    <w:rsid w:val="00805446"/>
    <w:rsid w:val="0080594D"/>
    <w:rsid w:val="00806259"/>
    <w:rsid w:val="00806434"/>
    <w:rsid w:val="00806456"/>
    <w:rsid w:val="00806888"/>
    <w:rsid w:val="00806E07"/>
    <w:rsid w:val="008070D6"/>
    <w:rsid w:val="008071ED"/>
    <w:rsid w:val="00807559"/>
    <w:rsid w:val="008077BF"/>
    <w:rsid w:val="00807E23"/>
    <w:rsid w:val="00810333"/>
    <w:rsid w:val="008108F3"/>
    <w:rsid w:val="00810D22"/>
    <w:rsid w:val="00811088"/>
    <w:rsid w:val="00811356"/>
    <w:rsid w:val="0081150A"/>
    <w:rsid w:val="008115C2"/>
    <w:rsid w:val="008116FD"/>
    <w:rsid w:val="008117BF"/>
    <w:rsid w:val="008117F7"/>
    <w:rsid w:val="00811EDA"/>
    <w:rsid w:val="00812721"/>
    <w:rsid w:val="00812723"/>
    <w:rsid w:val="008127A4"/>
    <w:rsid w:val="008127AA"/>
    <w:rsid w:val="008131C7"/>
    <w:rsid w:val="00813288"/>
    <w:rsid w:val="0081551D"/>
    <w:rsid w:val="008156C9"/>
    <w:rsid w:val="008156EE"/>
    <w:rsid w:val="008157E7"/>
    <w:rsid w:val="00816829"/>
    <w:rsid w:val="00816E51"/>
    <w:rsid w:val="00816EA2"/>
    <w:rsid w:val="00816FBE"/>
    <w:rsid w:val="00817257"/>
    <w:rsid w:val="008172AD"/>
    <w:rsid w:val="008172EC"/>
    <w:rsid w:val="00817447"/>
    <w:rsid w:val="00817DFD"/>
    <w:rsid w:val="008206BF"/>
    <w:rsid w:val="00820A7B"/>
    <w:rsid w:val="00820AF3"/>
    <w:rsid w:val="008216B1"/>
    <w:rsid w:val="00821A29"/>
    <w:rsid w:val="00821D99"/>
    <w:rsid w:val="00821F37"/>
    <w:rsid w:val="00822442"/>
    <w:rsid w:val="008225BC"/>
    <w:rsid w:val="0082287B"/>
    <w:rsid w:val="008228CB"/>
    <w:rsid w:val="00822AE8"/>
    <w:rsid w:val="00822D83"/>
    <w:rsid w:val="00822F64"/>
    <w:rsid w:val="00823092"/>
    <w:rsid w:val="00823121"/>
    <w:rsid w:val="00823233"/>
    <w:rsid w:val="00823EDA"/>
    <w:rsid w:val="00824426"/>
    <w:rsid w:val="00824472"/>
    <w:rsid w:val="00824588"/>
    <w:rsid w:val="00824B0E"/>
    <w:rsid w:val="00824C9D"/>
    <w:rsid w:val="00824DF5"/>
    <w:rsid w:val="008252A8"/>
    <w:rsid w:val="00825406"/>
    <w:rsid w:val="00825749"/>
    <w:rsid w:val="00825BAC"/>
    <w:rsid w:val="00825FB6"/>
    <w:rsid w:val="008260AC"/>
    <w:rsid w:val="008260B8"/>
    <w:rsid w:val="00826113"/>
    <w:rsid w:val="00827126"/>
    <w:rsid w:val="008272A7"/>
    <w:rsid w:val="00830012"/>
    <w:rsid w:val="00830289"/>
    <w:rsid w:val="008302D0"/>
    <w:rsid w:val="0083050A"/>
    <w:rsid w:val="0083058C"/>
    <w:rsid w:val="00830597"/>
    <w:rsid w:val="008306F2"/>
    <w:rsid w:val="00830E52"/>
    <w:rsid w:val="008314DE"/>
    <w:rsid w:val="008315E8"/>
    <w:rsid w:val="008316DD"/>
    <w:rsid w:val="00831A0F"/>
    <w:rsid w:val="00831FCC"/>
    <w:rsid w:val="00832228"/>
    <w:rsid w:val="0083233F"/>
    <w:rsid w:val="0083236D"/>
    <w:rsid w:val="008324E3"/>
    <w:rsid w:val="008325F9"/>
    <w:rsid w:val="00832729"/>
    <w:rsid w:val="008331EA"/>
    <w:rsid w:val="00833279"/>
    <w:rsid w:val="0083331D"/>
    <w:rsid w:val="00833AD4"/>
    <w:rsid w:val="00833B9F"/>
    <w:rsid w:val="00833E59"/>
    <w:rsid w:val="008341C5"/>
    <w:rsid w:val="008341E3"/>
    <w:rsid w:val="008346B7"/>
    <w:rsid w:val="008348DE"/>
    <w:rsid w:val="008358AF"/>
    <w:rsid w:val="0083599C"/>
    <w:rsid w:val="00835AE2"/>
    <w:rsid w:val="0083648B"/>
    <w:rsid w:val="00836D3C"/>
    <w:rsid w:val="00836E8D"/>
    <w:rsid w:val="008372E4"/>
    <w:rsid w:val="00837721"/>
    <w:rsid w:val="008378F0"/>
    <w:rsid w:val="00837B41"/>
    <w:rsid w:val="00837BA8"/>
    <w:rsid w:val="00837C20"/>
    <w:rsid w:val="00840675"/>
    <w:rsid w:val="00840AC1"/>
    <w:rsid w:val="00840FFC"/>
    <w:rsid w:val="00841156"/>
    <w:rsid w:val="00841586"/>
    <w:rsid w:val="008416CF"/>
    <w:rsid w:val="00841841"/>
    <w:rsid w:val="008418D5"/>
    <w:rsid w:val="00841BFB"/>
    <w:rsid w:val="008425D1"/>
    <w:rsid w:val="00842ABF"/>
    <w:rsid w:val="00842BB9"/>
    <w:rsid w:val="00843043"/>
    <w:rsid w:val="00843103"/>
    <w:rsid w:val="008435B7"/>
    <w:rsid w:val="0084364D"/>
    <w:rsid w:val="00843654"/>
    <w:rsid w:val="00843AAD"/>
    <w:rsid w:val="00843BBF"/>
    <w:rsid w:val="00843E2B"/>
    <w:rsid w:val="00843E85"/>
    <w:rsid w:val="00843EBF"/>
    <w:rsid w:val="0084428E"/>
    <w:rsid w:val="00844347"/>
    <w:rsid w:val="0084437F"/>
    <w:rsid w:val="0084463F"/>
    <w:rsid w:val="00844901"/>
    <w:rsid w:val="00844E06"/>
    <w:rsid w:val="008450F3"/>
    <w:rsid w:val="008452BD"/>
    <w:rsid w:val="008452D6"/>
    <w:rsid w:val="00845365"/>
    <w:rsid w:val="008453BA"/>
    <w:rsid w:val="00845946"/>
    <w:rsid w:val="00846A27"/>
    <w:rsid w:val="00846B59"/>
    <w:rsid w:val="00846DC7"/>
    <w:rsid w:val="00846ED2"/>
    <w:rsid w:val="008473B6"/>
    <w:rsid w:val="0084752F"/>
    <w:rsid w:val="008476A0"/>
    <w:rsid w:val="008477D2"/>
    <w:rsid w:val="0084792C"/>
    <w:rsid w:val="0084797E"/>
    <w:rsid w:val="00847F55"/>
    <w:rsid w:val="0085015C"/>
    <w:rsid w:val="00850266"/>
    <w:rsid w:val="0085031A"/>
    <w:rsid w:val="0085041B"/>
    <w:rsid w:val="008505AC"/>
    <w:rsid w:val="008505AE"/>
    <w:rsid w:val="00850764"/>
    <w:rsid w:val="008509E0"/>
    <w:rsid w:val="00850AAE"/>
    <w:rsid w:val="008512D4"/>
    <w:rsid w:val="00851C5E"/>
    <w:rsid w:val="008521A3"/>
    <w:rsid w:val="00852D87"/>
    <w:rsid w:val="00852E78"/>
    <w:rsid w:val="00852EE6"/>
    <w:rsid w:val="00852F38"/>
    <w:rsid w:val="00853129"/>
    <w:rsid w:val="008538EE"/>
    <w:rsid w:val="00853CF9"/>
    <w:rsid w:val="008542FF"/>
    <w:rsid w:val="00854441"/>
    <w:rsid w:val="008545CF"/>
    <w:rsid w:val="008546A5"/>
    <w:rsid w:val="00854C57"/>
    <w:rsid w:val="00854ED1"/>
    <w:rsid w:val="00854EF0"/>
    <w:rsid w:val="00854F3F"/>
    <w:rsid w:val="008550A1"/>
    <w:rsid w:val="0085583F"/>
    <w:rsid w:val="00855DAE"/>
    <w:rsid w:val="00855DED"/>
    <w:rsid w:val="0085625B"/>
    <w:rsid w:val="008565B8"/>
    <w:rsid w:val="00856C34"/>
    <w:rsid w:val="00856C8D"/>
    <w:rsid w:val="00856C94"/>
    <w:rsid w:val="00856D7A"/>
    <w:rsid w:val="00856E3A"/>
    <w:rsid w:val="00857AB4"/>
    <w:rsid w:val="00857AF9"/>
    <w:rsid w:val="00857DA5"/>
    <w:rsid w:val="00857DCE"/>
    <w:rsid w:val="00857EE3"/>
    <w:rsid w:val="00857FF1"/>
    <w:rsid w:val="008601F1"/>
    <w:rsid w:val="008602EF"/>
    <w:rsid w:val="0086056E"/>
    <w:rsid w:val="00860621"/>
    <w:rsid w:val="008606ED"/>
    <w:rsid w:val="00860A80"/>
    <w:rsid w:val="00860E67"/>
    <w:rsid w:val="0086103B"/>
    <w:rsid w:val="0086154A"/>
    <w:rsid w:val="00861560"/>
    <w:rsid w:val="008615AD"/>
    <w:rsid w:val="00861608"/>
    <w:rsid w:val="00861A54"/>
    <w:rsid w:val="00861C50"/>
    <w:rsid w:val="00861F1D"/>
    <w:rsid w:val="00861F6B"/>
    <w:rsid w:val="00862095"/>
    <w:rsid w:val="0086211C"/>
    <w:rsid w:val="008621C6"/>
    <w:rsid w:val="00862289"/>
    <w:rsid w:val="008622E0"/>
    <w:rsid w:val="008625A8"/>
    <w:rsid w:val="008629BA"/>
    <w:rsid w:val="00862B69"/>
    <w:rsid w:val="00862E86"/>
    <w:rsid w:val="00862F09"/>
    <w:rsid w:val="00862FF7"/>
    <w:rsid w:val="008631B5"/>
    <w:rsid w:val="00863323"/>
    <w:rsid w:val="008635D0"/>
    <w:rsid w:val="008635DB"/>
    <w:rsid w:val="00863952"/>
    <w:rsid w:val="00863E95"/>
    <w:rsid w:val="00864243"/>
    <w:rsid w:val="0086497D"/>
    <w:rsid w:val="00865520"/>
    <w:rsid w:val="00865546"/>
    <w:rsid w:val="00865DC1"/>
    <w:rsid w:val="00865E1F"/>
    <w:rsid w:val="00865E77"/>
    <w:rsid w:val="0086616F"/>
    <w:rsid w:val="0086668B"/>
    <w:rsid w:val="008670AA"/>
    <w:rsid w:val="00867264"/>
    <w:rsid w:val="008677BB"/>
    <w:rsid w:val="00867E67"/>
    <w:rsid w:val="00867E83"/>
    <w:rsid w:val="00870112"/>
    <w:rsid w:val="008707A7"/>
    <w:rsid w:val="00870B78"/>
    <w:rsid w:val="00870C8E"/>
    <w:rsid w:val="008719D0"/>
    <w:rsid w:val="00871A57"/>
    <w:rsid w:val="00871E01"/>
    <w:rsid w:val="008721BD"/>
    <w:rsid w:val="008723D4"/>
    <w:rsid w:val="00872557"/>
    <w:rsid w:val="00872ADC"/>
    <w:rsid w:val="008735A4"/>
    <w:rsid w:val="00873658"/>
    <w:rsid w:val="0087365A"/>
    <w:rsid w:val="008737C0"/>
    <w:rsid w:val="00873A9E"/>
    <w:rsid w:val="00873FDF"/>
    <w:rsid w:val="008743C7"/>
    <w:rsid w:val="0087468A"/>
    <w:rsid w:val="008746E8"/>
    <w:rsid w:val="00874D1D"/>
    <w:rsid w:val="008750F9"/>
    <w:rsid w:val="00875221"/>
    <w:rsid w:val="00875341"/>
    <w:rsid w:val="0087536F"/>
    <w:rsid w:val="008754AF"/>
    <w:rsid w:val="00875906"/>
    <w:rsid w:val="00875F97"/>
    <w:rsid w:val="008761C1"/>
    <w:rsid w:val="008763B7"/>
    <w:rsid w:val="008767CD"/>
    <w:rsid w:val="00876A2B"/>
    <w:rsid w:val="00876A6F"/>
    <w:rsid w:val="008773CC"/>
    <w:rsid w:val="00877535"/>
    <w:rsid w:val="00877D87"/>
    <w:rsid w:val="00877DA0"/>
    <w:rsid w:val="00877DD5"/>
    <w:rsid w:val="00877EC9"/>
    <w:rsid w:val="0088066F"/>
    <w:rsid w:val="00880A40"/>
    <w:rsid w:val="00880ACE"/>
    <w:rsid w:val="00880D51"/>
    <w:rsid w:val="008810DB"/>
    <w:rsid w:val="008810E8"/>
    <w:rsid w:val="0088139B"/>
    <w:rsid w:val="00881424"/>
    <w:rsid w:val="00881514"/>
    <w:rsid w:val="00881567"/>
    <w:rsid w:val="00881C81"/>
    <w:rsid w:val="008821D7"/>
    <w:rsid w:val="008827BA"/>
    <w:rsid w:val="00882A3E"/>
    <w:rsid w:val="00882C06"/>
    <w:rsid w:val="00882C34"/>
    <w:rsid w:val="00882CC7"/>
    <w:rsid w:val="00882D04"/>
    <w:rsid w:val="00882DAF"/>
    <w:rsid w:val="0088312D"/>
    <w:rsid w:val="0088360D"/>
    <w:rsid w:val="00883CC3"/>
    <w:rsid w:val="00883E29"/>
    <w:rsid w:val="00883FFC"/>
    <w:rsid w:val="0088430A"/>
    <w:rsid w:val="00884399"/>
    <w:rsid w:val="0088458E"/>
    <w:rsid w:val="00884F56"/>
    <w:rsid w:val="00885C32"/>
    <w:rsid w:val="00885C36"/>
    <w:rsid w:val="008861EF"/>
    <w:rsid w:val="00886223"/>
    <w:rsid w:val="008869F4"/>
    <w:rsid w:val="00886AC9"/>
    <w:rsid w:val="00886FD8"/>
    <w:rsid w:val="008871FD"/>
    <w:rsid w:val="0088773D"/>
    <w:rsid w:val="008877AD"/>
    <w:rsid w:val="00887B95"/>
    <w:rsid w:val="00887BCC"/>
    <w:rsid w:val="00890278"/>
    <w:rsid w:val="008905C2"/>
    <w:rsid w:val="00890822"/>
    <w:rsid w:val="00890DCE"/>
    <w:rsid w:val="00890F11"/>
    <w:rsid w:val="008911CB"/>
    <w:rsid w:val="00891F52"/>
    <w:rsid w:val="0089205E"/>
    <w:rsid w:val="00892C75"/>
    <w:rsid w:val="00892FA7"/>
    <w:rsid w:val="00893106"/>
    <w:rsid w:val="008936DA"/>
    <w:rsid w:val="00893786"/>
    <w:rsid w:val="00893808"/>
    <w:rsid w:val="0089383A"/>
    <w:rsid w:val="008939CD"/>
    <w:rsid w:val="00893D3B"/>
    <w:rsid w:val="00893EEF"/>
    <w:rsid w:val="00894691"/>
    <w:rsid w:val="008947CD"/>
    <w:rsid w:val="00894B11"/>
    <w:rsid w:val="008956BA"/>
    <w:rsid w:val="00895A9B"/>
    <w:rsid w:val="00895B01"/>
    <w:rsid w:val="00895F41"/>
    <w:rsid w:val="00896360"/>
    <w:rsid w:val="00896E25"/>
    <w:rsid w:val="008970B8"/>
    <w:rsid w:val="008975A2"/>
    <w:rsid w:val="00897765"/>
    <w:rsid w:val="00897983"/>
    <w:rsid w:val="00897B51"/>
    <w:rsid w:val="00897D31"/>
    <w:rsid w:val="00897EBA"/>
    <w:rsid w:val="008A00FA"/>
    <w:rsid w:val="008A0638"/>
    <w:rsid w:val="008A0920"/>
    <w:rsid w:val="008A0998"/>
    <w:rsid w:val="008A11F0"/>
    <w:rsid w:val="008A12B3"/>
    <w:rsid w:val="008A14CB"/>
    <w:rsid w:val="008A184F"/>
    <w:rsid w:val="008A2633"/>
    <w:rsid w:val="008A2771"/>
    <w:rsid w:val="008A2B4B"/>
    <w:rsid w:val="008A2C72"/>
    <w:rsid w:val="008A3176"/>
    <w:rsid w:val="008A3425"/>
    <w:rsid w:val="008A3881"/>
    <w:rsid w:val="008A3ADD"/>
    <w:rsid w:val="008A3B40"/>
    <w:rsid w:val="008A3D1B"/>
    <w:rsid w:val="008A3E88"/>
    <w:rsid w:val="008A3F79"/>
    <w:rsid w:val="008A40BC"/>
    <w:rsid w:val="008A40DD"/>
    <w:rsid w:val="008A4116"/>
    <w:rsid w:val="008A41AD"/>
    <w:rsid w:val="008A41CD"/>
    <w:rsid w:val="008A4360"/>
    <w:rsid w:val="008A47E4"/>
    <w:rsid w:val="008A4880"/>
    <w:rsid w:val="008A49FC"/>
    <w:rsid w:val="008A52B1"/>
    <w:rsid w:val="008A55F9"/>
    <w:rsid w:val="008A5754"/>
    <w:rsid w:val="008A5AA3"/>
    <w:rsid w:val="008A5CBC"/>
    <w:rsid w:val="008A5E0E"/>
    <w:rsid w:val="008A5E70"/>
    <w:rsid w:val="008A6087"/>
    <w:rsid w:val="008A657C"/>
    <w:rsid w:val="008A6655"/>
    <w:rsid w:val="008A66DF"/>
    <w:rsid w:val="008A70D2"/>
    <w:rsid w:val="008A77A9"/>
    <w:rsid w:val="008A7F48"/>
    <w:rsid w:val="008A7FA6"/>
    <w:rsid w:val="008B03DE"/>
    <w:rsid w:val="008B0C53"/>
    <w:rsid w:val="008B0D67"/>
    <w:rsid w:val="008B133B"/>
    <w:rsid w:val="008B1FFD"/>
    <w:rsid w:val="008B210E"/>
    <w:rsid w:val="008B2287"/>
    <w:rsid w:val="008B2C31"/>
    <w:rsid w:val="008B2CD7"/>
    <w:rsid w:val="008B2E71"/>
    <w:rsid w:val="008B305F"/>
    <w:rsid w:val="008B30A5"/>
    <w:rsid w:val="008B3943"/>
    <w:rsid w:val="008B3D12"/>
    <w:rsid w:val="008B3DB3"/>
    <w:rsid w:val="008B3FA2"/>
    <w:rsid w:val="008B4EA4"/>
    <w:rsid w:val="008B4F9A"/>
    <w:rsid w:val="008B53BB"/>
    <w:rsid w:val="008B558B"/>
    <w:rsid w:val="008B5AFB"/>
    <w:rsid w:val="008B5B32"/>
    <w:rsid w:val="008B5B52"/>
    <w:rsid w:val="008B5C9C"/>
    <w:rsid w:val="008B5F5E"/>
    <w:rsid w:val="008B60BB"/>
    <w:rsid w:val="008B62B5"/>
    <w:rsid w:val="008B6A71"/>
    <w:rsid w:val="008B6AA7"/>
    <w:rsid w:val="008B75BD"/>
    <w:rsid w:val="008B7804"/>
    <w:rsid w:val="008C00E6"/>
    <w:rsid w:val="008C0358"/>
    <w:rsid w:val="008C0457"/>
    <w:rsid w:val="008C059A"/>
    <w:rsid w:val="008C08D9"/>
    <w:rsid w:val="008C0B44"/>
    <w:rsid w:val="008C0BC2"/>
    <w:rsid w:val="008C10B0"/>
    <w:rsid w:val="008C1781"/>
    <w:rsid w:val="008C1930"/>
    <w:rsid w:val="008C1E4B"/>
    <w:rsid w:val="008C25D4"/>
    <w:rsid w:val="008C270E"/>
    <w:rsid w:val="008C2989"/>
    <w:rsid w:val="008C2C4D"/>
    <w:rsid w:val="008C3447"/>
    <w:rsid w:val="008C34E0"/>
    <w:rsid w:val="008C3552"/>
    <w:rsid w:val="008C35CE"/>
    <w:rsid w:val="008C3D0F"/>
    <w:rsid w:val="008C40D4"/>
    <w:rsid w:val="008C4277"/>
    <w:rsid w:val="008C42FB"/>
    <w:rsid w:val="008C460D"/>
    <w:rsid w:val="008C4A30"/>
    <w:rsid w:val="008C4E04"/>
    <w:rsid w:val="008C51FB"/>
    <w:rsid w:val="008C52C5"/>
    <w:rsid w:val="008C5D6B"/>
    <w:rsid w:val="008C6339"/>
    <w:rsid w:val="008C67E8"/>
    <w:rsid w:val="008C68FF"/>
    <w:rsid w:val="008C69C5"/>
    <w:rsid w:val="008C6C91"/>
    <w:rsid w:val="008C70F6"/>
    <w:rsid w:val="008C7219"/>
    <w:rsid w:val="008C7A9D"/>
    <w:rsid w:val="008C7B33"/>
    <w:rsid w:val="008C7F78"/>
    <w:rsid w:val="008D00AB"/>
    <w:rsid w:val="008D09DD"/>
    <w:rsid w:val="008D140F"/>
    <w:rsid w:val="008D1784"/>
    <w:rsid w:val="008D17C2"/>
    <w:rsid w:val="008D1D58"/>
    <w:rsid w:val="008D2011"/>
    <w:rsid w:val="008D269A"/>
    <w:rsid w:val="008D2D4B"/>
    <w:rsid w:val="008D2ED3"/>
    <w:rsid w:val="008D2F42"/>
    <w:rsid w:val="008D3168"/>
    <w:rsid w:val="008D32E3"/>
    <w:rsid w:val="008D3810"/>
    <w:rsid w:val="008D384B"/>
    <w:rsid w:val="008D3BFE"/>
    <w:rsid w:val="008D3E5F"/>
    <w:rsid w:val="008D475B"/>
    <w:rsid w:val="008D54D0"/>
    <w:rsid w:val="008D5AEC"/>
    <w:rsid w:val="008D5F04"/>
    <w:rsid w:val="008D6150"/>
    <w:rsid w:val="008D62D9"/>
    <w:rsid w:val="008D6330"/>
    <w:rsid w:val="008D634E"/>
    <w:rsid w:val="008D6467"/>
    <w:rsid w:val="008D6A1A"/>
    <w:rsid w:val="008D72A4"/>
    <w:rsid w:val="008D75AC"/>
    <w:rsid w:val="008D78FF"/>
    <w:rsid w:val="008D7A6F"/>
    <w:rsid w:val="008D7BF5"/>
    <w:rsid w:val="008D7C04"/>
    <w:rsid w:val="008D7C1A"/>
    <w:rsid w:val="008D7E0B"/>
    <w:rsid w:val="008E0508"/>
    <w:rsid w:val="008E08BD"/>
    <w:rsid w:val="008E0ADF"/>
    <w:rsid w:val="008E0D66"/>
    <w:rsid w:val="008E0DB5"/>
    <w:rsid w:val="008E0EEE"/>
    <w:rsid w:val="008E13F8"/>
    <w:rsid w:val="008E182F"/>
    <w:rsid w:val="008E1F7B"/>
    <w:rsid w:val="008E220A"/>
    <w:rsid w:val="008E239B"/>
    <w:rsid w:val="008E246B"/>
    <w:rsid w:val="008E311A"/>
    <w:rsid w:val="008E34AB"/>
    <w:rsid w:val="008E38AE"/>
    <w:rsid w:val="008E3F97"/>
    <w:rsid w:val="008E49B0"/>
    <w:rsid w:val="008E4B85"/>
    <w:rsid w:val="008E4BDF"/>
    <w:rsid w:val="008E5592"/>
    <w:rsid w:val="008E575A"/>
    <w:rsid w:val="008E58B5"/>
    <w:rsid w:val="008E5B8D"/>
    <w:rsid w:val="008E5E12"/>
    <w:rsid w:val="008E6087"/>
    <w:rsid w:val="008E6BD2"/>
    <w:rsid w:val="008E7073"/>
    <w:rsid w:val="008E70B2"/>
    <w:rsid w:val="008E7763"/>
    <w:rsid w:val="008E7E17"/>
    <w:rsid w:val="008F031E"/>
    <w:rsid w:val="008F0410"/>
    <w:rsid w:val="008F07FC"/>
    <w:rsid w:val="008F0A9C"/>
    <w:rsid w:val="008F0B80"/>
    <w:rsid w:val="008F1557"/>
    <w:rsid w:val="008F1663"/>
    <w:rsid w:val="008F172E"/>
    <w:rsid w:val="008F17DA"/>
    <w:rsid w:val="008F1DB6"/>
    <w:rsid w:val="008F24E1"/>
    <w:rsid w:val="008F2620"/>
    <w:rsid w:val="008F28E9"/>
    <w:rsid w:val="008F2B81"/>
    <w:rsid w:val="008F2D52"/>
    <w:rsid w:val="008F3272"/>
    <w:rsid w:val="008F347D"/>
    <w:rsid w:val="008F3519"/>
    <w:rsid w:val="008F359D"/>
    <w:rsid w:val="008F3B17"/>
    <w:rsid w:val="008F4387"/>
    <w:rsid w:val="008F476C"/>
    <w:rsid w:val="008F4A7E"/>
    <w:rsid w:val="008F51E5"/>
    <w:rsid w:val="008F5299"/>
    <w:rsid w:val="008F56ED"/>
    <w:rsid w:val="008F5E79"/>
    <w:rsid w:val="008F61EC"/>
    <w:rsid w:val="008F62BB"/>
    <w:rsid w:val="008F640E"/>
    <w:rsid w:val="008F663A"/>
    <w:rsid w:val="008F6802"/>
    <w:rsid w:val="008F6AD1"/>
    <w:rsid w:val="008F6D12"/>
    <w:rsid w:val="008F6E4E"/>
    <w:rsid w:val="008F703E"/>
    <w:rsid w:val="008F78A9"/>
    <w:rsid w:val="008F7A49"/>
    <w:rsid w:val="008F7E41"/>
    <w:rsid w:val="00900174"/>
    <w:rsid w:val="009003BE"/>
    <w:rsid w:val="00900558"/>
    <w:rsid w:val="00900CDC"/>
    <w:rsid w:val="00900D56"/>
    <w:rsid w:val="009017F3"/>
    <w:rsid w:val="00901AA0"/>
    <w:rsid w:val="00901B1E"/>
    <w:rsid w:val="00901C26"/>
    <w:rsid w:val="00901FDE"/>
    <w:rsid w:val="009023B3"/>
    <w:rsid w:val="00902923"/>
    <w:rsid w:val="00902A61"/>
    <w:rsid w:val="00902CF7"/>
    <w:rsid w:val="00903E6A"/>
    <w:rsid w:val="00903F33"/>
    <w:rsid w:val="009047A2"/>
    <w:rsid w:val="00904E8B"/>
    <w:rsid w:val="00904F7D"/>
    <w:rsid w:val="00905556"/>
    <w:rsid w:val="009056FA"/>
    <w:rsid w:val="00905E13"/>
    <w:rsid w:val="00905F8B"/>
    <w:rsid w:val="009060B5"/>
    <w:rsid w:val="00906152"/>
    <w:rsid w:val="009063AC"/>
    <w:rsid w:val="00906B52"/>
    <w:rsid w:val="00906C2F"/>
    <w:rsid w:val="00907234"/>
    <w:rsid w:val="0090734D"/>
    <w:rsid w:val="00907899"/>
    <w:rsid w:val="0090791D"/>
    <w:rsid w:val="009079F6"/>
    <w:rsid w:val="00907C94"/>
    <w:rsid w:val="00910058"/>
    <w:rsid w:val="0091025E"/>
    <w:rsid w:val="0091033D"/>
    <w:rsid w:val="009116F8"/>
    <w:rsid w:val="0091193F"/>
    <w:rsid w:val="00911AC2"/>
    <w:rsid w:val="0091238F"/>
    <w:rsid w:val="009124ED"/>
    <w:rsid w:val="00912751"/>
    <w:rsid w:val="00912857"/>
    <w:rsid w:val="00912A63"/>
    <w:rsid w:val="00912B11"/>
    <w:rsid w:val="009133C1"/>
    <w:rsid w:val="0091387D"/>
    <w:rsid w:val="00914641"/>
    <w:rsid w:val="0091480D"/>
    <w:rsid w:val="00914A07"/>
    <w:rsid w:val="00914AB3"/>
    <w:rsid w:val="00914DA7"/>
    <w:rsid w:val="00914DF6"/>
    <w:rsid w:val="00915F63"/>
    <w:rsid w:val="00916444"/>
    <w:rsid w:val="00916AFA"/>
    <w:rsid w:val="00916DE3"/>
    <w:rsid w:val="00916DFA"/>
    <w:rsid w:val="00916F60"/>
    <w:rsid w:val="00917053"/>
    <w:rsid w:val="00917390"/>
    <w:rsid w:val="0091739F"/>
    <w:rsid w:val="009177E9"/>
    <w:rsid w:val="0091784C"/>
    <w:rsid w:val="00917E9F"/>
    <w:rsid w:val="00917FA7"/>
    <w:rsid w:val="009201DB"/>
    <w:rsid w:val="00920831"/>
    <w:rsid w:val="00920A9C"/>
    <w:rsid w:val="00920BA2"/>
    <w:rsid w:val="00920CDC"/>
    <w:rsid w:val="00920D1E"/>
    <w:rsid w:val="00920FEF"/>
    <w:rsid w:val="009210B8"/>
    <w:rsid w:val="0092197F"/>
    <w:rsid w:val="00921F0B"/>
    <w:rsid w:val="009221AD"/>
    <w:rsid w:val="0092291D"/>
    <w:rsid w:val="00923366"/>
    <w:rsid w:val="0092385E"/>
    <w:rsid w:val="00923E52"/>
    <w:rsid w:val="00923F81"/>
    <w:rsid w:val="009240B7"/>
    <w:rsid w:val="00924690"/>
    <w:rsid w:val="00924D69"/>
    <w:rsid w:val="00924E12"/>
    <w:rsid w:val="00924F65"/>
    <w:rsid w:val="00924FCA"/>
    <w:rsid w:val="009251E5"/>
    <w:rsid w:val="009259B9"/>
    <w:rsid w:val="0092600B"/>
    <w:rsid w:val="00926343"/>
    <w:rsid w:val="009264A8"/>
    <w:rsid w:val="009265C7"/>
    <w:rsid w:val="009268E6"/>
    <w:rsid w:val="00926BAA"/>
    <w:rsid w:val="00927094"/>
    <w:rsid w:val="0092732F"/>
    <w:rsid w:val="00927988"/>
    <w:rsid w:val="00927BA9"/>
    <w:rsid w:val="0093035F"/>
    <w:rsid w:val="00930731"/>
    <w:rsid w:val="00930B41"/>
    <w:rsid w:val="00930D09"/>
    <w:rsid w:val="00930E29"/>
    <w:rsid w:val="0093140F"/>
    <w:rsid w:val="0093156C"/>
    <w:rsid w:val="009317C4"/>
    <w:rsid w:val="00931844"/>
    <w:rsid w:val="00931C5F"/>
    <w:rsid w:val="00931DF6"/>
    <w:rsid w:val="00931FA8"/>
    <w:rsid w:val="00932136"/>
    <w:rsid w:val="009322E3"/>
    <w:rsid w:val="00932389"/>
    <w:rsid w:val="009323F0"/>
    <w:rsid w:val="009328C9"/>
    <w:rsid w:val="00932A16"/>
    <w:rsid w:val="00932BAC"/>
    <w:rsid w:val="00932D53"/>
    <w:rsid w:val="00932E7E"/>
    <w:rsid w:val="00932F60"/>
    <w:rsid w:val="009331CF"/>
    <w:rsid w:val="009331E9"/>
    <w:rsid w:val="009334AC"/>
    <w:rsid w:val="00933765"/>
    <w:rsid w:val="009337E3"/>
    <w:rsid w:val="009339B0"/>
    <w:rsid w:val="00933B41"/>
    <w:rsid w:val="00934060"/>
    <w:rsid w:val="009340E8"/>
    <w:rsid w:val="00934564"/>
    <w:rsid w:val="009346E1"/>
    <w:rsid w:val="009351F1"/>
    <w:rsid w:val="0093574A"/>
    <w:rsid w:val="0093597F"/>
    <w:rsid w:val="00935A57"/>
    <w:rsid w:val="00935E03"/>
    <w:rsid w:val="00935E65"/>
    <w:rsid w:val="00935EB8"/>
    <w:rsid w:val="00936370"/>
    <w:rsid w:val="009364AC"/>
    <w:rsid w:val="009368D5"/>
    <w:rsid w:val="00936CD5"/>
    <w:rsid w:val="0093715F"/>
    <w:rsid w:val="00937437"/>
    <w:rsid w:val="00937E53"/>
    <w:rsid w:val="00937EE2"/>
    <w:rsid w:val="00940563"/>
    <w:rsid w:val="00940CA9"/>
    <w:rsid w:val="00940DD3"/>
    <w:rsid w:val="00940F97"/>
    <w:rsid w:val="00940FBD"/>
    <w:rsid w:val="0094146D"/>
    <w:rsid w:val="0094147A"/>
    <w:rsid w:val="009415FE"/>
    <w:rsid w:val="00941A22"/>
    <w:rsid w:val="00941B25"/>
    <w:rsid w:val="00941EC5"/>
    <w:rsid w:val="00941ED9"/>
    <w:rsid w:val="00942010"/>
    <w:rsid w:val="00942018"/>
    <w:rsid w:val="009422A1"/>
    <w:rsid w:val="00942700"/>
    <w:rsid w:val="00942721"/>
    <w:rsid w:val="00942922"/>
    <w:rsid w:val="00942AEC"/>
    <w:rsid w:val="00942B9F"/>
    <w:rsid w:val="00942D1A"/>
    <w:rsid w:val="00942FCE"/>
    <w:rsid w:val="00943055"/>
    <w:rsid w:val="00943180"/>
    <w:rsid w:val="0094320A"/>
    <w:rsid w:val="009433C5"/>
    <w:rsid w:val="009436EB"/>
    <w:rsid w:val="0094386C"/>
    <w:rsid w:val="00943BBC"/>
    <w:rsid w:val="00943DAF"/>
    <w:rsid w:val="0094400F"/>
    <w:rsid w:val="00944112"/>
    <w:rsid w:val="0094430B"/>
    <w:rsid w:val="0094436C"/>
    <w:rsid w:val="0094473E"/>
    <w:rsid w:val="00944EC4"/>
    <w:rsid w:val="00945387"/>
    <w:rsid w:val="00945A89"/>
    <w:rsid w:val="00945EDF"/>
    <w:rsid w:val="00945F1B"/>
    <w:rsid w:val="00946186"/>
    <w:rsid w:val="00946627"/>
    <w:rsid w:val="00946841"/>
    <w:rsid w:val="00946A50"/>
    <w:rsid w:val="00947390"/>
    <w:rsid w:val="00947470"/>
    <w:rsid w:val="00947874"/>
    <w:rsid w:val="009479CE"/>
    <w:rsid w:val="00947E4D"/>
    <w:rsid w:val="00950403"/>
    <w:rsid w:val="00950D4C"/>
    <w:rsid w:val="0095140A"/>
    <w:rsid w:val="0095170D"/>
    <w:rsid w:val="00951A4A"/>
    <w:rsid w:val="00951BC6"/>
    <w:rsid w:val="0095201B"/>
    <w:rsid w:val="009522F9"/>
    <w:rsid w:val="00952632"/>
    <w:rsid w:val="0095271D"/>
    <w:rsid w:val="0095274B"/>
    <w:rsid w:val="00952AA8"/>
    <w:rsid w:val="00952C8E"/>
    <w:rsid w:val="00953017"/>
    <w:rsid w:val="0095307F"/>
    <w:rsid w:val="0095352C"/>
    <w:rsid w:val="00953784"/>
    <w:rsid w:val="0095420D"/>
    <w:rsid w:val="0095432E"/>
    <w:rsid w:val="009544B3"/>
    <w:rsid w:val="0095465F"/>
    <w:rsid w:val="009548FF"/>
    <w:rsid w:val="00954AA0"/>
    <w:rsid w:val="00954AD9"/>
    <w:rsid w:val="00954ED3"/>
    <w:rsid w:val="00954EEE"/>
    <w:rsid w:val="00955526"/>
    <w:rsid w:val="00955537"/>
    <w:rsid w:val="009557D0"/>
    <w:rsid w:val="00955880"/>
    <w:rsid w:val="009564B1"/>
    <w:rsid w:val="00956D40"/>
    <w:rsid w:val="00957455"/>
    <w:rsid w:val="00957510"/>
    <w:rsid w:val="00957649"/>
    <w:rsid w:val="0095784E"/>
    <w:rsid w:val="00957BF9"/>
    <w:rsid w:val="00957FD5"/>
    <w:rsid w:val="0096016E"/>
    <w:rsid w:val="00960456"/>
    <w:rsid w:val="00960EFA"/>
    <w:rsid w:val="00961603"/>
    <w:rsid w:val="009617AB"/>
    <w:rsid w:val="009618F0"/>
    <w:rsid w:val="009618F6"/>
    <w:rsid w:val="00961B68"/>
    <w:rsid w:val="00962086"/>
    <w:rsid w:val="0096215F"/>
    <w:rsid w:val="00962178"/>
    <w:rsid w:val="009624F6"/>
    <w:rsid w:val="00962538"/>
    <w:rsid w:val="00962D36"/>
    <w:rsid w:val="009634B8"/>
    <w:rsid w:val="00963511"/>
    <w:rsid w:val="0096363B"/>
    <w:rsid w:val="009639DB"/>
    <w:rsid w:val="009640FC"/>
    <w:rsid w:val="009641A6"/>
    <w:rsid w:val="0096462F"/>
    <w:rsid w:val="00965107"/>
    <w:rsid w:val="00965269"/>
    <w:rsid w:val="00965691"/>
    <w:rsid w:val="0096572E"/>
    <w:rsid w:val="00965774"/>
    <w:rsid w:val="00965EBD"/>
    <w:rsid w:val="00965F07"/>
    <w:rsid w:val="00966584"/>
    <w:rsid w:val="009665A8"/>
    <w:rsid w:val="009665D0"/>
    <w:rsid w:val="00966961"/>
    <w:rsid w:val="00966C09"/>
    <w:rsid w:val="00966C2A"/>
    <w:rsid w:val="00967407"/>
    <w:rsid w:val="009674E6"/>
    <w:rsid w:val="00967551"/>
    <w:rsid w:val="009677D5"/>
    <w:rsid w:val="00967C91"/>
    <w:rsid w:val="00967CE3"/>
    <w:rsid w:val="0097066D"/>
    <w:rsid w:val="00970758"/>
    <w:rsid w:val="00970901"/>
    <w:rsid w:val="00970A7B"/>
    <w:rsid w:val="00970D2E"/>
    <w:rsid w:val="00970FE7"/>
    <w:rsid w:val="0097128C"/>
    <w:rsid w:val="009717C7"/>
    <w:rsid w:val="00971E61"/>
    <w:rsid w:val="00972377"/>
    <w:rsid w:val="009724C7"/>
    <w:rsid w:val="00972562"/>
    <w:rsid w:val="00972CC5"/>
    <w:rsid w:val="00972CF7"/>
    <w:rsid w:val="00972DC3"/>
    <w:rsid w:val="009732E6"/>
    <w:rsid w:val="00973307"/>
    <w:rsid w:val="009734E9"/>
    <w:rsid w:val="009739C9"/>
    <w:rsid w:val="00973C22"/>
    <w:rsid w:val="00973E9B"/>
    <w:rsid w:val="00974104"/>
    <w:rsid w:val="009742F3"/>
    <w:rsid w:val="0097443B"/>
    <w:rsid w:val="00974E17"/>
    <w:rsid w:val="00974E75"/>
    <w:rsid w:val="00975A73"/>
    <w:rsid w:val="009761FD"/>
    <w:rsid w:val="0097670E"/>
    <w:rsid w:val="00976C45"/>
    <w:rsid w:val="00976CBC"/>
    <w:rsid w:val="00976E14"/>
    <w:rsid w:val="00976E69"/>
    <w:rsid w:val="00977085"/>
    <w:rsid w:val="00977278"/>
    <w:rsid w:val="00977580"/>
    <w:rsid w:val="00977651"/>
    <w:rsid w:val="009776D5"/>
    <w:rsid w:val="009777D2"/>
    <w:rsid w:val="00977C0B"/>
    <w:rsid w:val="00977CB4"/>
    <w:rsid w:val="00977E1A"/>
    <w:rsid w:val="009803D9"/>
    <w:rsid w:val="0098092C"/>
    <w:rsid w:val="00980A7E"/>
    <w:rsid w:val="00980E73"/>
    <w:rsid w:val="00980F87"/>
    <w:rsid w:val="009810BB"/>
    <w:rsid w:val="00981427"/>
    <w:rsid w:val="00981467"/>
    <w:rsid w:val="00981667"/>
    <w:rsid w:val="00981A4C"/>
    <w:rsid w:val="00981C74"/>
    <w:rsid w:val="00981E00"/>
    <w:rsid w:val="0098212E"/>
    <w:rsid w:val="00982194"/>
    <w:rsid w:val="009827FD"/>
    <w:rsid w:val="009829B6"/>
    <w:rsid w:val="00982D1E"/>
    <w:rsid w:val="00982E89"/>
    <w:rsid w:val="00982E92"/>
    <w:rsid w:val="00983398"/>
    <w:rsid w:val="00984441"/>
    <w:rsid w:val="009844CF"/>
    <w:rsid w:val="0098451A"/>
    <w:rsid w:val="0098458A"/>
    <w:rsid w:val="00984B38"/>
    <w:rsid w:val="00984D3D"/>
    <w:rsid w:val="00984DD8"/>
    <w:rsid w:val="00985044"/>
    <w:rsid w:val="009850A1"/>
    <w:rsid w:val="00985523"/>
    <w:rsid w:val="00985872"/>
    <w:rsid w:val="00985C53"/>
    <w:rsid w:val="00985D33"/>
    <w:rsid w:val="00986322"/>
    <w:rsid w:val="009868BB"/>
    <w:rsid w:val="00987014"/>
    <w:rsid w:val="00987015"/>
    <w:rsid w:val="00987C84"/>
    <w:rsid w:val="00987E57"/>
    <w:rsid w:val="00987EC3"/>
    <w:rsid w:val="0099000D"/>
    <w:rsid w:val="009900F3"/>
    <w:rsid w:val="0099085F"/>
    <w:rsid w:val="00990B67"/>
    <w:rsid w:val="00990C42"/>
    <w:rsid w:val="0099112B"/>
    <w:rsid w:val="009917F4"/>
    <w:rsid w:val="009918EF"/>
    <w:rsid w:val="009919CA"/>
    <w:rsid w:val="00991BED"/>
    <w:rsid w:val="009921D1"/>
    <w:rsid w:val="009925DB"/>
    <w:rsid w:val="009930B7"/>
    <w:rsid w:val="00993114"/>
    <w:rsid w:val="00993B72"/>
    <w:rsid w:val="00993CC9"/>
    <w:rsid w:val="009940A4"/>
    <w:rsid w:val="009941A9"/>
    <w:rsid w:val="009941EA"/>
    <w:rsid w:val="00994612"/>
    <w:rsid w:val="00994B76"/>
    <w:rsid w:val="00994B86"/>
    <w:rsid w:val="00995521"/>
    <w:rsid w:val="0099593E"/>
    <w:rsid w:val="00995AD7"/>
    <w:rsid w:val="009965DC"/>
    <w:rsid w:val="009965FC"/>
    <w:rsid w:val="00996B4E"/>
    <w:rsid w:val="00997144"/>
    <w:rsid w:val="00997623"/>
    <w:rsid w:val="0099777B"/>
    <w:rsid w:val="00997AC5"/>
    <w:rsid w:val="00997AD5"/>
    <w:rsid w:val="009A03D2"/>
    <w:rsid w:val="009A0CCE"/>
    <w:rsid w:val="009A0D27"/>
    <w:rsid w:val="009A0DD9"/>
    <w:rsid w:val="009A1166"/>
    <w:rsid w:val="009A1740"/>
    <w:rsid w:val="009A1945"/>
    <w:rsid w:val="009A2132"/>
    <w:rsid w:val="009A25D0"/>
    <w:rsid w:val="009A260C"/>
    <w:rsid w:val="009A288D"/>
    <w:rsid w:val="009A2A3B"/>
    <w:rsid w:val="009A30F2"/>
    <w:rsid w:val="009A3633"/>
    <w:rsid w:val="009A3688"/>
    <w:rsid w:val="009A3E7C"/>
    <w:rsid w:val="009A4305"/>
    <w:rsid w:val="009A4541"/>
    <w:rsid w:val="009A4913"/>
    <w:rsid w:val="009A4C34"/>
    <w:rsid w:val="009A5324"/>
    <w:rsid w:val="009A54DE"/>
    <w:rsid w:val="009A5771"/>
    <w:rsid w:val="009A57E3"/>
    <w:rsid w:val="009A580E"/>
    <w:rsid w:val="009A58AE"/>
    <w:rsid w:val="009A5979"/>
    <w:rsid w:val="009A59AD"/>
    <w:rsid w:val="009A5E35"/>
    <w:rsid w:val="009A670D"/>
    <w:rsid w:val="009A6A4D"/>
    <w:rsid w:val="009A6B45"/>
    <w:rsid w:val="009A6F74"/>
    <w:rsid w:val="009A7095"/>
    <w:rsid w:val="009A7513"/>
    <w:rsid w:val="009A752C"/>
    <w:rsid w:val="009A7619"/>
    <w:rsid w:val="009A7928"/>
    <w:rsid w:val="009A7CA4"/>
    <w:rsid w:val="009B0075"/>
    <w:rsid w:val="009B01B6"/>
    <w:rsid w:val="009B03D9"/>
    <w:rsid w:val="009B0445"/>
    <w:rsid w:val="009B0582"/>
    <w:rsid w:val="009B06FC"/>
    <w:rsid w:val="009B0768"/>
    <w:rsid w:val="009B08E6"/>
    <w:rsid w:val="009B0CAB"/>
    <w:rsid w:val="009B107A"/>
    <w:rsid w:val="009B1715"/>
    <w:rsid w:val="009B17A5"/>
    <w:rsid w:val="009B1810"/>
    <w:rsid w:val="009B1B01"/>
    <w:rsid w:val="009B2138"/>
    <w:rsid w:val="009B3348"/>
    <w:rsid w:val="009B3721"/>
    <w:rsid w:val="009B3740"/>
    <w:rsid w:val="009B3EE7"/>
    <w:rsid w:val="009B3F77"/>
    <w:rsid w:val="009B405A"/>
    <w:rsid w:val="009B41F4"/>
    <w:rsid w:val="009B430C"/>
    <w:rsid w:val="009B4466"/>
    <w:rsid w:val="009B4A86"/>
    <w:rsid w:val="009B4D94"/>
    <w:rsid w:val="009B4ECD"/>
    <w:rsid w:val="009B5073"/>
    <w:rsid w:val="009B5264"/>
    <w:rsid w:val="009B543C"/>
    <w:rsid w:val="009B5483"/>
    <w:rsid w:val="009B5591"/>
    <w:rsid w:val="009B56F6"/>
    <w:rsid w:val="009B5AC4"/>
    <w:rsid w:val="009B5E3D"/>
    <w:rsid w:val="009B6045"/>
    <w:rsid w:val="009B6152"/>
    <w:rsid w:val="009B62CD"/>
    <w:rsid w:val="009B728B"/>
    <w:rsid w:val="009C0158"/>
    <w:rsid w:val="009C045B"/>
    <w:rsid w:val="009C0692"/>
    <w:rsid w:val="009C0A3A"/>
    <w:rsid w:val="009C0B7B"/>
    <w:rsid w:val="009C0CC4"/>
    <w:rsid w:val="009C0F03"/>
    <w:rsid w:val="009C1801"/>
    <w:rsid w:val="009C2431"/>
    <w:rsid w:val="009C27A1"/>
    <w:rsid w:val="009C2834"/>
    <w:rsid w:val="009C28ED"/>
    <w:rsid w:val="009C2913"/>
    <w:rsid w:val="009C293A"/>
    <w:rsid w:val="009C3533"/>
    <w:rsid w:val="009C3774"/>
    <w:rsid w:val="009C3C78"/>
    <w:rsid w:val="009C409F"/>
    <w:rsid w:val="009C4176"/>
    <w:rsid w:val="009C42E1"/>
    <w:rsid w:val="009C47B6"/>
    <w:rsid w:val="009C49AC"/>
    <w:rsid w:val="009C4D08"/>
    <w:rsid w:val="009C4EBF"/>
    <w:rsid w:val="009C4F22"/>
    <w:rsid w:val="009C507C"/>
    <w:rsid w:val="009C540E"/>
    <w:rsid w:val="009C54F5"/>
    <w:rsid w:val="009C6278"/>
    <w:rsid w:val="009C6968"/>
    <w:rsid w:val="009C6B92"/>
    <w:rsid w:val="009C6BFD"/>
    <w:rsid w:val="009C6D39"/>
    <w:rsid w:val="009C6DE4"/>
    <w:rsid w:val="009C75A4"/>
    <w:rsid w:val="009C786D"/>
    <w:rsid w:val="009D0180"/>
    <w:rsid w:val="009D03DD"/>
    <w:rsid w:val="009D06B2"/>
    <w:rsid w:val="009D06E0"/>
    <w:rsid w:val="009D07CA"/>
    <w:rsid w:val="009D084D"/>
    <w:rsid w:val="009D0A54"/>
    <w:rsid w:val="009D135E"/>
    <w:rsid w:val="009D166F"/>
    <w:rsid w:val="009D19C9"/>
    <w:rsid w:val="009D1B10"/>
    <w:rsid w:val="009D2080"/>
    <w:rsid w:val="009D2354"/>
    <w:rsid w:val="009D2770"/>
    <w:rsid w:val="009D28B1"/>
    <w:rsid w:val="009D2F5C"/>
    <w:rsid w:val="009D316D"/>
    <w:rsid w:val="009D3237"/>
    <w:rsid w:val="009D340D"/>
    <w:rsid w:val="009D360C"/>
    <w:rsid w:val="009D3628"/>
    <w:rsid w:val="009D384D"/>
    <w:rsid w:val="009D3EE8"/>
    <w:rsid w:val="009D406A"/>
    <w:rsid w:val="009D42B2"/>
    <w:rsid w:val="009D4919"/>
    <w:rsid w:val="009D4C2A"/>
    <w:rsid w:val="009D4CA6"/>
    <w:rsid w:val="009D4E24"/>
    <w:rsid w:val="009D52AC"/>
    <w:rsid w:val="009D52DD"/>
    <w:rsid w:val="009D569F"/>
    <w:rsid w:val="009D584B"/>
    <w:rsid w:val="009D61C5"/>
    <w:rsid w:val="009D6300"/>
    <w:rsid w:val="009D6621"/>
    <w:rsid w:val="009D6914"/>
    <w:rsid w:val="009D6BC0"/>
    <w:rsid w:val="009D7BC3"/>
    <w:rsid w:val="009E00E0"/>
    <w:rsid w:val="009E10A1"/>
    <w:rsid w:val="009E12B0"/>
    <w:rsid w:val="009E13FF"/>
    <w:rsid w:val="009E17A3"/>
    <w:rsid w:val="009E19F7"/>
    <w:rsid w:val="009E1A3C"/>
    <w:rsid w:val="009E1C22"/>
    <w:rsid w:val="009E1D59"/>
    <w:rsid w:val="009E2287"/>
    <w:rsid w:val="009E2481"/>
    <w:rsid w:val="009E262F"/>
    <w:rsid w:val="009E2636"/>
    <w:rsid w:val="009E27EC"/>
    <w:rsid w:val="009E294C"/>
    <w:rsid w:val="009E2B5E"/>
    <w:rsid w:val="009E2E2A"/>
    <w:rsid w:val="009E2F84"/>
    <w:rsid w:val="009E35CD"/>
    <w:rsid w:val="009E37E4"/>
    <w:rsid w:val="009E3BD4"/>
    <w:rsid w:val="009E3C7E"/>
    <w:rsid w:val="009E3EC3"/>
    <w:rsid w:val="009E40A9"/>
    <w:rsid w:val="009E43E8"/>
    <w:rsid w:val="009E44C5"/>
    <w:rsid w:val="009E46AD"/>
    <w:rsid w:val="009E4756"/>
    <w:rsid w:val="009E4833"/>
    <w:rsid w:val="009E48E6"/>
    <w:rsid w:val="009E4AB3"/>
    <w:rsid w:val="009E4C70"/>
    <w:rsid w:val="009E4CD6"/>
    <w:rsid w:val="009E5565"/>
    <w:rsid w:val="009E55E8"/>
    <w:rsid w:val="009E5939"/>
    <w:rsid w:val="009E5B50"/>
    <w:rsid w:val="009E5EA7"/>
    <w:rsid w:val="009E5FB6"/>
    <w:rsid w:val="009E6E04"/>
    <w:rsid w:val="009E7087"/>
    <w:rsid w:val="009E70FD"/>
    <w:rsid w:val="009E7696"/>
    <w:rsid w:val="009E7837"/>
    <w:rsid w:val="009E7921"/>
    <w:rsid w:val="009E7A04"/>
    <w:rsid w:val="009E7E01"/>
    <w:rsid w:val="009F00F8"/>
    <w:rsid w:val="009F010E"/>
    <w:rsid w:val="009F0381"/>
    <w:rsid w:val="009F064F"/>
    <w:rsid w:val="009F116F"/>
    <w:rsid w:val="009F1763"/>
    <w:rsid w:val="009F193A"/>
    <w:rsid w:val="009F1FE4"/>
    <w:rsid w:val="009F21A0"/>
    <w:rsid w:val="009F21E2"/>
    <w:rsid w:val="009F2265"/>
    <w:rsid w:val="009F244F"/>
    <w:rsid w:val="009F2924"/>
    <w:rsid w:val="009F2941"/>
    <w:rsid w:val="009F2CB7"/>
    <w:rsid w:val="009F322A"/>
    <w:rsid w:val="009F3631"/>
    <w:rsid w:val="009F363C"/>
    <w:rsid w:val="009F3790"/>
    <w:rsid w:val="009F3AC0"/>
    <w:rsid w:val="009F3FF2"/>
    <w:rsid w:val="009F4127"/>
    <w:rsid w:val="009F43B8"/>
    <w:rsid w:val="009F4671"/>
    <w:rsid w:val="009F476C"/>
    <w:rsid w:val="009F4DB3"/>
    <w:rsid w:val="009F4F33"/>
    <w:rsid w:val="009F586C"/>
    <w:rsid w:val="009F5D30"/>
    <w:rsid w:val="009F6005"/>
    <w:rsid w:val="009F7237"/>
    <w:rsid w:val="009F723A"/>
    <w:rsid w:val="009F7345"/>
    <w:rsid w:val="009F794A"/>
    <w:rsid w:val="009F7A90"/>
    <w:rsid w:val="009F7CEB"/>
    <w:rsid w:val="00A0065F"/>
    <w:rsid w:val="00A0097B"/>
    <w:rsid w:val="00A00A00"/>
    <w:rsid w:val="00A01662"/>
    <w:rsid w:val="00A02463"/>
    <w:rsid w:val="00A02746"/>
    <w:rsid w:val="00A02878"/>
    <w:rsid w:val="00A028B2"/>
    <w:rsid w:val="00A02938"/>
    <w:rsid w:val="00A02C66"/>
    <w:rsid w:val="00A02C82"/>
    <w:rsid w:val="00A02E2E"/>
    <w:rsid w:val="00A03256"/>
    <w:rsid w:val="00A03258"/>
    <w:rsid w:val="00A03E96"/>
    <w:rsid w:val="00A0408E"/>
    <w:rsid w:val="00A040FD"/>
    <w:rsid w:val="00A0426A"/>
    <w:rsid w:val="00A0436D"/>
    <w:rsid w:val="00A04912"/>
    <w:rsid w:val="00A04A60"/>
    <w:rsid w:val="00A04C0D"/>
    <w:rsid w:val="00A050DB"/>
    <w:rsid w:val="00A056DC"/>
    <w:rsid w:val="00A05AFE"/>
    <w:rsid w:val="00A05BFB"/>
    <w:rsid w:val="00A0600D"/>
    <w:rsid w:val="00A065BE"/>
    <w:rsid w:val="00A07327"/>
    <w:rsid w:val="00A073B3"/>
    <w:rsid w:val="00A076F4"/>
    <w:rsid w:val="00A07B2A"/>
    <w:rsid w:val="00A102AF"/>
    <w:rsid w:val="00A10D03"/>
    <w:rsid w:val="00A10FBF"/>
    <w:rsid w:val="00A11138"/>
    <w:rsid w:val="00A1138B"/>
    <w:rsid w:val="00A11508"/>
    <w:rsid w:val="00A11FBC"/>
    <w:rsid w:val="00A1218B"/>
    <w:rsid w:val="00A125F6"/>
    <w:rsid w:val="00A127C4"/>
    <w:rsid w:val="00A12A44"/>
    <w:rsid w:val="00A12E8B"/>
    <w:rsid w:val="00A13065"/>
    <w:rsid w:val="00A1364E"/>
    <w:rsid w:val="00A1367E"/>
    <w:rsid w:val="00A137CB"/>
    <w:rsid w:val="00A14535"/>
    <w:rsid w:val="00A147E9"/>
    <w:rsid w:val="00A14AB6"/>
    <w:rsid w:val="00A14CB4"/>
    <w:rsid w:val="00A1578C"/>
    <w:rsid w:val="00A15C22"/>
    <w:rsid w:val="00A1603B"/>
    <w:rsid w:val="00A1631A"/>
    <w:rsid w:val="00A165A3"/>
    <w:rsid w:val="00A16638"/>
    <w:rsid w:val="00A17490"/>
    <w:rsid w:val="00A1754E"/>
    <w:rsid w:val="00A179C8"/>
    <w:rsid w:val="00A17EB5"/>
    <w:rsid w:val="00A201B3"/>
    <w:rsid w:val="00A202A3"/>
    <w:rsid w:val="00A20493"/>
    <w:rsid w:val="00A2074E"/>
    <w:rsid w:val="00A20821"/>
    <w:rsid w:val="00A20AF8"/>
    <w:rsid w:val="00A20B1A"/>
    <w:rsid w:val="00A20E80"/>
    <w:rsid w:val="00A21339"/>
    <w:rsid w:val="00A21362"/>
    <w:rsid w:val="00A216D7"/>
    <w:rsid w:val="00A216F9"/>
    <w:rsid w:val="00A21A98"/>
    <w:rsid w:val="00A21CF9"/>
    <w:rsid w:val="00A228CE"/>
    <w:rsid w:val="00A229C0"/>
    <w:rsid w:val="00A22A39"/>
    <w:rsid w:val="00A22B41"/>
    <w:rsid w:val="00A22CD9"/>
    <w:rsid w:val="00A22EF4"/>
    <w:rsid w:val="00A23077"/>
    <w:rsid w:val="00A23115"/>
    <w:rsid w:val="00A2315A"/>
    <w:rsid w:val="00A232B9"/>
    <w:rsid w:val="00A23311"/>
    <w:rsid w:val="00A23660"/>
    <w:rsid w:val="00A24295"/>
    <w:rsid w:val="00A24664"/>
    <w:rsid w:val="00A24CEA"/>
    <w:rsid w:val="00A25C60"/>
    <w:rsid w:val="00A2672F"/>
    <w:rsid w:val="00A26901"/>
    <w:rsid w:val="00A26C3C"/>
    <w:rsid w:val="00A26E4A"/>
    <w:rsid w:val="00A26EB9"/>
    <w:rsid w:val="00A26F33"/>
    <w:rsid w:val="00A27260"/>
    <w:rsid w:val="00A27555"/>
    <w:rsid w:val="00A27A78"/>
    <w:rsid w:val="00A27B0C"/>
    <w:rsid w:val="00A27B82"/>
    <w:rsid w:val="00A27D50"/>
    <w:rsid w:val="00A27DC6"/>
    <w:rsid w:val="00A30049"/>
    <w:rsid w:val="00A30145"/>
    <w:rsid w:val="00A30612"/>
    <w:rsid w:val="00A3095D"/>
    <w:rsid w:val="00A30D3C"/>
    <w:rsid w:val="00A310BC"/>
    <w:rsid w:val="00A312C3"/>
    <w:rsid w:val="00A31B3C"/>
    <w:rsid w:val="00A31CC6"/>
    <w:rsid w:val="00A31F5E"/>
    <w:rsid w:val="00A3249E"/>
    <w:rsid w:val="00A32739"/>
    <w:rsid w:val="00A3273E"/>
    <w:rsid w:val="00A34101"/>
    <w:rsid w:val="00A3420B"/>
    <w:rsid w:val="00A34222"/>
    <w:rsid w:val="00A34436"/>
    <w:rsid w:val="00A34513"/>
    <w:rsid w:val="00A348E0"/>
    <w:rsid w:val="00A3493C"/>
    <w:rsid w:val="00A34AF3"/>
    <w:rsid w:val="00A34CA2"/>
    <w:rsid w:val="00A34F83"/>
    <w:rsid w:val="00A34FED"/>
    <w:rsid w:val="00A356A4"/>
    <w:rsid w:val="00A359B2"/>
    <w:rsid w:val="00A35A87"/>
    <w:rsid w:val="00A35C68"/>
    <w:rsid w:val="00A36150"/>
    <w:rsid w:val="00A3629B"/>
    <w:rsid w:val="00A36C57"/>
    <w:rsid w:val="00A36CE4"/>
    <w:rsid w:val="00A370E9"/>
    <w:rsid w:val="00A370F3"/>
    <w:rsid w:val="00A372E9"/>
    <w:rsid w:val="00A3751D"/>
    <w:rsid w:val="00A3761F"/>
    <w:rsid w:val="00A37B54"/>
    <w:rsid w:val="00A40153"/>
    <w:rsid w:val="00A401CB"/>
    <w:rsid w:val="00A402A4"/>
    <w:rsid w:val="00A404F2"/>
    <w:rsid w:val="00A40599"/>
    <w:rsid w:val="00A40730"/>
    <w:rsid w:val="00A41382"/>
    <w:rsid w:val="00A4146C"/>
    <w:rsid w:val="00A41880"/>
    <w:rsid w:val="00A41E53"/>
    <w:rsid w:val="00A41E5D"/>
    <w:rsid w:val="00A4202D"/>
    <w:rsid w:val="00A425C3"/>
    <w:rsid w:val="00A4265C"/>
    <w:rsid w:val="00A42BC6"/>
    <w:rsid w:val="00A430D3"/>
    <w:rsid w:val="00A433A9"/>
    <w:rsid w:val="00A4348F"/>
    <w:rsid w:val="00A438FF"/>
    <w:rsid w:val="00A43D80"/>
    <w:rsid w:val="00A43F21"/>
    <w:rsid w:val="00A44158"/>
    <w:rsid w:val="00A441B5"/>
    <w:rsid w:val="00A45200"/>
    <w:rsid w:val="00A45378"/>
    <w:rsid w:val="00A45635"/>
    <w:rsid w:val="00A45BE6"/>
    <w:rsid w:val="00A45FD0"/>
    <w:rsid w:val="00A46D85"/>
    <w:rsid w:val="00A46E3B"/>
    <w:rsid w:val="00A476C6"/>
    <w:rsid w:val="00A4796D"/>
    <w:rsid w:val="00A47A21"/>
    <w:rsid w:val="00A47C6A"/>
    <w:rsid w:val="00A500A1"/>
    <w:rsid w:val="00A5043A"/>
    <w:rsid w:val="00A5118C"/>
    <w:rsid w:val="00A51554"/>
    <w:rsid w:val="00A5261B"/>
    <w:rsid w:val="00A5269C"/>
    <w:rsid w:val="00A52AEF"/>
    <w:rsid w:val="00A52F25"/>
    <w:rsid w:val="00A5303B"/>
    <w:rsid w:val="00A531D3"/>
    <w:rsid w:val="00A535AB"/>
    <w:rsid w:val="00A535FB"/>
    <w:rsid w:val="00A537C9"/>
    <w:rsid w:val="00A53FA8"/>
    <w:rsid w:val="00A54159"/>
    <w:rsid w:val="00A54248"/>
    <w:rsid w:val="00A54383"/>
    <w:rsid w:val="00A5453C"/>
    <w:rsid w:val="00A550AE"/>
    <w:rsid w:val="00A55B4A"/>
    <w:rsid w:val="00A55ED1"/>
    <w:rsid w:val="00A5604E"/>
    <w:rsid w:val="00A56861"/>
    <w:rsid w:val="00A57A0F"/>
    <w:rsid w:val="00A57D43"/>
    <w:rsid w:val="00A6028F"/>
    <w:rsid w:val="00A6075B"/>
    <w:rsid w:val="00A607CB"/>
    <w:rsid w:val="00A6091A"/>
    <w:rsid w:val="00A609E8"/>
    <w:rsid w:val="00A610B1"/>
    <w:rsid w:val="00A61170"/>
    <w:rsid w:val="00A61495"/>
    <w:rsid w:val="00A617CB"/>
    <w:rsid w:val="00A61B06"/>
    <w:rsid w:val="00A61C9F"/>
    <w:rsid w:val="00A61D15"/>
    <w:rsid w:val="00A62942"/>
    <w:rsid w:val="00A62AEC"/>
    <w:rsid w:val="00A62E60"/>
    <w:rsid w:val="00A63630"/>
    <w:rsid w:val="00A636B2"/>
    <w:rsid w:val="00A6374D"/>
    <w:rsid w:val="00A63942"/>
    <w:rsid w:val="00A63C71"/>
    <w:rsid w:val="00A63E61"/>
    <w:rsid w:val="00A6517D"/>
    <w:rsid w:val="00A65206"/>
    <w:rsid w:val="00A65211"/>
    <w:rsid w:val="00A654D7"/>
    <w:rsid w:val="00A65C1F"/>
    <w:rsid w:val="00A65E35"/>
    <w:rsid w:val="00A65FA2"/>
    <w:rsid w:val="00A6602F"/>
    <w:rsid w:val="00A661FA"/>
    <w:rsid w:val="00A662A4"/>
    <w:rsid w:val="00A665BD"/>
    <w:rsid w:val="00A66863"/>
    <w:rsid w:val="00A66976"/>
    <w:rsid w:val="00A66977"/>
    <w:rsid w:val="00A67435"/>
    <w:rsid w:val="00A675D4"/>
    <w:rsid w:val="00A675EC"/>
    <w:rsid w:val="00A676FA"/>
    <w:rsid w:val="00A67722"/>
    <w:rsid w:val="00A70332"/>
    <w:rsid w:val="00A70649"/>
    <w:rsid w:val="00A70728"/>
    <w:rsid w:val="00A70766"/>
    <w:rsid w:val="00A70D34"/>
    <w:rsid w:val="00A70E15"/>
    <w:rsid w:val="00A70E7A"/>
    <w:rsid w:val="00A71176"/>
    <w:rsid w:val="00A72622"/>
    <w:rsid w:val="00A72782"/>
    <w:rsid w:val="00A738F2"/>
    <w:rsid w:val="00A73A9C"/>
    <w:rsid w:val="00A73F8C"/>
    <w:rsid w:val="00A73FC6"/>
    <w:rsid w:val="00A74935"/>
    <w:rsid w:val="00A749BD"/>
    <w:rsid w:val="00A749D9"/>
    <w:rsid w:val="00A75075"/>
    <w:rsid w:val="00A75112"/>
    <w:rsid w:val="00A751CD"/>
    <w:rsid w:val="00A75723"/>
    <w:rsid w:val="00A759C9"/>
    <w:rsid w:val="00A75AA6"/>
    <w:rsid w:val="00A75B32"/>
    <w:rsid w:val="00A75DA1"/>
    <w:rsid w:val="00A75DD6"/>
    <w:rsid w:val="00A76804"/>
    <w:rsid w:val="00A76DD4"/>
    <w:rsid w:val="00A76EA4"/>
    <w:rsid w:val="00A77152"/>
    <w:rsid w:val="00A7717C"/>
    <w:rsid w:val="00A77887"/>
    <w:rsid w:val="00A77BDE"/>
    <w:rsid w:val="00A77BFD"/>
    <w:rsid w:val="00A77CBB"/>
    <w:rsid w:val="00A77F64"/>
    <w:rsid w:val="00A801DE"/>
    <w:rsid w:val="00A8035B"/>
    <w:rsid w:val="00A80FCA"/>
    <w:rsid w:val="00A81234"/>
    <w:rsid w:val="00A8159E"/>
    <w:rsid w:val="00A8184B"/>
    <w:rsid w:val="00A81D35"/>
    <w:rsid w:val="00A81F82"/>
    <w:rsid w:val="00A82437"/>
    <w:rsid w:val="00A827C5"/>
    <w:rsid w:val="00A82CAB"/>
    <w:rsid w:val="00A82D41"/>
    <w:rsid w:val="00A82DD2"/>
    <w:rsid w:val="00A83273"/>
    <w:rsid w:val="00A83EA4"/>
    <w:rsid w:val="00A841B0"/>
    <w:rsid w:val="00A84509"/>
    <w:rsid w:val="00A84EAA"/>
    <w:rsid w:val="00A85086"/>
    <w:rsid w:val="00A8517C"/>
    <w:rsid w:val="00A85484"/>
    <w:rsid w:val="00A855EF"/>
    <w:rsid w:val="00A85977"/>
    <w:rsid w:val="00A85A2B"/>
    <w:rsid w:val="00A85EE2"/>
    <w:rsid w:val="00A85F22"/>
    <w:rsid w:val="00A86148"/>
    <w:rsid w:val="00A86241"/>
    <w:rsid w:val="00A86CB3"/>
    <w:rsid w:val="00A87442"/>
    <w:rsid w:val="00A878BA"/>
    <w:rsid w:val="00A8793B"/>
    <w:rsid w:val="00A879CC"/>
    <w:rsid w:val="00A90634"/>
    <w:rsid w:val="00A912DB"/>
    <w:rsid w:val="00A9133E"/>
    <w:rsid w:val="00A9158E"/>
    <w:rsid w:val="00A9184E"/>
    <w:rsid w:val="00A91A3D"/>
    <w:rsid w:val="00A91EF2"/>
    <w:rsid w:val="00A92C4D"/>
    <w:rsid w:val="00A92D74"/>
    <w:rsid w:val="00A93543"/>
    <w:rsid w:val="00A93660"/>
    <w:rsid w:val="00A93F16"/>
    <w:rsid w:val="00A93F6B"/>
    <w:rsid w:val="00A9456F"/>
    <w:rsid w:val="00A94A13"/>
    <w:rsid w:val="00A94AD0"/>
    <w:rsid w:val="00A94DED"/>
    <w:rsid w:val="00A94EC9"/>
    <w:rsid w:val="00A94EFC"/>
    <w:rsid w:val="00A9537D"/>
    <w:rsid w:val="00A955FF"/>
    <w:rsid w:val="00A95765"/>
    <w:rsid w:val="00A95CC8"/>
    <w:rsid w:val="00A95E94"/>
    <w:rsid w:val="00A96337"/>
    <w:rsid w:val="00A963DD"/>
    <w:rsid w:val="00A9644D"/>
    <w:rsid w:val="00A96F88"/>
    <w:rsid w:val="00A970D3"/>
    <w:rsid w:val="00A97387"/>
    <w:rsid w:val="00A9799D"/>
    <w:rsid w:val="00A979F7"/>
    <w:rsid w:val="00A97B23"/>
    <w:rsid w:val="00A97D2E"/>
    <w:rsid w:val="00A97FD9"/>
    <w:rsid w:val="00AA0604"/>
    <w:rsid w:val="00AA07B4"/>
    <w:rsid w:val="00AA07C1"/>
    <w:rsid w:val="00AA0AA8"/>
    <w:rsid w:val="00AA0D66"/>
    <w:rsid w:val="00AA1044"/>
    <w:rsid w:val="00AA1430"/>
    <w:rsid w:val="00AA1681"/>
    <w:rsid w:val="00AA1CEE"/>
    <w:rsid w:val="00AA1E9F"/>
    <w:rsid w:val="00AA2054"/>
    <w:rsid w:val="00AA2166"/>
    <w:rsid w:val="00AA22FF"/>
    <w:rsid w:val="00AA2FA1"/>
    <w:rsid w:val="00AA32E2"/>
    <w:rsid w:val="00AA35FF"/>
    <w:rsid w:val="00AA3F1D"/>
    <w:rsid w:val="00AA4389"/>
    <w:rsid w:val="00AA4B5C"/>
    <w:rsid w:val="00AA51C1"/>
    <w:rsid w:val="00AA52D8"/>
    <w:rsid w:val="00AA5346"/>
    <w:rsid w:val="00AA5BCE"/>
    <w:rsid w:val="00AA5D47"/>
    <w:rsid w:val="00AA60B5"/>
    <w:rsid w:val="00AA6156"/>
    <w:rsid w:val="00AA680B"/>
    <w:rsid w:val="00AA6D6A"/>
    <w:rsid w:val="00AA73AC"/>
    <w:rsid w:val="00AA7460"/>
    <w:rsid w:val="00AA7B77"/>
    <w:rsid w:val="00AA7B83"/>
    <w:rsid w:val="00AA7D6E"/>
    <w:rsid w:val="00AB0260"/>
    <w:rsid w:val="00AB05C9"/>
    <w:rsid w:val="00AB074C"/>
    <w:rsid w:val="00AB07F5"/>
    <w:rsid w:val="00AB145F"/>
    <w:rsid w:val="00AB1837"/>
    <w:rsid w:val="00AB187A"/>
    <w:rsid w:val="00AB1918"/>
    <w:rsid w:val="00AB1A03"/>
    <w:rsid w:val="00AB25C7"/>
    <w:rsid w:val="00AB2771"/>
    <w:rsid w:val="00AB2F82"/>
    <w:rsid w:val="00AB32FD"/>
    <w:rsid w:val="00AB33D1"/>
    <w:rsid w:val="00AB3598"/>
    <w:rsid w:val="00AB39DB"/>
    <w:rsid w:val="00AB3CE7"/>
    <w:rsid w:val="00AB459D"/>
    <w:rsid w:val="00AB474D"/>
    <w:rsid w:val="00AB4B3C"/>
    <w:rsid w:val="00AB4C09"/>
    <w:rsid w:val="00AB4DAD"/>
    <w:rsid w:val="00AB514A"/>
    <w:rsid w:val="00AB552A"/>
    <w:rsid w:val="00AB5B2D"/>
    <w:rsid w:val="00AB6376"/>
    <w:rsid w:val="00AB63E5"/>
    <w:rsid w:val="00AB6EEF"/>
    <w:rsid w:val="00AB72B0"/>
    <w:rsid w:val="00AB7694"/>
    <w:rsid w:val="00AB7825"/>
    <w:rsid w:val="00AB7968"/>
    <w:rsid w:val="00AC01B9"/>
    <w:rsid w:val="00AC0260"/>
    <w:rsid w:val="00AC03A8"/>
    <w:rsid w:val="00AC07AC"/>
    <w:rsid w:val="00AC0A59"/>
    <w:rsid w:val="00AC0F43"/>
    <w:rsid w:val="00AC10B5"/>
    <w:rsid w:val="00AC188D"/>
    <w:rsid w:val="00AC1E12"/>
    <w:rsid w:val="00AC1F17"/>
    <w:rsid w:val="00AC1F30"/>
    <w:rsid w:val="00AC20D2"/>
    <w:rsid w:val="00AC298C"/>
    <w:rsid w:val="00AC2D2E"/>
    <w:rsid w:val="00AC2E30"/>
    <w:rsid w:val="00AC379D"/>
    <w:rsid w:val="00AC41DC"/>
    <w:rsid w:val="00AC44C8"/>
    <w:rsid w:val="00AC496D"/>
    <w:rsid w:val="00AC4FD3"/>
    <w:rsid w:val="00AC50CE"/>
    <w:rsid w:val="00AC50E3"/>
    <w:rsid w:val="00AC512D"/>
    <w:rsid w:val="00AC5368"/>
    <w:rsid w:val="00AC548D"/>
    <w:rsid w:val="00AC59CF"/>
    <w:rsid w:val="00AC5BD3"/>
    <w:rsid w:val="00AC5BFE"/>
    <w:rsid w:val="00AC5DB0"/>
    <w:rsid w:val="00AC6063"/>
    <w:rsid w:val="00AC6787"/>
    <w:rsid w:val="00AC6B36"/>
    <w:rsid w:val="00AC6E3B"/>
    <w:rsid w:val="00AC768C"/>
    <w:rsid w:val="00AC7BF8"/>
    <w:rsid w:val="00AC7D30"/>
    <w:rsid w:val="00AD005D"/>
    <w:rsid w:val="00AD01D0"/>
    <w:rsid w:val="00AD04B8"/>
    <w:rsid w:val="00AD17AA"/>
    <w:rsid w:val="00AD1907"/>
    <w:rsid w:val="00AD1B18"/>
    <w:rsid w:val="00AD1D93"/>
    <w:rsid w:val="00AD2A82"/>
    <w:rsid w:val="00AD30ED"/>
    <w:rsid w:val="00AD3298"/>
    <w:rsid w:val="00AD3370"/>
    <w:rsid w:val="00AD35BC"/>
    <w:rsid w:val="00AD36F9"/>
    <w:rsid w:val="00AD44ED"/>
    <w:rsid w:val="00AD4610"/>
    <w:rsid w:val="00AD4613"/>
    <w:rsid w:val="00AD480B"/>
    <w:rsid w:val="00AD51C9"/>
    <w:rsid w:val="00AD53FE"/>
    <w:rsid w:val="00AD542F"/>
    <w:rsid w:val="00AD5A3B"/>
    <w:rsid w:val="00AD609E"/>
    <w:rsid w:val="00AD64CD"/>
    <w:rsid w:val="00AD662B"/>
    <w:rsid w:val="00AD66ED"/>
    <w:rsid w:val="00AD69C0"/>
    <w:rsid w:val="00AD6F49"/>
    <w:rsid w:val="00AD7413"/>
    <w:rsid w:val="00AD7745"/>
    <w:rsid w:val="00AD7FFD"/>
    <w:rsid w:val="00AE0040"/>
    <w:rsid w:val="00AE0276"/>
    <w:rsid w:val="00AE04B2"/>
    <w:rsid w:val="00AE0A25"/>
    <w:rsid w:val="00AE0A9E"/>
    <w:rsid w:val="00AE0E01"/>
    <w:rsid w:val="00AE0FF9"/>
    <w:rsid w:val="00AE12C4"/>
    <w:rsid w:val="00AE1A7A"/>
    <w:rsid w:val="00AE1A99"/>
    <w:rsid w:val="00AE1BFD"/>
    <w:rsid w:val="00AE1FEF"/>
    <w:rsid w:val="00AE23AD"/>
    <w:rsid w:val="00AE2703"/>
    <w:rsid w:val="00AE2A68"/>
    <w:rsid w:val="00AE31EE"/>
    <w:rsid w:val="00AE31F5"/>
    <w:rsid w:val="00AE3220"/>
    <w:rsid w:val="00AE36AC"/>
    <w:rsid w:val="00AE3A5A"/>
    <w:rsid w:val="00AE3D5F"/>
    <w:rsid w:val="00AE3E3A"/>
    <w:rsid w:val="00AE4131"/>
    <w:rsid w:val="00AE420E"/>
    <w:rsid w:val="00AE43AB"/>
    <w:rsid w:val="00AE4560"/>
    <w:rsid w:val="00AE5138"/>
    <w:rsid w:val="00AE51C2"/>
    <w:rsid w:val="00AE5ACB"/>
    <w:rsid w:val="00AE5F81"/>
    <w:rsid w:val="00AE6281"/>
    <w:rsid w:val="00AE63F4"/>
    <w:rsid w:val="00AE66E6"/>
    <w:rsid w:val="00AE6994"/>
    <w:rsid w:val="00AE6A19"/>
    <w:rsid w:val="00AE6F3B"/>
    <w:rsid w:val="00AE7051"/>
    <w:rsid w:val="00AE7332"/>
    <w:rsid w:val="00AE7562"/>
    <w:rsid w:val="00AE772D"/>
    <w:rsid w:val="00AE7DCE"/>
    <w:rsid w:val="00AF02C3"/>
    <w:rsid w:val="00AF04E2"/>
    <w:rsid w:val="00AF0A80"/>
    <w:rsid w:val="00AF0DF9"/>
    <w:rsid w:val="00AF0FA2"/>
    <w:rsid w:val="00AF1262"/>
    <w:rsid w:val="00AF1405"/>
    <w:rsid w:val="00AF16A0"/>
    <w:rsid w:val="00AF16BB"/>
    <w:rsid w:val="00AF19DE"/>
    <w:rsid w:val="00AF1A88"/>
    <w:rsid w:val="00AF1AEA"/>
    <w:rsid w:val="00AF1EE6"/>
    <w:rsid w:val="00AF1F79"/>
    <w:rsid w:val="00AF2599"/>
    <w:rsid w:val="00AF3387"/>
    <w:rsid w:val="00AF3723"/>
    <w:rsid w:val="00AF3A58"/>
    <w:rsid w:val="00AF4314"/>
    <w:rsid w:val="00AF4451"/>
    <w:rsid w:val="00AF47C1"/>
    <w:rsid w:val="00AF4BE4"/>
    <w:rsid w:val="00AF4C16"/>
    <w:rsid w:val="00AF4DD9"/>
    <w:rsid w:val="00AF4E51"/>
    <w:rsid w:val="00AF53B2"/>
    <w:rsid w:val="00AF543D"/>
    <w:rsid w:val="00AF584C"/>
    <w:rsid w:val="00AF5B61"/>
    <w:rsid w:val="00AF5D4C"/>
    <w:rsid w:val="00AF5EDB"/>
    <w:rsid w:val="00AF65ED"/>
    <w:rsid w:val="00AF6BFF"/>
    <w:rsid w:val="00AF7178"/>
    <w:rsid w:val="00AF7AE0"/>
    <w:rsid w:val="00AF7BE0"/>
    <w:rsid w:val="00AF7D04"/>
    <w:rsid w:val="00B00062"/>
    <w:rsid w:val="00B00244"/>
    <w:rsid w:val="00B006A7"/>
    <w:rsid w:val="00B00924"/>
    <w:rsid w:val="00B00DB4"/>
    <w:rsid w:val="00B00DC9"/>
    <w:rsid w:val="00B011A8"/>
    <w:rsid w:val="00B01CA9"/>
    <w:rsid w:val="00B01F75"/>
    <w:rsid w:val="00B020AE"/>
    <w:rsid w:val="00B0230D"/>
    <w:rsid w:val="00B027AA"/>
    <w:rsid w:val="00B02A22"/>
    <w:rsid w:val="00B02D9D"/>
    <w:rsid w:val="00B035F7"/>
    <w:rsid w:val="00B03A0E"/>
    <w:rsid w:val="00B04347"/>
    <w:rsid w:val="00B046C6"/>
    <w:rsid w:val="00B05165"/>
    <w:rsid w:val="00B0529B"/>
    <w:rsid w:val="00B056B7"/>
    <w:rsid w:val="00B05722"/>
    <w:rsid w:val="00B05A6C"/>
    <w:rsid w:val="00B05CD6"/>
    <w:rsid w:val="00B05E21"/>
    <w:rsid w:val="00B05FD4"/>
    <w:rsid w:val="00B06195"/>
    <w:rsid w:val="00B061AC"/>
    <w:rsid w:val="00B07153"/>
    <w:rsid w:val="00B0720A"/>
    <w:rsid w:val="00B07553"/>
    <w:rsid w:val="00B075D2"/>
    <w:rsid w:val="00B0763E"/>
    <w:rsid w:val="00B07A14"/>
    <w:rsid w:val="00B07F65"/>
    <w:rsid w:val="00B102E2"/>
    <w:rsid w:val="00B10316"/>
    <w:rsid w:val="00B10585"/>
    <w:rsid w:val="00B10918"/>
    <w:rsid w:val="00B10B27"/>
    <w:rsid w:val="00B110E2"/>
    <w:rsid w:val="00B1134A"/>
    <w:rsid w:val="00B115C2"/>
    <w:rsid w:val="00B11809"/>
    <w:rsid w:val="00B11B37"/>
    <w:rsid w:val="00B11D8F"/>
    <w:rsid w:val="00B11EA0"/>
    <w:rsid w:val="00B1209E"/>
    <w:rsid w:val="00B125FD"/>
    <w:rsid w:val="00B1282F"/>
    <w:rsid w:val="00B12A8D"/>
    <w:rsid w:val="00B12B18"/>
    <w:rsid w:val="00B12BD6"/>
    <w:rsid w:val="00B13003"/>
    <w:rsid w:val="00B13338"/>
    <w:rsid w:val="00B13425"/>
    <w:rsid w:val="00B13CFF"/>
    <w:rsid w:val="00B13D73"/>
    <w:rsid w:val="00B13EDC"/>
    <w:rsid w:val="00B13F3C"/>
    <w:rsid w:val="00B14474"/>
    <w:rsid w:val="00B1483D"/>
    <w:rsid w:val="00B14D7C"/>
    <w:rsid w:val="00B14FD7"/>
    <w:rsid w:val="00B1542E"/>
    <w:rsid w:val="00B1560B"/>
    <w:rsid w:val="00B157C1"/>
    <w:rsid w:val="00B15EBB"/>
    <w:rsid w:val="00B1652C"/>
    <w:rsid w:val="00B1696A"/>
    <w:rsid w:val="00B1707D"/>
    <w:rsid w:val="00B17721"/>
    <w:rsid w:val="00B1799C"/>
    <w:rsid w:val="00B17B24"/>
    <w:rsid w:val="00B17B53"/>
    <w:rsid w:val="00B17BBB"/>
    <w:rsid w:val="00B17FDB"/>
    <w:rsid w:val="00B20BDD"/>
    <w:rsid w:val="00B20CF4"/>
    <w:rsid w:val="00B20E3A"/>
    <w:rsid w:val="00B211F9"/>
    <w:rsid w:val="00B212A8"/>
    <w:rsid w:val="00B2138A"/>
    <w:rsid w:val="00B21926"/>
    <w:rsid w:val="00B21BA2"/>
    <w:rsid w:val="00B21BB1"/>
    <w:rsid w:val="00B225D0"/>
    <w:rsid w:val="00B225EA"/>
    <w:rsid w:val="00B227CE"/>
    <w:rsid w:val="00B22A51"/>
    <w:rsid w:val="00B22F97"/>
    <w:rsid w:val="00B235C9"/>
    <w:rsid w:val="00B236A6"/>
    <w:rsid w:val="00B23AEA"/>
    <w:rsid w:val="00B23AF6"/>
    <w:rsid w:val="00B24722"/>
    <w:rsid w:val="00B257BC"/>
    <w:rsid w:val="00B25914"/>
    <w:rsid w:val="00B259DF"/>
    <w:rsid w:val="00B25A99"/>
    <w:rsid w:val="00B25D68"/>
    <w:rsid w:val="00B25FBD"/>
    <w:rsid w:val="00B26810"/>
    <w:rsid w:val="00B26C9D"/>
    <w:rsid w:val="00B26CDE"/>
    <w:rsid w:val="00B2777B"/>
    <w:rsid w:val="00B27879"/>
    <w:rsid w:val="00B2798C"/>
    <w:rsid w:val="00B27C36"/>
    <w:rsid w:val="00B27D74"/>
    <w:rsid w:val="00B30120"/>
    <w:rsid w:val="00B30614"/>
    <w:rsid w:val="00B30917"/>
    <w:rsid w:val="00B30D73"/>
    <w:rsid w:val="00B310B4"/>
    <w:rsid w:val="00B31438"/>
    <w:rsid w:val="00B31568"/>
    <w:rsid w:val="00B31B54"/>
    <w:rsid w:val="00B32245"/>
    <w:rsid w:val="00B32419"/>
    <w:rsid w:val="00B325B0"/>
    <w:rsid w:val="00B32DD8"/>
    <w:rsid w:val="00B3360D"/>
    <w:rsid w:val="00B33914"/>
    <w:rsid w:val="00B33945"/>
    <w:rsid w:val="00B33C45"/>
    <w:rsid w:val="00B33F6F"/>
    <w:rsid w:val="00B34148"/>
    <w:rsid w:val="00B343D0"/>
    <w:rsid w:val="00B343EE"/>
    <w:rsid w:val="00B34876"/>
    <w:rsid w:val="00B34ABA"/>
    <w:rsid w:val="00B34E53"/>
    <w:rsid w:val="00B35432"/>
    <w:rsid w:val="00B3556D"/>
    <w:rsid w:val="00B35DF0"/>
    <w:rsid w:val="00B367E2"/>
    <w:rsid w:val="00B36B63"/>
    <w:rsid w:val="00B37812"/>
    <w:rsid w:val="00B37860"/>
    <w:rsid w:val="00B37A9D"/>
    <w:rsid w:val="00B37F93"/>
    <w:rsid w:val="00B401FF"/>
    <w:rsid w:val="00B40F8E"/>
    <w:rsid w:val="00B41114"/>
    <w:rsid w:val="00B42048"/>
    <w:rsid w:val="00B4220C"/>
    <w:rsid w:val="00B42720"/>
    <w:rsid w:val="00B43058"/>
    <w:rsid w:val="00B43BFD"/>
    <w:rsid w:val="00B44060"/>
    <w:rsid w:val="00B44068"/>
    <w:rsid w:val="00B445D0"/>
    <w:rsid w:val="00B4462B"/>
    <w:rsid w:val="00B446C2"/>
    <w:rsid w:val="00B44CD7"/>
    <w:rsid w:val="00B44DEB"/>
    <w:rsid w:val="00B44EA9"/>
    <w:rsid w:val="00B44FB7"/>
    <w:rsid w:val="00B4522F"/>
    <w:rsid w:val="00B454EA"/>
    <w:rsid w:val="00B45BD4"/>
    <w:rsid w:val="00B45F3E"/>
    <w:rsid w:val="00B45F6F"/>
    <w:rsid w:val="00B45F98"/>
    <w:rsid w:val="00B4656A"/>
    <w:rsid w:val="00B470ED"/>
    <w:rsid w:val="00B4726E"/>
    <w:rsid w:val="00B4733B"/>
    <w:rsid w:val="00B47371"/>
    <w:rsid w:val="00B47A27"/>
    <w:rsid w:val="00B47B74"/>
    <w:rsid w:val="00B501D5"/>
    <w:rsid w:val="00B50418"/>
    <w:rsid w:val="00B50719"/>
    <w:rsid w:val="00B50A2F"/>
    <w:rsid w:val="00B50ACB"/>
    <w:rsid w:val="00B5182A"/>
    <w:rsid w:val="00B51988"/>
    <w:rsid w:val="00B51C0F"/>
    <w:rsid w:val="00B51CDB"/>
    <w:rsid w:val="00B51DE1"/>
    <w:rsid w:val="00B52443"/>
    <w:rsid w:val="00B529FC"/>
    <w:rsid w:val="00B52BF5"/>
    <w:rsid w:val="00B52D17"/>
    <w:rsid w:val="00B53072"/>
    <w:rsid w:val="00B53336"/>
    <w:rsid w:val="00B5359A"/>
    <w:rsid w:val="00B537EA"/>
    <w:rsid w:val="00B53CD2"/>
    <w:rsid w:val="00B55389"/>
    <w:rsid w:val="00B557BB"/>
    <w:rsid w:val="00B55CAC"/>
    <w:rsid w:val="00B55D14"/>
    <w:rsid w:val="00B56036"/>
    <w:rsid w:val="00B56046"/>
    <w:rsid w:val="00B56174"/>
    <w:rsid w:val="00B56195"/>
    <w:rsid w:val="00B5692D"/>
    <w:rsid w:val="00B56A9D"/>
    <w:rsid w:val="00B56D36"/>
    <w:rsid w:val="00B56D6A"/>
    <w:rsid w:val="00B56F2B"/>
    <w:rsid w:val="00B56F3C"/>
    <w:rsid w:val="00B57212"/>
    <w:rsid w:val="00B572CE"/>
    <w:rsid w:val="00B576DA"/>
    <w:rsid w:val="00B57A9F"/>
    <w:rsid w:val="00B57E89"/>
    <w:rsid w:val="00B60048"/>
    <w:rsid w:val="00B600AE"/>
    <w:rsid w:val="00B604C0"/>
    <w:rsid w:val="00B606F4"/>
    <w:rsid w:val="00B612E7"/>
    <w:rsid w:val="00B616E3"/>
    <w:rsid w:val="00B61796"/>
    <w:rsid w:val="00B61948"/>
    <w:rsid w:val="00B62087"/>
    <w:rsid w:val="00B62697"/>
    <w:rsid w:val="00B62DCA"/>
    <w:rsid w:val="00B630D4"/>
    <w:rsid w:val="00B63460"/>
    <w:rsid w:val="00B634F2"/>
    <w:rsid w:val="00B63720"/>
    <w:rsid w:val="00B6383B"/>
    <w:rsid w:val="00B638CC"/>
    <w:rsid w:val="00B63C5D"/>
    <w:rsid w:val="00B63F03"/>
    <w:rsid w:val="00B64E97"/>
    <w:rsid w:val="00B64FA7"/>
    <w:rsid w:val="00B650E4"/>
    <w:rsid w:val="00B650EC"/>
    <w:rsid w:val="00B6547E"/>
    <w:rsid w:val="00B656CB"/>
    <w:rsid w:val="00B65CBD"/>
    <w:rsid w:val="00B66364"/>
    <w:rsid w:val="00B663B5"/>
    <w:rsid w:val="00B6672E"/>
    <w:rsid w:val="00B66AEA"/>
    <w:rsid w:val="00B66C04"/>
    <w:rsid w:val="00B66C37"/>
    <w:rsid w:val="00B66CD0"/>
    <w:rsid w:val="00B66EB1"/>
    <w:rsid w:val="00B67003"/>
    <w:rsid w:val="00B67119"/>
    <w:rsid w:val="00B67268"/>
    <w:rsid w:val="00B67324"/>
    <w:rsid w:val="00B67486"/>
    <w:rsid w:val="00B67595"/>
    <w:rsid w:val="00B67BEE"/>
    <w:rsid w:val="00B70050"/>
    <w:rsid w:val="00B70453"/>
    <w:rsid w:val="00B70522"/>
    <w:rsid w:val="00B70F1B"/>
    <w:rsid w:val="00B711A0"/>
    <w:rsid w:val="00B71509"/>
    <w:rsid w:val="00B71675"/>
    <w:rsid w:val="00B717BF"/>
    <w:rsid w:val="00B719A1"/>
    <w:rsid w:val="00B71AC2"/>
    <w:rsid w:val="00B71B62"/>
    <w:rsid w:val="00B71C10"/>
    <w:rsid w:val="00B71ECF"/>
    <w:rsid w:val="00B721CA"/>
    <w:rsid w:val="00B7261A"/>
    <w:rsid w:val="00B7266D"/>
    <w:rsid w:val="00B72720"/>
    <w:rsid w:val="00B7279C"/>
    <w:rsid w:val="00B7286C"/>
    <w:rsid w:val="00B72DF9"/>
    <w:rsid w:val="00B72E89"/>
    <w:rsid w:val="00B7372E"/>
    <w:rsid w:val="00B7376B"/>
    <w:rsid w:val="00B73A87"/>
    <w:rsid w:val="00B7468D"/>
    <w:rsid w:val="00B75770"/>
    <w:rsid w:val="00B75B81"/>
    <w:rsid w:val="00B75B8F"/>
    <w:rsid w:val="00B75BC0"/>
    <w:rsid w:val="00B75F02"/>
    <w:rsid w:val="00B760E8"/>
    <w:rsid w:val="00B7620F"/>
    <w:rsid w:val="00B7636B"/>
    <w:rsid w:val="00B76492"/>
    <w:rsid w:val="00B7668F"/>
    <w:rsid w:val="00B76828"/>
    <w:rsid w:val="00B769A2"/>
    <w:rsid w:val="00B76CCE"/>
    <w:rsid w:val="00B77193"/>
    <w:rsid w:val="00B77916"/>
    <w:rsid w:val="00B7796D"/>
    <w:rsid w:val="00B77E3E"/>
    <w:rsid w:val="00B8036D"/>
    <w:rsid w:val="00B80B83"/>
    <w:rsid w:val="00B80E0B"/>
    <w:rsid w:val="00B80EB1"/>
    <w:rsid w:val="00B80F43"/>
    <w:rsid w:val="00B817C4"/>
    <w:rsid w:val="00B820D3"/>
    <w:rsid w:val="00B82171"/>
    <w:rsid w:val="00B8254D"/>
    <w:rsid w:val="00B831BB"/>
    <w:rsid w:val="00B83300"/>
    <w:rsid w:val="00B83387"/>
    <w:rsid w:val="00B8338D"/>
    <w:rsid w:val="00B8387D"/>
    <w:rsid w:val="00B841D4"/>
    <w:rsid w:val="00B84B5B"/>
    <w:rsid w:val="00B84C0B"/>
    <w:rsid w:val="00B84D9E"/>
    <w:rsid w:val="00B84DAB"/>
    <w:rsid w:val="00B84DFC"/>
    <w:rsid w:val="00B84EB4"/>
    <w:rsid w:val="00B84EC5"/>
    <w:rsid w:val="00B8521C"/>
    <w:rsid w:val="00B85445"/>
    <w:rsid w:val="00B854B4"/>
    <w:rsid w:val="00B8560C"/>
    <w:rsid w:val="00B85CC9"/>
    <w:rsid w:val="00B85ED5"/>
    <w:rsid w:val="00B863A0"/>
    <w:rsid w:val="00B8704A"/>
    <w:rsid w:val="00B87156"/>
    <w:rsid w:val="00B87597"/>
    <w:rsid w:val="00B8774F"/>
    <w:rsid w:val="00B8790C"/>
    <w:rsid w:val="00B87CD0"/>
    <w:rsid w:val="00B87D67"/>
    <w:rsid w:val="00B87E62"/>
    <w:rsid w:val="00B90C3B"/>
    <w:rsid w:val="00B90DFF"/>
    <w:rsid w:val="00B91111"/>
    <w:rsid w:val="00B91201"/>
    <w:rsid w:val="00B91404"/>
    <w:rsid w:val="00B918AA"/>
    <w:rsid w:val="00B91EB8"/>
    <w:rsid w:val="00B91FBB"/>
    <w:rsid w:val="00B927B9"/>
    <w:rsid w:val="00B9292C"/>
    <w:rsid w:val="00B9293C"/>
    <w:rsid w:val="00B9294A"/>
    <w:rsid w:val="00B92C84"/>
    <w:rsid w:val="00B92D19"/>
    <w:rsid w:val="00B92D71"/>
    <w:rsid w:val="00B93CCD"/>
    <w:rsid w:val="00B942F1"/>
    <w:rsid w:val="00B94386"/>
    <w:rsid w:val="00B94577"/>
    <w:rsid w:val="00B94F3F"/>
    <w:rsid w:val="00B94F65"/>
    <w:rsid w:val="00B958B6"/>
    <w:rsid w:val="00B96F4F"/>
    <w:rsid w:val="00B9729D"/>
    <w:rsid w:val="00B976C9"/>
    <w:rsid w:val="00BA01AB"/>
    <w:rsid w:val="00BA0A3D"/>
    <w:rsid w:val="00BA101E"/>
    <w:rsid w:val="00BA15E1"/>
    <w:rsid w:val="00BA16BC"/>
    <w:rsid w:val="00BA1DDD"/>
    <w:rsid w:val="00BA1E71"/>
    <w:rsid w:val="00BA22B7"/>
    <w:rsid w:val="00BA2607"/>
    <w:rsid w:val="00BA28A0"/>
    <w:rsid w:val="00BA2FC7"/>
    <w:rsid w:val="00BA303B"/>
    <w:rsid w:val="00BA32A9"/>
    <w:rsid w:val="00BA3306"/>
    <w:rsid w:val="00BA3702"/>
    <w:rsid w:val="00BA3CFB"/>
    <w:rsid w:val="00BA3D70"/>
    <w:rsid w:val="00BA42C8"/>
    <w:rsid w:val="00BA4315"/>
    <w:rsid w:val="00BA442B"/>
    <w:rsid w:val="00BA44E1"/>
    <w:rsid w:val="00BA45C3"/>
    <w:rsid w:val="00BA4910"/>
    <w:rsid w:val="00BA49B6"/>
    <w:rsid w:val="00BA4E3A"/>
    <w:rsid w:val="00BA4E43"/>
    <w:rsid w:val="00BA512A"/>
    <w:rsid w:val="00BA5724"/>
    <w:rsid w:val="00BA5963"/>
    <w:rsid w:val="00BA5DEA"/>
    <w:rsid w:val="00BA6089"/>
    <w:rsid w:val="00BA6A63"/>
    <w:rsid w:val="00BA6B74"/>
    <w:rsid w:val="00BA7269"/>
    <w:rsid w:val="00BA73EE"/>
    <w:rsid w:val="00BA7448"/>
    <w:rsid w:val="00BB000D"/>
    <w:rsid w:val="00BB058E"/>
    <w:rsid w:val="00BB0761"/>
    <w:rsid w:val="00BB0777"/>
    <w:rsid w:val="00BB0E85"/>
    <w:rsid w:val="00BB12BE"/>
    <w:rsid w:val="00BB13E1"/>
    <w:rsid w:val="00BB2329"/>
    <w:rsid w:val="00BB248C"/>
    <w:rsid w:val="00BB2592"/>
    <w:rsid w:val="00BB2AF9"/>
    <w:rsid w:val="00BB2C98"/>
    <w:rsid w:val="00BB2DDA"/>
    <w:rsid w:val="00BB30FE"/>
    <w:rsid w:val="00BB3110"/>
    <w:rsid w:val="00BB3431"/>
    <w:rsid w:val="00BB3553"/>
    <w:rsid w:val="00BB363B"/>
    <w:rsid w:val="00BB3B8D"/>
    <w:rsid w:val="00BB3C99"/>
    <w:rsid w:val="00BB3F8D"/>
    <w:rsid w:val="00BB499F"/>
    <w:rsid w:val="00BB4C2B"/>
    <w:rsid w:val="00BB4E55"/>
    <w:rsid w:val="00BB52C1"/>
    <w:rsid w:val="00BB54A6"/>
    <w:rsid w:val="00BB5A54"/>
    <w:rsid w:val="00BB5D87"/>
    <w:rsid w:val="00BB5F90"/>
    <w:rsid w:val="00BB5FF9"/>
    <w:rsid w:val="00BB6586"/>
    <w:rsid w:val="00BB6875"/>
    <w:rsid w:val="00BB6A16"/>
    <w:rsid w:val="00BB6B89"/>
    <w:rsid w:val="00BB6D41"/>
    <w:rsid w:val="00BB704E"/>
    <w:rsid w:val="00BB70FD"/>
    <w:rsid w:val="00BB7177"/>
    <w:rsid w:val="00BB7189"/>
    <w:rsid w:val="00BB77A9"/>
    <w:rsid w:val="00BB784D"/>
    <w:rsid w:val="00BB7AF9"/>
    <w:rsid w:val="00BB7D40"/>
    <w:rsid w:val="00BC02C6"/>
    <w:rsid w:val="00BC19B1"/>
    <w:rsid w:val="00BC1A22"/>
    <w:rsid w:val="00BC1C29"/>
    <w:rsid w:val="00BC1CAF"/>
    <w:rsid w:val="00BC1ECD"/>
    <w:rsid w:val="00BC2417"/>
    <w:rsid w:val="00BC2C45"/>
    <w:rsid w:val="00BC307F"/>
    <w:rsid w:val="00BC359E"/>
    <w:rsid w:val="00BC3791"/>
    <w:rsid w:val="00BC37FA"/>
    <w:rsid w:val="00BC3A74"/>
    <w:rsid w:val="00BC479B"/>
    <w:rsid w:val="00BC4C3B"/>
    <w:rsid w:val="00BC4D94"/>
    <w:rsid w:val="00BC5089"/>
    <w:rsid w:val="00BC5391"/>
    <w:rsid w:val="00BC5965"/>
    <w:rsid w:val="00BC5A25"/>
    <w:rsid w:val="00BC6191"/>
    <w:rsid w:val="00BC6606"/>
    <w:rsid w:val="00BC6775"/>
    <w:rsid w:val="00BC68F3"/>
    <w:rsid w:val="00BC6F10"/>
    <w:rsid w:val="00BC74A7"/>
    <w:rsid w:val="00BD02A6"/>
    <w:rsid w:val="00BD03EC"/>
    <w:rsid w:val="00BD0479"/>
    <w:rsid w:val="00BD05C0"/>
    <w:rsid w:val="00BD089B"/>
    <w:rsid w:val="00BD0D8D"/>
    <w:rsid w:val="00BD1540"/>
    <w:rsid w:val="00BD171E"/>
    <w:rsid w:val="00BD184A"/>
    <w:rsid w:val="00BD1DC4"/>
    <w:rsid w:val="00BD2BC9"/>
    <w:rsid w:val="00BD3BAE"/>
    <w:rsid w:val="00BD3D78"/>
    <w:rsid w:val="00BD4E7B"/>
    <w:rsid w:val="00BD5424"/>
    <w:rsid w:val="00BD5519"/>
    <w:rsid w:val="00BD579B"/>
    <w:rsid w:val="00BD590A"/>
    <w:rsid w:val="00BD5A52"/>
    <w:rsid w:val="00BD5F1E"/>
    <w:rsid w:val="00BD6845"/>
    <w:rsid w:val="00BD686D"/>
    <w:rsid w:val="00BD714C"/>
    <w:rsid w:val="00BD71CA"/>
    <w:rsid w:val="00BD7644"/>
    <w:rsid w:val="00BD79AD"/>
    <w:rsid w:val="00BD7A88"/>
    <w:rsid w:val="00BD7E5A"/>
    <w:rsid w:val="00BE01D3"/>
    <w:rsid w:val="00BE07C5"/>
    <w:rsid w:val="00BE09B2"/>
    <w:rsid w:val="00BE0BF0"/>
    <w:rsid w:val="00BE0CA7"/>
    <w:rsid w:val="00BE193C"/>
    <w:rsid w:val="00BE1E04"/>
    <w:rsid w:val="00BE1EA5"/>
    <w:rsid w:val="00BE1F44"/>
    <w:rsid w:val="00BE2372"/>
    <w:rsid w:val="00BE2CA1"/>
    <w:rsid w:val="00BE3111"/>
    <w:rsid w:val="00BE3152"/>
    <w:rsid w:val="00BE37E9"/>
    <w:rsid w:val="00BE393E"/>
    <w:rsid w:val="00BE3CAA"/>
    <w:rsid w:val="00BE3D49"/>
    <w:rsid w:val="00BE3D6C"/>
    <w:rsid w:val="00BE3E5F"/>
    <w:rsid w:val="00BE4404"/>
    <w:rsid w:val="00BE4D35"/>
    <w:rsid w:val="00BE4EA5"/>
    <w:rsid w:val="00BE5108"/>
    <w:rsid w:val="00BE51AD"/>
    <w:rsid w:val="00BE5380"/>
    <w:rsid w:val="00BE54FD"/>
    <w:rsid w:val="00BE583A"/>
    <w:rsid w:val="00BE58DB"/>
    <w:rsid w:val="00BE5975"/>
    <w:rsid w:val="00BE678C"/>
    <w:rsid w:val="00BE7371"/>
    <w:rsid w:val="00BE7D3B"/>
    <w:rsid w:val="00BE7F8C"/>
    <w:rsid w:val="00BF03A2"/>
    <w:rsid w:val="00BF0435"/>
    <w:rsid w:val="00BF058C"/>
    <w:rsid w:val="00BF109F"/>
    <w:rsid w:val="00BF10F5"/>
    <w:rsid w:val="00BF13C0"/>
    <w:rsid w:val="00BF1551"/>
    <w:rsid w:val="00BF1589"/>
    <w:rsid w:val="00BF1FC6"/>
    <w:rsid w:val="00BF2071"/>
    <w:rsid w:val="00BF2288"/>
    <w:rsid w:val="00BF2715"/>
    <w:rsid w:val="00BF2842"/>
    <w:rsid w:val="00BF28D0"/>
    <w:rsid w:val="00BF2A6D"/>
    <w:rsid w:val="00BF2D1B"/>
    <w:rsid w:val="00BF2D48"/>
    <w:rsid w:val="00BF2EF7"/>
    <w:rsid w:val="00BF2FF5"/>
    <w:rsid w:val="00BF3BF2"/>
    <w:rsid w:val="00BF3D83"/>
    <w:rsid w:val="00BF3D86"/>
    <w:rsid w:val="00BF3DFA"/>
    <w:rsid w:val="00BF4A05"/>
    <w:rsid w:val="00BF4B99"/>
    <w:rsid w:val="00BF4E12"/>
    <w:rsid w:val="00BF502C"/>
    <w:rsid w:val="00BF5482"/>
    <w:rsid w:val="00BF5862"/>
    <w:rsid w:val="00BF6C39"/>
    <w:rsid w:val="00BF7291"/>
    <w:rsid w:val="00BF732A"/>
    <w:rsid w:val="00BF7449"/>
    <w:rsid w:val="00BF75E3"/>
    <w:rsid w:val="00BF76EE"/>
    <w:rsid w:val="00BF7A05"/>
    <w:rsid w:val="00BF7A17"/>
    <w:rsid w:val="00BF7B5B"/>
    <w:rsid w:val="00BF7E30"/>
    <w:rsid w:val="00C001A0"/>
    <w:rsid w:val="00C004AA"/>
    <w:rsid w:val="00C00825"/>
    <w:rsid w:val="00C00ADB"/>
    <w:rsid w:val="00C00B91"/>
    <w:rsid w:val="00C0107D"/>
    <w:rsid w:val="00C011C0"/>
    <w:rsid w:val="00C016C6"/>
    <w:rsid w:val="00C01BF4"/>
    <w:rsid w:val="00C0215D"/>
    <w:rsid w:val="00C024BD"/>
    <w:rsid w:val="00C025B2"/>
    <w:rsid w:val="00C028BF"/>
    <w:rsid w:val="00C02A37"/>
    <w:rsid w:val="00C02D05"/>
    <w:rsid w:val="00C031FA"/>
    <w:rsid w:val="00C0336B"/>
    <w:rsid w:val="00C03666"/>
    <w:rsid w:val="00C0374C"/>
    <w:rsid w:val="00C0408D"/>
    <w:rsid w:val="00C0421A"/>
    <w:rsid w:val="00C048AC"/>
    <w:rsid w:val="00C04B57"/>
    <w:rsid w:val="00C04D9D"/>
    <w:rsid w:val="00C04E80"/>
    <w:rsid w:val="00C053BC"/>
    <w:rsid w:val="00C057BC"/>
    <w:rsid w:val="00C05EB4"/>
    <w:rsid w:val="00C061FD"/>
    <w:rsid w:val="00C062B5"/>
    <w:rsid w:val="00C06459"/>
    <w:rsid w:val="00C0676A"/>
    <w:rsid w:val="00C06B98"/>
    <w:rsid w:val="00C070FA"/>
    <w:rsid w:val="00C071B9"/>
    <w:rsid w:val="00C0722B"/>
    <w:rsid w:val="00C07417"/>
    <w:rsid w:val="00C079C3"/>
    <w:rsid w:val="00C07B10"/>
    <w:rsid w:val="00C07BBA"/>
    <w:rsid w:val="00C07CC2"/>
    <w:rsid w:val="00C1004B"/>
    <w:rsid w:val="00C10407"/>
    <w:rsid w:val="00C10B20"/>
    <w:rsid w:val="00C10B79"/>
    <w:rsid w:val="00C11166"/>
    <w:rsid w:val="00C115F0"/>
    <w:rsid w:val="00C11A01"/>
    <w:rsid w:val="00C12CD4"/>
    <w:rsid w:val="00C130AA"/>
    <w:rsid w:val="00C136C2"/>
    <w:rsid w:val="00C136CF"/>
    <w:rsid w:val="00C13954"/>
    <w:rsid w:val="00C13FF3"/>
    <w:rsid w:val="00C1413D"/>
    <w:rsid w:val="00C14175"/>
    <w:rsid w:val="00C14452"/>
    <w:rsid w:val="00C14773"/>
    <w:rsid w:val="00C1521B"/>
    <w:rsid w:val="00C156BD"/>
    <w:rsid w:val="00C15770"/>
    <w:rsid w:val="00C159CA"/>
    <w:rsid w:val="00C15B76"/>
    <w:rsid w:val="00C15BF2"/>
    <w:rsid w:val="00C15CE3"/>
    <w:rsid w:val="00C15EDC"/>
    <w:rsid w:val="00C16147"/>
    <w:rsid w:val="00C162C9"/>
    <w:rsid w:val="00C163B7"/>
    <w:rsid w:val="00C164A4"/>
    <w:rsid w:val="00C1664F"/>
    <w:rsid w:val="00C16ACC"/>
    <w:rsid w:val="00C16B36"/>
    <w:rsid w:val="00C16B3B"/>
    <w:rsid w:val="00C17105"/>
    <w:rsid w:val="00C20091"/>
    <w:rsid w:val="00C2078F"/>
    <w:rsid w:val="00C20AFF"/>
    <w:rsid w:val="00C20B6F"/>
    <w:rsid w:val="00C2162A"/>
    <w:rsid w:val="00C21901"/>
    <w:rsid w:val="00C21D17"/>
    <w:rsid w:val="00C22198"/>
    <w:rsid w:val="00C221BF"/>
    <w:rsid w:val="00C22608"/>
    <w:rsid w:val="00C22CBF"/>
    <w:rsid w:val="00C2309D"/>
    <w:rsid w:val="00C23255"/>
    <w:rsid w:val="00C23C65"/>
    <w:rsid w:val="00C23D67"/>
    <w:rsid w:val="00C23F4A"/>
    <w:rsid w:val="00C23FEA"/>
    <w:rsid w:val="00C24E13"/>
    <w:rsid w:val="00C24EC7"/>
    <w:rsid w:val="00C25B4B"/>
    <w:rsid w:val="00C25EDA"/>
    <w:rsid w:val="00C25FBB"/>
    <w:rsid w:val="00C262DC"/>
    <w:rsid w:val="00C262FB"/>
    <w:rsid w:val="00C2681D"/>
    <w:rsid w:val="00C268B5"/>
    <w:rsid w:val="00C268CF"/>
    <w:rsid w:val="00C268D1"/>
    <w:rsid w:val="00C26A68"/>
    <w:rsid w:val="00C26D90"/>
    <w:rsid w:val="00C2723C"/>
    <w:rsid w:val="00C2741F"/>
    <w:rsid w:val="00C277D8"/>
    <w:rsid w:val="00C27915"/>
    <w:rsid w:val="00C30B2B"/>
    <w:rsid w:val="00C30D55"/>
    <w:rsid w:val="00C31492"/>
    <w:rsid w:val="00C317CD"/>
    <w:rsid w:val="00C317F3"/>
    <w:rsid w:val="00C31E2D"/>
    <w:rsid w:val="00C32157"/>
    <w:rsid w:val="00C326A9"/>
    <w:rsid w:val="00C32D42"/>
    <w:rsid w:val="00C330CD"/>
    <w:rsid w:val="00C33111"/>
    <w:rsid w:val="00C334E3"/>
    <w:rsid w:val="00C339CC"/>
    <w:rsid w:val="00C34069"/>
    <w:rsid w:val="00C341E1"/>
    <w:rsid w:val="00C3466F"/>
    <w:rsid w:val="00C349AE"/>
    <w:rsid w:val="00C349C2"/>
    <w:rsid w:val="00C34B83"/>
    <w:rsid w:val="00C35236"/>
    <w:rsid w:val="00C353DA"/>
    <w:rsid w:val="00C356A5"/>
    <w:rsid w:val="00C356EF"/>
    <w:rsid w:val="00C35923"/>
    <w:rsid w:val="00C35C94"/>
    <w:rsid w:val="00C361F4"/>
    <w:rsid w:val="00C36441"/>
    <w:rsid w:val="00C37CD2"/>
    <w:rsid w:val="00C37E82"/>
    <w:rsid w:val="00C4021D"/>
    <w:rsid w:val="00C405B6"/>
    <w:rsid w:val="00C40DFD"/>
    <w:rsid w:val="00C40F27"/>
    <w:rsid w:val="00C4105E"/>
    <w:rsid w:val="00C413D4"/>
    <w:rsid w:val="00C41944"/>
    <w:rsid w:val="00C41CFD"/>
    <w:rsid w:val="00C41DEC"/>
    <w:rsid w:val="00C42422"/>
    <w:rsid w:val="00C43102"/>
    <w:rsid w:val="00C4323C"/>
    <w:rsid w:val="00C435F5"/>
    <w:rsid w:val="00C43745"/>
    <w:rsid w:val="00C43B04"/>
    <w:rsid w:val="00C43D01"/>
    <w:rsid w:val="00C44584"/>
    <w:rsid w:val="00C445A5"/>
    <w:rsid w:val="00C44BEE"/>
    <w:rsid w:val="00C44C37"/>
    <w:rsid w:val="00C44D9C"/>
    <w:rsid w:val="00C45234"/>
    <w:rsid w:val="00C452E1"/>
    <w:rsid w:val="00C45814"/>
    <w:rsid w:val="00C45D0F"/>
    <w:rsid w:val="00C45ED7"/>
    <w:rsid w:val="00C4685B"/>
    <w:rsid w:val="00C469C8"/>
    <w:rsid w:val="00C46AE5"/>
    <w:rsid w:val="00C46D49"/>
    <w:rsid w:val="00C46D78"/>
    <w:rsid w:val="00C4702E"/>
    <w:rsid w:val="00C4706D"/>
    <w:rsid w:val="00C475D5"/>
    <w:rsid w:val="00C47654"/>
    <w:rsid w:val="00C478CE"/>
    <w:rsid w:val="00C47C35"/>
    <w:rsid w:val="00C47E70"/>
    <w:rsid w:val="00C5067B"/>
    <w:rsid w:val="00C509CB"/>
    <w:rsid w:val="00C50BCE"/>
    <w:rsid w:val="00C50C2F"/>
    <w:rsid w:val="00C50D83"/>
    <w:rsid w:val="00C51557"/>
    <w:rsid w:val="00C5172D"/>
    <w:rsid w:val="00C519FF"/>
    <w:rsid w:val="00C51E55"/>
    <w:rsid w:val="00C51EB3"/>
    <w:rsid w:val="00C51F4C"/>
    <w:rsid w:val="00C522C0"/>
    <w:rsid w:val="00C52964"/>
    <w:rsid w:val="00C529D2"/>
    <w:rsid w:val="00C52BE0"/>
    <w:rsid w:val="00C52CCD"/>
    <w:rsid w:val="00C52EF5"/>
    <w:rsid w:val="00C5323F"/>
    <w:rsid w:val="00C532F2"/>
    <w:rsid w:val="00C5396E"/>
    <w:rsid w:val="00C539CF"/>
    <w:rsid w:val="00C559C4"/>
    <w:rsid w:val="00C55C07"/>
    <w:rsid w:val="00C55D4F"/>
    <w:rsid w:val="00C55E59"/>
    <w:rsid w:val="00C55FD6"/>
    <w:rsid w:val="00C56093"/>
    <w:rsid w:val="00C56563"/>
    <w:rsid w:val="00C5660F"/>
    <w:rsid w:val="00C56A4F"/>
    <w:rsid w:val="00C56B59"/>
    <w:rsid w:val="00C56D25"/>
    <w:rsid w:val="00C578EB"/>
    <w:rsid w:val="00C57A2A"/>
    <w:rsid w:val="00C57E4D"/>
    <w:rsid w:val="00C57E88"/>
    <w:rsid w:val="00C606AA"/>
    <w:rsid w:val="00C60BE8"/>
    <w:rsid w:val="00C60D47"/>
    <w:rsid w:val="00C6103A"/>
    <w:rsid w:val="00C61BE1"/>
    <w:rsid w:val="00C61C2F"/>
    <w:rsid w:val="00C61FDB"/>
    <w:rsid w:val="00C622A3"/>
    <w:rsid w:val="00C625C4"/>
    <w:rsid w:val="00C626E2"/>
    <w:rsid w:val="00C628C8"/>
    <w:rsid w:val="00C62C40"/>
    <w:rsid w:val="00C62FC6"/>
    <w:rsid w:val="00C63299"/>
    <w:rsid w:val="00C6363C"/>
    <w:rsid w:val="00C63CCE"/>
    <w:rsid w:val="00C63E7F"/>
    <w:rsid w:val="00C63F3E"/>
    <w:rsid w:val="00C6447B"/>
    <w:rsid w:val="00C64619"/>
    <w:rsid w:val="00C6499E"/>
    <w:rsid w:val="00C64E42"/>
    <w:rsid w:val="00C64FE9"/>
    <w:rsid w:val="00C659B3"/>
    <w:rsid w:val="00C65A09"/>
    <w:rsid w:val="00C65DD3"/>
    <w:rsid w:val="00C66077"/>
    <w:rsid w:val="00C6609F"/>
    <w:rsid w:val="00C661A0"/>
    <w:rsid w:val="00C6627C"/>
    <w:rsid w:val="00C668CF"/>
    <w:rsid w:val="00C66AAF"/>
    <w:rsid w:val="00C66B81"/>
    <w:rsid w:val="00C66C11"/>
    <w:rsid w:val="00C67088"/>
    <w:rsid w:val="00C673D8"/>
    <w:rsid w:val="00C673F8"/>
    <w:rsid w:val="00C67D04"/>
    <w:rsid w:val="00C704B2"/>
    <w:rsid w:val="00C709C7"/>
    <w:rsid w:val="00C70B61"/>
    <w:rsid w:val="00C70E94"/>
    <w:rsid w:val="00C70FE0"/>
    <w:rsid w:val="00C71112"/>
    <w:rsid w:val="00C714DE"/>
    <w:rsid w:val="00C71A5D"/>
    <w:rsid w:val="00C71F34"/>
    <w:rsid w:val="00C721CC"/>
    <w:rsid w:val="00C723CB"/>
    <w:rsid w:val="00C72712"/>
    <w:rsid w:val="00C727EE"/>
    <w:rsid w:val="00C72808"/>
    <w:rsid w:val="00C72E20"/>
    <w:rsid w:val="00C72EDD"/>
    <w:rsid w:val="00C73340"/>
    <w:rsid w:val="00C734B5"/>
    <w:rsid w:val="00C736E7"/>
    <w:rsid w:val="00C73E87"/>
    <w:rsid w:val="00C7440D"/>
    <w:rsid w:val="00C74E5D"/>
    <w:rsid w:val="00C7519E"/>
    <w:rsid w:val="00C75418"/>
    <w:rsid w:val="00C75565"/>
    <w:rsid w:val="00C75A46"/>
    <w:rsid w:val="00C75C91"/>
    <w:rsid w:val="00C75CA9"/>
    <w:rsid w:val="00C75EBD"/>
    <w:rsid w:val="00C762E1"/>
    <w:rsid w:val="00C76D58"/>
    <w:rsid w:val="00C76D60"/>
    <w:rsid w:val="00C77298"/>
    <w:rsid w:val="00C77680"/>
    <w:rsid w:val="00C77B4A"/>
    <w:rsid w:val="00C77BF4"/>
    <w:rsid w:val="00C77F90"/>
    <w:rsid w:val="00C80596"/>
    <w:rsid w:val="00C808AA"/>
    <w:rsid w:val="00C80A1C"/>
    <w:rsid w:val="00C8118F"/>
    <w:rsid w:val="00C817EC"/>
    <w:rsid w:val="00C81A12"/>
    <w:rsid w:val="00C81B91"/>
    <w:rsid w:val="00C81BD5"/>
    <w:rsid w:val="00C81D65"/>
    <w:rsid w:val="00C81D6A"/>
    <w:rsid w:val="00C81DD4"/>
    <w:rsid w:val="00C81DE0"/>
    <w:rsid w:val="00C82261"/>
    <w:rsid w:val="00C824E4"/>
    <w:rsid w:val="00C8296F"/>
    <w:rsid w:val="00C829E5"/>
    <w:rsid w:val="00C82CA8"/>
    <w:rsid w:val="00C82F3C"/>
    <w:rsid w:val="00C8369D"/>
    <w:rsid w:val="00C838BB"/>
    <w:rsid w:val="00C83A11"/>
    <w:rsid w:val="00C83DC9"/>
    <w:rsid w:val="00C83DCC"/>
    <w:rsid w:val="00C83DEB"/>
    <w:rsid w:val="00C8401D"/>
    <w:rsid w:val="00C840B4"/>
    <w:rsid w:val="00C84254"/>
    <w:rsid w:val="00C844AB"/>
    <w:rsid w:val="00C846BE"/>
    <w:rsid w:val="00C84B03"/>
    <w:rsid w:val="00C84BF5"/>
    <w:rsid w:val="00C84C02"/>
    <w:rsid w:val="00C84C7B"/>
    <w:rsid w:val="00C84FF8"/>
    <w:rsid w:val="00C85227"/>
    <w:rsid w:val="00C86302"/>
    <w:rsid w:val="00C8659B"/>
    <w:rsid w:val="00C86DE1"/>
    <w:rsid w:val="00C86EF6"/>
    <w:rsid w:val="00C87120"/>
    <w:rsid w:val="00C87316"/>
    <w:rsid w:val="00C87807"/>
    <w:rsid w:val="00C87F5E"/>
    <w:rsid w:val="00C903F3"/>
    <w:rsid w:val="00C90588"/>
    <w:rsid w:val="00C90E18"/>
    <w:rsid w:val="00C91080"/>
    <w:rsid w:val="00C9161F"/>
    <w:rsid w:val="00C918A6"/>
    <w:rsid w:val="00C91E87"/>
    <w:rsid w:val="00C92087"/>
    <w:rsid w:val="00C920A1"/>
    <w:rsid w:val="00C922AA"/>
    <w:rsid w:val="00C92604"/>
    <w:rsid w:val="00C9285A"/>
    <w:rsid w:val="00C92874"/>
    <w:rsid w:val="00C92CDC"/>
    <w:rsid w:val="00C92CF0"/>
    <w:rsid w:val="00C92E6A"/>
    <w:rsid w:val="00C92E73"/>
    <w:rsid w:val="00C931DE"/>
    <w:rsid w:val="00C934DC"/>
    <w:rsid w:val="00C93639"/>
    <w:rsid w:val="00C936DE"/>
    <w:rsid w:val="00C93787"/>
    <w:rsid w:val="00C93887"/>
    <w:rsid w:val="00C93E0B"/>
    <w:rsid w:val="00C940A0"/>
    <w:rsid w:val="00C94165"/>
    <w:rsid w:val="00C9446E"/>
    <w:rsid w:val="00C94741"/>
    <w:rsid w:val="00C95113"/>
    <w:rsid w:val="00C953E3"/>
    <w:rsid w:val="00C95AB3"/>
    <w:rsid w:val="00C95C4E"/>
    <w:rsid w:val="00C95CE6"/>
    <w:rsid w:val="00C95CFC"/>
    <w:rsid w:val="00C95F30"/>
    <w:rsid w:val="00C963DE"/>
    <w:rsid w:val="00C966CD"/>
    <w:rsid w:val="00C96D42"/>
    <w:rsid w:val="00C972D0"/>
    <w:rsid w:val="00C9778D"/>
    <w:rsid w:val="00C97C01"/>
    <w:rsid w:val="00CA0016"/>
    <w:rsid w:val="00CA06E7"/>
    <w:rsid w:val="00CA0739"/>
    <w:rsid w:val="00CA0C26"/>
    <w:rsid w:val="00CA0CC8"/>
    <w:rsid w:val="00CA1CDA"/>
    <w:rsid w:val="00CA266F"/>
    <w:rsid w:val="00CA2CFF"/>
    <w:rsid w:val="00CA36CC"/>
    <w:rsid w:val="00CA3888"/>
    <w:rsid w:val="00CA4C08"/>
    <w:rsid w:val="00CA5685"/>
    <w:rsid w:val="00CA5792"/>
    <w:rsid w:val="00CA58F3"/>
    <w:rsid w:val="00CA63CB"/>
    <w:rsid w:val="00CA657C"/>
    <w:rsid w:val="00CA69AC"/>
    <w:rsid w:val="00CA6ACA"/>
    <w:rsid w:val="00CA6C13"/>
    <w:rsid w:val="00CA75B3"/>
    <w:rsid w:val="00CA7884"/>
    <w:rsid w:val="00CB07A8"/>
    <w:rsid w:val="00CB07F6"/>
    <w:rsid w:val="00CB0ABD"/>
    <w:rsid w:val="00CB1606"/>
    <w:rsid w:val="00CB2072"/>
    <w:rsid w:val="00CB2133"/>
    <w:rsid w:val="00CB2B31"/>
    <w:rsid w:val="00CB2FF1"/>
    <w:rsid w:val="00CB3032"/>
    <w:rsid w:val="00CB30FB"/>
    <w:rsid w:val="00CB36C1"/>
    <w:rsid w:val="00CB3AD9"/>
    <w:rsid w:val="00CB3BEF"/>
    <w:rsid w:val="00CB3D60"/>
    <w:rsid w:val="00CB3EA7"/>
    <w:rsid w:val="00CB42C8"/>
    <w:rsid w:val="00CB46CB"/>
    <w:rsid w:val="00CB47E7"/>
    <w:rsid w:val="00CB50C9"/>
    <w:rsid w:val="00CB5389"/>
    <w:rsid w:val="00CB587C"/>
    <w:rsid w:val="00CB58C7"/>
    <w:rsid w:val="00CB5B05"/>
    <w:rsid w:val="00CB5B79"/>
    <w:rsid w:val="00CB7077"/>
    <w:rsid w:val="00CB7096"/>
    <w:rsid w:val="00CB713A"/>
    <w:rsid w:val="00CB7714"/>
    <w:rsid w:val="00CC03C8"/>
    <w:rsid w:val="00CC08F3"/>
    <w:rsid w:val="00CC0B3B"/>
    <w:rsid w:val="00CC0CE1"/>
    <w:rsid w:val="00CC10E1"/>
    <w:rsid w:val="00CC1243"/>
    <w:rsid w:val="00CC12A1"/>
    <w:rsid w:val="00CC1998"/>
    <w:rsid w:val="00CC1D31"/>
    <w:rsid w:val="00CC284B"/>
    <w:rsid w:val="00CC2E4B"/>
    <w:rsid w:val="00CC2E63"/>
    <w:rsid w:val="00CC3364"/>
    <w:rsid w:val="00CC3543"/>
    <w:rsid w:val="00CC36F5"/>
    <w:rsid w:val="00CC3919"/>
    <w:rsid w:val="00CC3BA9"/>
    <w:rsid w:val="00CC3E55"/>
    <w:rsid w:val="00CC4297"/>
    <w:rsid w:val="00CC43D0"/>
    <w:rsid w:val="00CC46B0"/>
    <w:rsid w:val="00CC4877"/>
    <w:rsid w:val="00CC4D16"/>
    <w:rsid w:val="00CC50A3"/>
    <w:rsid w:val="00CC5287"/>
    <w:rsid w:val="00CC554C"/>
    <w:rsid w:val="00CC5557"/>
    <w:rsid w:val="00CC5775"/>
    <w:rsid w:val="00CC5978"/>
    <w:rsid w:val="00CC5B30"/>
    <w:rsid w:val="00CC5B40"/>
    <w:rsid w:val="00CC5C14"/>
    <w:rsid w:val="00CC69C0"/>
    <w:rsid w:val="00CC6C4A"/>
    <w:rsid w:val="00CC6E02"/>
    <w:rsid w:val="00CC7033"/>
    <w:rsid w:val="00CC79A7"/>
    <w:rsid w:val="00CC7F1D"/>
    <w:rsid w:val="00CC7FE7"/>
    <w:rsid w:val="00CD029B"/>
    <w:rsid w:val="00CD06C3"/>
    <w:rsid w:val="00CD0903"/>
    <w:rsid w:val="00CD0B05"/>
    <w:rsid w:val="00CD12E3"/>
    <w:rsid w:val="00CD13AE"/>
    <w:rsid w:val="00CD167E"/>
    <w:rsid w:val="00CD16AC"/>
    <w:rsid w:val="00CD20DC"/>
    <w:rsid w:val="00CD28D4"/>
    <w:rsid w:val="00CD3257"/>
    <w:rsid w:val="00CD3704"/>
    <w:rsid w:val="00CD3934"/>
    <w:rsid w:val="00CD3B36"/>
    <w:rsid w:val="00CD3C06"/>
    <w:rsid w:val="00CD3D95"/>
    <w:rsid w:val="00CD43F1"/>
    <w:rsid w:val="00CD43F3"/>
    <w:rsid w:val="00CD4D1F"/>
    <w:rsid w:val="00CD523D"/>
    <w:rsid w:val="00CD52FD"/>
    <w:rsid w:val="00CD530A"/>
    <w:rsid w:val="00CD5325"/>
    <w:rsid w:val="00CD5948"/>
    <w:rsid w:val="00CD5B28"/>
    <w:rsid w:val="00CD5BEE"/>
    <w:rsid w:val="00CD5F59"/>
    <w:rsid w:val="00CD615B"/>
    <w:rsid w:val="00CD6211"/>
    <w:rsid w:val="00CD6327"/>
    <w:rsid w:val="00CD6346"/>
    <w:rsid w:val="00CD686D"/>
    <w:rsid w:val="00CD703E"/>
    <w:rsid w:val="00CD7445"/>
    <w:rsid w:val="00CD7511"/>
    <w:rsid w:val="00CD7592"/>
    <w:rsid w:val="00CD789B"/>
    <w:rsid w:val="00CD78EA"/>
    <w:rsid w:val="00CD7A48"/>
    <w:rsid w:val="00CE008B"/>
    <w:rsid w:val="00CE01EB"/>
    <w:rsid w:val="00CE03B7"/>
    <w:rsid w:val="00CE0443"/>
    <w:rsid w:val="00CE072A"/>
    <w:rsid w:val="00CE0AC4"/>
    <w:rsid w:val="00CE0F6C"/>
    <w:rsid w:val="00CE1085"/>
    <w:rsid w:val="00CE119E"/>
    <w:rsid w:val="00CE24F4"/>
    <w:rsid w:val="00CE2642"/>
    <w:rsid w:val="00CE2B78"/>
    <w:rsid w:val="00CE353B"/>
    <w:rsid w:val="00CE368D"/>
    <w:rsid w:val="00CE3A7F"/>
    <w:rsid w:val="00CE3B08"/>
    <w:rsid w:val="00CE4143"/>
    <w:rsid w:val="00CE4166"/>
    <w:rsid w:val="00CE45BA"/>
    <w:rsid w:val="00CE47CD"/>
    <w:rsid w:val="00CE4842"/>
    <w:rsid w:val="00CE4885"/>
    <w:rsid w:val="00CE495F"/>
    <w:rsid w:val="00CE4D35"/>
    <w:rsid w:val="00CE4FC4"/>
    <w:rsid w:val="00CE5190"/>
    <w:rsid w:val="00CE5250"/>
    <w:rsid w:val="00CE5438"/>
    <w:rsid w:val="00CE57E9"/>
    <w:rsid w:val="00CE5848"/>
    <w:rsid w:val="00CE58D4"/>
    <w:rsid w:val="00CE5DAA"/>
    <w:rsid w:val="00CE6504"/>
    <w:rsid w:val="00CE6814"/>
    <w:rsid w:val="00CE6972"/>
    <w:rsid w:val="00CE702F"/>
    <w:rsid w:val="00CE72E1"/>
    <w:rsid w:val="00CE74A3"/>
    <w:rsid w:val="00CE764C"/>
    <w:rsid w:val="00CE7A3F"/>
    <w:rsid w:val="00CE7F78"/>
    <w:rsid w:val="00CF1040"/>
    <w:rsid w:val="00CF1297"/>
    <w:rsid w:val="00CF12D5"/>
    <w:rsid w:val="00CF12FC"/>
    <w:rsid w:val="00CF1632"/>
    <w:rsid w:val="00CF1771"/>
    <w:rsid w:val="00CF19E3"/>
    <w:rsid w:val="00CF1A10"/>
    <w:rsid w:val="00CF1C0C"/>
    <w:rsid w:val="00CF2B76"/>
    <w:rsid w:val="00CF2F99"/>
    <w:rsid w:val="00CF32E3"/>
    <w:rsid w:val="00CF3766"/>
    <w:rsid w:val="00CF3D39"/>
    <w:rsid w:val="00CF4240"/>
    <w:rsid w:val="00CF437B"/>
    <w:rsid w:val="00CF4CB5"/>
    <w:rsid w:val="00CF53AD"/>
    <w:rsid w:val="00CF55E7"/>
    <w:rsid w:val="00CF56DC"/>
    <w:rsid w:val="00CF573D"/>
    <w:rsid w:val="00CF6394"/>
    <w:rsid w:val="00CF6785"/>
    <w:rsid w:val="00CF6A56"/>
    <w:rsid w:val="00CF6B35"/>
    <w:rsid w:val="00CF6C93"/>
    <w:rsid w:val="00CF6E9B"/>
    <w:rsid w:val="00CF71B6"/>
    <w:rsid w:val="00CF7420"/>
    <w:rsid w:val="00CF753D"/>
    <w:rsid w:val="00CF7561"/>
    <w:rsid w:val="00CF7684"/>
    <w:rsid w:val="00CF773C"/>
    <w:rsid w:val="00CF780E"/>
    <w:rsid w:val="00D009EA"/>
    <w:rsid w:val="00D00CB8"/>
    <w:rsid w:val="00D012D9"/>
    <w:rsid w:val="00D0210F"/>
    <w:rsid w:val="00D02509"/>
    <w:rsid w:val="00D026F7"/>
    <w:rsid w:val="00D02773"/>
    <w:rsid w:val="00D027B8"/>
    <w:rsid w:val="00D02872"/>
    <w:rsid w:val="00D02E74"/>
    <w:rsid w:val="00D02F9E"/>
    <w:rsid w:val="00D032CD"/>
    <w:rsid w:val="00D034DD"/>
    <w:rsid w:val="00D03AB1"/>
    <w:rsid w:val="00D0448F"/>
    <w:rsid w:val="00D04952"/>
    <w:rsid w:val="00D04956"/>
    <w:rsid w:val="00D04AF9"/>
    <w:rsid w:val="00D05BB9"/>
    <w:rsid w:val="00D05C1F"/>
    <w:rsid w:val="00D05CBB"/>
    <w:rsid w:val="00D05EFF"/>
    <w:rsid w:val="00D05F3B"/>
    <w:rsid w:val="00D06241"/>
    <w:rsid w:val="00D0626E"/>
    <w:rsid w:val="00D063E1"/>
    <w:rsid w:val="00D06A16"/>
    <w:rsid w:val="00D07706"/>
    <w:rsid w:val="00D0776C"/>
    <w:rsid w:val="00D101B8"/>
    <w:rsid w:val="00D103C2"/>
    <w:rsid w:val="00D106AA"/>
    <w:rsid w:val="00D1078F"/>
    <w:rsid w:val="00D10E60"/>
    <w:rsid w:val="00D10ED7"/>
    <w:rsid w:val="00D10F7C"/>
    <w:rsid w:val="00D11CF6"/>
    <w:rsid w:val="00D124DB"/>
    <w:rsid w:val="00D12550"/>
    <w:rsid w:val="00D12839"/>
    <w:rsid w:val="00D12CD2"/>
    <w:rsid w:val="00D12F13"/>
    <w:rsid w:val="00D13161"/>
    <w:rsid w:val="00D136A4"/>
    <w:rsid w:val="00D13C2B"/>
    <w:rsid w:val="00D13D0D"/>
    <w:rsid w:val="00D1413B"/>
    <w:rsid w:val="00D14577"/>
    <w:rsid w:val="00D1471D"/>
    <w:rsid w:val="00D14D23"/>
    <w:rsid w:val="00D15094"/>
    <w:rsid w:val="00D155B8"/>
    <w:rsid w:val="00D15755"/>
    <w:rsid w:val="00D157AA"/>
    <w:rsid w:val="00D159C7"/>
    <w:rsid w:val="00D159EC"/>
    <w:rsid w:val="00D15D8B"/>
    <w:rsid w:val="00D166F4"/>
    <w:rsid w:val="00D1677C"/>
    <w:rsid w:val="00D16953"/>
    <w:rsid w:val="00D16C3C"/>
    <w:rsid w:val="00D16D51"/>
    <w:rsid w:val="00D1701D"/>
    <w:rsid w:val="00D177FE"/>
    <w:rsid w:val="00D17984"/>
    <w:rsid w:val="00D17C25"/>
    <w:rsid w:val="00D2018B"/>
    <w:rsid w:val="00D201FB"/>
    <w:rsid w:val="00D20295"/>
    <w:rsid w:val="00D2047F"/>
    <w:rsid w:val="00D207E9"/>
    <w:rsid w:val="00D20825"/>
    <w:rsid w:val="00D20A24"/>
    <w:rsid w:val="00D21163"/>
    <w:rsid w:val="00D21969"/>
    <w:rsid w:val="00D225C6"/>
    <w:rsid w:val="00D2272E"/>
    <w:rsid w:val="00D2276B"/>
    <w:rsid w:val="00D227BD"/>
    <w:rsid w:val="00D229C1"/>
    <w:rsid w:val="00D22C18"/>
    <w:rsid w:val="00D22F94"/>
    <w:rsid w:val="00D230D4"/>
    <w:rsid w:val="00D23178"/>
    <w:rsid w:val="00D23207"/>
    <w:rsid w:val="00D234E5"/>
    <w:rsid w:val="00D23513"/>
    <w:rsid w:val="00D23ADA"/>
    <w:rsid w:val="00D23EBD"/>
    <w:rsid w:val="00D242F1"/>
    <w:rsid w:val="00D24454"/>
    <w:rsid w:val="00D244C2"/>
    <w:rsid w:val="00D24D25"/>
    <w:rsid w:val="00D24D4B"/>
    <w:rsid w:val="00D24DAD"/>
    <w:rsid w:val="00D25916"/>
    <w:rsid w:val="00D25E26"/>
    <w:rsid w:val="00D2641F"/>
    <w:rsid w:val="00D26473"/>
    <w:rsid w:val="00D26604"/>
    <w:rsid w:val="00D266E3"/>
    <w:rsid w:val="00D268A5"/>
    <w:rsid w:val="00D26D97"/>
    <w:rsid w:val="00D27648"/>
    <w:rsid w:val="00D30AA5"/>
    <w:rsid w:val="00D30CC3"/>
    <w:rsid w:val="00D31454"/>
    <w:rsid w:val="00D314B4"/>
    <w:rsid w:val="00D31568"/>
    <w:rsid w:val="00D3167B"/>
    <w:rsid w:val="00D319DA"/>
    <w:rsid w:val="00D32384"/>
    <w:rsid w:val="00D324F5"/>
    <w:rsid w:val="00D329E6"/>
    <w:rsid w:val="00D32C9F"/>
    <w:rsid w:val="00D3315E"/>
    <w:rsid w:val="00D332AE"/>
    <w:rsid w:val="00D3333C"/>
    <w:rsid w:val="00D33481"/>
    <w:rsid w:val="00D33605"/>
    <w:rsid w:val="00D33829"/>
    <w:rsid w:val="00D338AA"/>
    <w:rsid w:val="00D33EDA"/>
    <w:rsid w:val="00D340C0"/>
    <w:rsid w:val="00D34343"/>
    <w:rsid w:val="00D34657"/>
    <w:rsid w:val="00D34821"/>
    <w:rsid w:val="00D34C3E"/>
    <w:rsid w:val="00D354CF"/>
    <w:rsid w:val="00D35841"/>
    <w:rsid w:val="00D359F0"/>
    <w:rsid w:val="00D35D37"/>
    <w:rsid w:val="00D3619E"/>
    <w:rsid w:val="00D36648"/>
    <w:rsid w:val="00D366A1"/>
    <w:rsid w:val="00D368FB"/>
    <w:rsid w:val="00D3696A"/>
    <w:rsid w:val="00D3698E"/>
    <w:rsid w:val="00D36C78"/>
    <w:rsid w:val="00D3718C"/>
    <w:rsid w:val="00D3730A"/>
    <w:rsid w:val="00D37972"/>
    <w:rsid w:val="00D37CDE"/>
    <w:rsid w:val="00D37DF2"/>
    <w:rsid w:val="00D4028D"/>
    <w:rsid w:val="00D407A3"/>
    <w:rsid w:val="00D40896"/>
    <w:rsid w:val="00D40FD0"/>
    <w:rsid w:val="00D41534"/>
    <w:rsid w:val="00D4155F"/>
    <w:rsid w:val="00D4159D"/>
    <w:rsid w:val="00D41763"/>
    <w:rsid w:val="00D4177A"/>
    <w:rsid w:val="00D4189D"/>
    <w:rsid w:val="00D41B5D"/>
    <w:rsid w:val="00D41E08"/>
    <w:rsid w:val="00D4216C"/>
    <w:rsid w:val="00D4230C"/>
    <w:rsid w:val="00D4234A"/>
    <w:rsid w:val="00D4270C"/>
    <w:rsid w:val="00D42914"/>
    <w:rsid w:val="00D4294C"/>
    <w:rsid w:val="00D42CE3"/>
    <w:rsid w:val="00D42D6C"/>
    <w:rsid w:val="00D431B7"/>
    <w:rsid w:val="00D43217"/>
    <w:rsid w:val="00D43282"/>
    <w:rsid w:val="00D4359C"/>
    <w:rsid w:val="00D440C9"/>
    <w:rsid w:val="00D4437C"/>
    <w:rsid w:val="00D4446D"/>
    <w:rsid w:val="00D446F2"/>
    <w:rsid w:val="00D44F9D"/>
    <w:rsid w:val="00D451FC"/>
    <w:rsid w:val="00D45BEA"/>
    <w:rsid w:val="00D4604A"/>
    <w:rsid w:val="00D465D2"/>
    <w:rsid w:val="00D46D5C"/>
    <w:rsid w:val="00D47556"/>
    <w:rsid w:val="00D5011D"/>
    <w:rsid w:val="00D501A5"/>
    <w:rsid w:val="00D505D2"/>
    <w:rsid w:val="00D5067D"/>
    <w:rsid w:val="00D50C62"/>
    <w:rsid w:val="00D50F47"/>
    <w:rsid w:val="00D51114"/>
    <w:rsid w:val="00D51418"/>
    <w:rsid w:val="00D5146B"/>
    <w:rsid w:val="00D51A1B"/>
    <w:rsid w:val="00D51A3B"/>
    <w:rsid w:val="00D5238F"/>
    <w:rsid w:val="00D523D8"/>
    <w:rsid w:val="00D52614"/>
    <w:rsid w:val="00D52794"/>
    <w:rsid w:val="00D52B89"/>
    <w:rsid w:val="00D52D02"/>
    <w:rsid w:val="00D52D8B"/>
    <w:rsid w:val="00D53603"/>
    <w:rsid w:val="00D536A3"/>
    <w:rsid w:val="00D53787"/>
    <w:rsid w:val="00D53975"/>
    <w:rsid w:val="00D53BCD"/>
    <w:rsid w:val="00D53F67"/>
    <w:rsid w:val="00D53F99"/>
    <w:rsid w:val="00D5431E"/>
    <w:rsid w:val="00D543BC"/>
    <w:rsid w:val="00D548A7"/>
    <w:rsid w:val="00D55123"/>
    <w:rsid w:val="00D55749"/>
    <w:rsid w:val="00D5578E"/>
    <w:rsid w:val="00D558DD"/>
    <w:rsid w:val="00D55E0F"/>
    <w:rsid w:val="00D55EDD"/>
    <w:rsid w:val="00D5604F"/>
    <w:rsid w:val="00D56323"/>
    <w:rsid w:val="00D56630"/>
    <w:rsid w:val="00D56787"/>
    <w:rsid w:val="00D5687F"/>
    <w:rsid w:val="00D56D0D"/>
    <w:rsid w:val="00D5731A"/>
    <w:rsid w:val="00D579FE"/>
    <w:rsid w:val="00D57FEB"/>
    <w:rsid w:val="00D6016B"/>
    <w:rsid w:val="00D6060D"/>
    <w:rsid w:val="00D60E90"/>
    <w:rsid w:val="00D60F0E"/>
    <w:rsid w:val="00D6110A"/>
    <w:rsid w:val="00D61D9B"/>
    <w:rsid w:val="00D61E36"/>
    <w:rsid w:val="00D61F15"/>
    <w:rsid w:val="00D62441"/>
    <w:rsid w:val="00D62C34"/>
    <w:rsid w:val="00D63543"/>
    <w:rsid w:val="00D63C48"/>
    <w:rsid w:val="00D63D7F"/>
    <w:rsid w:val="00D64289"/>
    <w:rsid w:val="00D644EA"/>
    <w:rsid w:val="00D64553"/>
    <w:rsid w:val="00D64BDD"/>
    <w:rsid w:val="00D65178"/>
    <w:rsid w:val="00D652F4"/>
    <w:rsid w:val="00D65786"/>
    <w:rsid w:val="00D65834"/>
    <w:rsid w:val="00D6596F"/>
    <w:rsid w:val="00D6667B"/>
    <w:rsid w:val="00D66E87"/>
    <w:rsid w:val="00D675D8"/>
    <w:rsid w:val="00D67A95"/>
    <w:rsid w:val="00D67BAF"/>
    <w:rsid w:val="00D70497"/>
    <w:rsid w:val="00D708A2"/>
    <w:rsid w:val="00D708DD"/>
    <w:rsid w:val="00D709CC"/>
    <w:rsid w:val="00D70BAC"/>
    <w:rsid w:val="00D70D50"/>
    <w:rsid w:val="00D70DD2"/>
    <w:rsid w:val="00D70DDF"/>
    <w:rsid w:val="00D7118D"/>
    <w:rsid w:val="00D71194"/>
    <w:rsid w:val="00D71400"/>
    <w:rsid w:val="00D7174E"/>
    <w:rsid w:val="00D71B66"/>
    <w:rsid w:val="00D7278C"/>
    <w:rsid w:val="00D727DD"/>
    <w:rsid w:val="00D7280D"/>
    <w:rsid w:val="00D7296B"/>
    <w:rsid w:val="00D72A45"/>
    <w:rsid w:val="00D7300A"/>
    <w:rsid w:val="00D733AF"/>
    <w:rsid w:val="00D734FB"/>
    <w:rsid w:val="00D736A6"/>
    <w:rsid w:val="00D73D56"/>
    <w:rsid w:val="00D73EB2"/>
    <w:rsid w:val="00D74872"/>
    <w:rsid w:val="00D74A3E"/>
    <w:rsid w:val="00D74A49"/>
    <w:rsid w:val="00D75070"/>
    <w:rsid w:val="00D7509F"/>
    <w:rsid w:val="00D753D4"/>
    <w:rsid w:val="00D753EE"/>
    <w:rsid w:val="00D75502"/>
    <w:rsid w:val="00D758F6"/>
    <w:rsid w:val="00D76182"/>
    <w:rsid w:val="00D766C1"/>
    <w:rsid w:val="00D7701F"/>
    <w:rsid w:val="00D770F1"/>
    <w:rsid w:val="00D776CA"/>
    <w:rsid w:val="00D77B52"/>
    <w:rsid w:val="00D80002"/>
    <w:rsid w:val="00D8023A"/>
    <w:rsid w:val="00D80B6F"/>
    <w:rsid w:val="00D8101B"/>
    <w:rsid w:val="00D81789"/>
    <w:rsid w:val="00D818F3"/>
    <w:rsid w:val="00D81C39"/>
    <w:rsid w:val="00D825F8"/>
    <w:rsid w:val="00D82D12"/>
    <w:rsid w:val="00D82D98"/>
    <w:rsid w:val="00D82E58"/>
    <w:rsid w:val="00D82E81"/>
    <w:rsid w:val="00D83633"/>
    <w:rsid w:val="00D8366C"/>
    <w:rsid w:val="00D83797"/>
    <w:rsid w:val="00D83843"/>
    <w:rsid w:val="00D83CE3"/>
    <w:rsid w:val="00D8424B"/>
    <w:rsid w:val="00D8441F"/>
    <w:rsid w:val="00D84A99"/>
    <w:rsid w:val="00D84B5C"/>
    <w:rsid w:val="00D84B6C"/>
    <w:rsid w:val="00D84C94"/>
    <w:rsid w:val="00D84E54"/>
    <w:rsid w:val="00D84E6B"/>
    <w:rsid w:val="00D85191"/>
    <w:rsid w:val="00D8614C"/>
    <w:rsid w:val="00D8627D"/>
    <w:rsid w:val="00D8696D"/>
    <w:rsid w:val="00D86C2E"/>
    <w:rsid w:val="00D86F1F"/>
    <w:rsid w:val="00D875EF"/>
    <w:rsid w:val="00D87737"/>
    <w:rsid w:val="00D87999"/>
    <w:rsid w:val="00D903AC"/>
    <w:rsid w:val="00D906A4"/>
    <w:rsid w:val="00D90C43"/>
    <w:rsid w:val="00D90D1F"/>
    <w:rsid w:val="00D9178B"/>
    <w:rsid w:val="00D91848"/>
    <w:rsid w:val="00D91B61"/>
    <w:rsid w:val="00D91C77"/>
    <w:rsid w:val="00D91CDF"/>
    <w:rsid w:val="00D92479"/>
    <w:rsid w:val="00D9250A"/>
    <w:rsid w:val="00D92A7F"/>
    <w:rsid w:val="00D9318C"/>
    <w:rsid w:val="00D936E7"/>
    <w:rsid w:val="00D93937"/>
    <w:rsid w:val="00D93C0C"/>
    <w:rsid w:val="00D93D75"/>
    <w:rsid w:val="00D9433C"/>
    <w:rsid w:val="00D9449F"/>
    <w:rsid w:val="00D94802"/>
    <w:rsid w:val="00D94E84"/>
    <w:rsid w:val="00D94F1D"/>
    <w:rsid w:val="00D95051"/>
    <w:rsid w:val="00D95394"/>
    <w:rsid w:val="00D95A5C"/>
    <w:rsid w:val="00D95F78"/>
    <w:rsid w:val="00D96295"/>
    <w:rsid w:val="00D9644F"/>
    <w:rsid w:val="00D964C8"/>
    <w:rsid w:val="00D96BB0"/>
    <w:rsid w:val="00D97080"/>
    <w:rsid w:val="00D970E7"/>
    <w:rsid w:val="00D970E8"/>
    <w:rsid w:val="00D97840"/>
    <w:rsid w:val="00D97CAB"/>
    <w:rsid w:val="00D97DDA"/>
    <w:rsid w:val="00D97F2E"/>
    <w:rsid w:val="00DA01E5"/>
    <w:rsid w:val="00DA032B"/>
    <w:rsid w:val="00DA0456"/>
    <w:rsid w:val="00DA05A4"/>
    <w:rsid w:val="00DA092B"/>
    <w:rsid w:val="00DA0D3C"/>
    <w:rsid w:val="00DA1336"/>
    <w:rsid w:val="00DA1680"/>
    <w:rsid w:val="00DA183C"/>
    <w:rsid w:val="00DA19A0"/>
    <w:rsid w:val="00DA1DE8"/>
    <w:rsid w:val="00DA23FB"/>
    <w:rsid w:val="00DA27DA"/>
    <w:rsid w:val="00DA289D"/>
    <w:rsid w:val="00DA2F3D"/>
    <w:rsid w:val="00DA317C"/>
    <w:rsid w:val="00DA368F"/>
    <w:rsid w:val="00DA3AA4"/>
    <w:rsid w:val="00DA401F"/>
    <w:rsid w:val="00DA411C"/>
    <w:rsid w:val="00DA437D"/>
    <w:rsid w:val="00DA4399"/>
    <w:rsid w:val="00DA465C"/>
    <w:rsid w:val="00DA47E7"/>
    <w:rsid w:val="00DA49A0"/>
    <w:rsid w:val="00DA4E20"/>
    <w:rsid w:val="00DA529F"/>
    <w:rsid w:val="00DA55BB"/>
    <w:rsid w:val="00DA5754"/>
    <w:rsid w:val="00DA59AC"/>
    <w:rsid w:val="00DA59E8"/>
    <w:rsid w:val="00DA5A7F"/>
    <w:rsid w:val="00DA6CC4"/>
    <w:rsid w:val="00DA6D33"/>
    <w:rsid w:val="00DA7388"/>
    <w:rsid w:val="00DA73EE"/>
    <w:rsid w:val="00DA7945"/>
    <w:rsid w:val="00DA7AC3"/>
    <w:rsid w:val="00DA7C7E"/>
    <w:rsid w:val="00DA7E99"/>
    <w:rsid w:val="00DA7EF8"/>
    <w:rsid w:val="00DB0832"/>
    <w:rsid w:val="00DB0996"/>
    <w:rsid w:val="00DB0A6B"/>
    <w:rsid w:val="00DB0ADD"/>
    <w:rsid w:val="00DB1442"/>
    <w:rsid w:val="00DB1592"/>
    <w:rsid w:val="00DB160C"/>
    <w:rsid w:val="00DB1B3A"/>
    <w:rsid w:val="00DB1C5B"/>
    <w:rsid w:val="00DB2364"/>
    <w:rsid w:val="00DB27A5"/>
    <w:rsid w:val="00DB2B85"/>
    <w:rsid w:val="00DB3060"/>
    <w:rsid w:val="00DB34B3"/>
    <w:rsid w:val="00DB432D"/>
    <w:rsid w:val="00DB47EC"/>
    <w:rsid w:val="00DB48A6"/>
    <w:rsid w:val="00DB48AE"/>
    <w:rsid w:val="00DB4AB5"/>
    <w:rsid w:val="00DB4E47"/>
    <w:rsid w:val="00DB5127"/>
    <w:rsid w:val="00DB5543"/>
    <w:rsid w:val="00DB5989"/>
    <w:rsid w:val="00DB5D8F"/>
    <w:rsid w:val="00DB64BA"/>
    <w:rsid w:val="00DB7055"/>
    <w:rsid w:val="00DB7B8F"/>
    <w:rsid w:val="00DB7F14"/>
    <w:rsid w:val="00DB7F65"/>
    <w:rsid w:val="00DC0036"/>
    <w:rsid w:val="00DC0100"/>
    <w:rsid w:val="00DC0975"/>
    <w:rsid w:val="00DC09BB"/>
    <w:rsid w:val="00DC1310"/>
    <w:rsid w:val="00DC1743"/>
    <w:rsid w:val="00DC1929"/>
    <w:rsid w:val="00DC1AA3"/>
    <w:rsid w:val="00DC262E"/>
    <w:rsid w:val="00DC273B"/>
    <w:rsid w:val="00DC2D86"/>
    <w:rsid w:val="00DC2E59"/>
    <w:rsid w:val="00DC30B4"/>
    <w:rsid w:val="00DC3118"/>
    <w:rsid w:val="00DC313C"/>
    <w:rsid w:val="00DC33FB"/>
    <w:rsid w:val="00DC38E2"/>
    <w:rsid w:val="00DC3B1B"/>
    <w:rsid w:val="00DC3B97"/>
    <w:rsid w:val="00DC44C1"/>
    <w:rsid w:val="00DC490F"/>
    <w:rsid w:val="00DC49BB"/>
    <w:rsid w:val="00DC4C0E"/>
    <w:rsid w:val="00DC4CC9"/>
    <w:rsid w:val="00DC5236"/>
    <w:rsid w:val="00DC548C"/>
    <w:rsid w:val="00DC5497"/>
    <w:rsid w:val="00DC5776"/>
    <w:rsid w:val="00DC5A8A"/>
    <w:rsid w:val="00DC5D51"/>
    <w:rsid w:val="00DC6081"/>
    <w:rsid w:val="00DC668E"/>
    <w:rsid w:val="00DC6875"/>
    <w:rsid w:val="00DC6F32"/>
    <w:rsid w:val="00DC6FD6"/>
    <w:rsid w:val="00DC71B6"/>
    <w:rsid w:val="00DC74CC"/>
    <w:rsid w:val="00DC7746"/>
    <w:rsid w:val="00DC77EE"/>
    <w:rsid w:val="00DC791C"/>
    <w:rsid w:val="00DC7F17"/>
    <w:rsid w:val="00DD04F5"/>
    <w:rsid w:val="00DD0928"/>
    <w:rsid w:val="00DD0BC4"/>
    <w:rsid w:val="00DD0E61"/>
    <w:rsid w:val="00DD0E65"/>
    <w:rsid w:val="00DD1000"/>
    <w:rsid w:val="00DD13D7"/>
    <w:rsid w:val="00DD14FA"/>
    <w:rsid w:val="00DD1599"/>
    <w:rsid w:val="00DD1A6D"/>
    <w:rsid w:val="00DD1C27"/>
    <w:rsid w:val="00DD1DC6"/>
    <w:rsid w:val="00DD21A6"/>
    <w:rsid w:val="00DD2365"/>
    <w:rsid w:val="00DD2409"/>
    <w:rsid w:val="00DD24C3"/>
    <w:rsid w:val="00DD3049"/>
    <w:rsid w:val="00DD30CC"/>
    <w:rsid w:val="00DD3508"/>
    <w:rsid w:val="00DD36A3"/>
    <w:rsid w:val="00DD36D8"/>
    <w:rsid w:val="00DD36FD"/>
    <w:rsid w:val="00DD373C"/>
    <w:rsid w:val="00DD3B15"/>
    <w:rsid w:val="00DD3E97"/>
    <w:rsid w:val="00DD3EF8"/>
    <w:rsid w:val="00DD4872"/>
    <w:rsid w:val="00DD4AB8"/>
    <w:rsid w:val="00DD4E5A"/>
    <w:rsid w:val="00DD5157"/>
    <w:rsid w:val="00DD5714"/>
    <w:rsid w:val="00DD5884"/>
    <w:rsid w:val="00DD624A"/>
    <w:rsid w:val="00DD672E"/>
    <w:rsid w:val="00DD6857"/>
    <w:rsid w:val="00DD6D15"/>
    <w:rsid w:val="00DD6DA1"/>
    <w:rsid w:val="00DD7736"/>
    <w:rsid w:val="00DD775B"/>
    <w:rsid w:val="00DD7812"/>
    <w:rsid w:val="00DE05B1"/>
    <w:rsid w:val="00DE06E8"/>
    <w:rsid w:val="00DE075D"/>
    <w:rsid w:val="00DE0949"/>
    <w:rsid w:val="00DE0A12"/>
    <w:rsid w:val="00DE0A9D"/>
    <w:rsid w:val="00DE0EED"/>
    <w:rsid w:val="00DE1158"/>
    <w:rsid w:val="00DE14F5"/>
    <w:rsid w:val="00DE158C"/>
    <w:rsid w:val="00DE15D4"/>
    <w:rsid w:val="00DE1DB5"/>
    <w:rsid w:val="00DE1F26"/>
    <w:rsid w:val="00DE1F52"/>
    <w:rsid w:val="00DE2257"/>
    <w:rsid w:val="00DE299C"/>
    <w:rsid w:val="00DE2F64"/>
    <w:rsid w:val="00DE2FCC"/>
    <w:rsid w:val="00DE30E2"/>
    <w:rsid w:val="00DE3158"/>
    <w:rsid w:val="00DE32FE"/>
    <w:rsid w:val="00DE33CD"/>
    <w:rsid w:val="00DE3516"/>
    <w:rsid w:val="00DE3A9A"/>
    <w:rsid w:val="00DE407A"/>
    <w:rsid w:val="00DE4134"/>
    <w:rsid w:val="00DE49CB"/>
    <w:rsid w:val="00DE5646"/>
    <w:rsid w:val="00DE5782"/>
    <w:rsid w:val="00DE59B5"/>
    <w:rsid w:val="00DE5C71"/>
    <w:rsid w:val="00DE616D"/>
    <w:rsid w:val="00DE6421"/>
    <w:rsid w:val="00DE654E"/>
    <w:rsid w:val="00DE67E0"/>
    <w:rsid w:val="00DE6BC3"/>
    <w:rsid w:val="00DE6EB9"/>
    <w:rsid w:val="00DE706B"/>
    <w:rsid w:val="00DE74A7"/>
    <w:rsid w:val="00DE7C72"/>
    <w:rsid w:val="00DE7D87"/>
    <w:rsid w:val="00DE7F90"/>
    <w:rsid w:val="00DF0689"/>
    <w:rsid w:val="00DF0904"/>
    <w:rsid w:val="00DF0C0D"/>
    <w:rsid w:val="00DF0F10"/>
    <w:rsid w:val="00DF16C0"/>
    <w:rsid w:val="00DF1A90"/>
    <w:rsid w:val="00DF21AE"/>
    <w:rsid w:val="00DF2BBB"/>
    <w:rsid w:val="00DF2D1A"/>
    <w:rsid w:val="00DF2D46"/>
    <w:rsid w:val="00DF2E80"/>
    <w:rsid w:val="00DF2EEE"/>
    <w:rsid w:val="00DF31CF"/>
    <w:rsid w:val="00DF3A42"/>
    <w:rsid w:val="00DF3B71"/>
    <w:rsid w:val="00DF3ED7"/>
    <w:rsid w:val="00DF4278"/>
    <w:rsid w:val="00DF4463"/>
    <w:rsid w:val="00DF4692"/>
    <w:rsid w:val="00DF47B0"/>
    <w:rsid w:val="00DF4842"/>
    <w:rsid w:val="00DF4AB7"/>
    <w:rsid w:val="00DF4B4D"/>
    <w:rsid w:val="00DF501D"/>
    <w:rsid w:val="00DF52EA"/>
    <w:rsid w:val="00DF548B"/>
    <w:rsid w:val="00DF5E7C"/>
    <w:rsid w:val="00DF6861"/>
    <w:rsid w:val="00DF699F"/>
    <w:rsid w:val="00DF6A55"/>
    <w:rsid w:val="00DF6F0D"/>
    <w:rsid w:val="00DF70CC"/>
    <w:rsid w:val="00DF7A83"/>
    <w:rsid w:val="00DF7D73"/>
    <w:rsid w:val="00DF7F4B"/>
    <w:rsid w:val="00E0094B"/>
    <w:rsid w:val="00E011A8"/>
    <w:rsid w:val="00E01465"/>
    <w:rsid w:val="00E017F1"/>
    <w:rsid w:val="00E01B31"/>
    <w:rsid w:val="00E01BC3"/>
    <w:rsid w:val="00E01D22"/>
    <w:rsid w:val="00E01E80"/>
    <w:rsid w:val="00E021B3"/>
    <w:rsid w:val="00E02395"/>
    <w:rsid w:val="00E02657"/>
    <w:rsid w:val="00E029CC"/>
    <w:rsid w:val="00E02C66"/>
    <w:rsid w:val="00E02E8A"/>
    <w:rsid w:val="00E03145"/>
    <w:rsid w:val="00E036B6"/>
    <w:rsid w:val="00E03B3D"/>
    <w:rsid w:val="00E041E4"/>
    <w:rsid w:val="00E04298"/>
    <w:rsid w:val="00E04CE2"/>
    <w:rsid w:val="00E04CF2"/>
    <w:rsid w:val="00E04E66"/>
    <w:rsid w:val="00E052C9"/>
    <w:rsid w:val="00E058DD"/>
    <w:rsid w:val="00E0595B"/>
    <w:rsid w:val="00E05B66"/>
    <w:rsid w:val="00E05B93"/>
    <w:rsid w:val="00E05D90"/>
    <w:rsid w:val="00E05E5E"/>
    <w:rsid w:val="00E05FBC"/>
    <w:rsid w:val="00E060CB"/>
    <w:rsid w:val="00E0649C"/>
    <w:rsid w:val="00E068F2"/>
    <w:rsid w:val="00E06952"/>
    <w:rsid w:val="00E06B52"/>
    <w:rsid w:val="00E06C60"/>
    <w:rsid w:val="00E06D23"/>
    <w:rsid w:val="00E075AB"/>
    <w:rsid w:val="00E07E27"/>
    <w:rsid w:val="00E1012C"/>
    <w:rsid w:val="00E10AB7"/>
    <w:rsid w:val="00E10B7D"/>
    <w:rsid w:val="00E10F21"/>
    <w:rsid w:val="00E10F32"/>
    <w:rsid w:val="00E11133"/>
    <w:rsid w:val="00E11269"/>
    <w:rsid w:val="00E1132E"/>
    <w:rsid w:val="00E11332"/>
    <w:rsid w:val="00E113BA"/>
    <w:rsid w:val="00E11684"/>
    <w:rsid w:val="00E11F08"/>
    <w:rsid w:val="00E12154"/>
    <w:rsid w:val="00E123D7"/>
    <w:rsid w:val="00E12765"/>
    <w:rsid w:val="00E128DA"/>
    <w:rsid w:val="00E128FD"/>
    <w:rsid w:val="00E12918"/>
    <w:rsid w:val="00E12A6B"/>
    <w:rsid w:val="00E12A78"/>
    <w:rsid w:val="00E12C32"/>
    <w:rsid w:val="00E12C33"/>
    <w:rsid w:val="00E12CA3"/>
    <w:rsid w:val="00E13769"/>
    <w:rsid w:val="00E147EC"/>
    <w:rsid w:val="00E1512B"/>
    <w:rsid w:val="00E151C4"/>
    <w:rsid w:val="00E1554D"/>
    <w:rsid w:val="00E15761"/>
    <w:rsid w:val="00E157E9"/>
    <w:rsid w:val="00E15857"/>
    <w:rsid w:val="00E15893"/>
    <w:rsid w:val="00E15A63"/>
    <w:rsid w:val="00E174B5"/>
    <w:rsid w:val="00E17629"/>
    <w:rsid w:val="00E17877"/>
    <w:rsid w:val="00E17D16"/>
    <w:rsid w:val="00E20413"/>
    <w:rsid w:val="00E205D5"/>
    <w:rsid w:val="00E20705"/>
    <w:rsid w:val="00E20C60"/>
    <w:rsid w:val="00E20CF7"/>
    <w:rsid w:val="00E2129F"/>
    <w:rsid w:val="00E213DD"/>
    <w:rsid w:val="00E21487"/>
    <w:rsid w:val="00E21661"/>
    <w:rsid w:val="00E217C6"/>
    <w:rsid w:val="00E225E5"/>
    <w:rsid w:val="00E2267B"/>
    <w:rsid w:val="00E226C3"/>
    <w:rsid w:val="00E226EF"/>
    <w:rsid w:val="00E227EA"/>
    <w:rsid w:val="00E22842"/>
    <w:rsid w:val="00E229DE"/>
    <w:rsid w:val="00E22AE3"/>
    <w:rsid w:val="00E22CBF"/>
    <w:rsid w:val="00E22EF6"/>
    <w:rsid w:val="00E23426"/>
    <w:rsid w:val="00E2349E"/>
    <w:rsid w:val="00E23660"/>
    <w:rsid w:val="00E23689"/>
    <w:rsid w:val="00E236E3"/>
    <w:rsid w:val="00E23812"/>
    <w:rsid w:val="00E23889"/>
    <w:rsid w:val="00E238AA"/>
    <w:rsid w:val="00E24057"/>
    <w:rsid w:val="00E255FC"/>
    <w:rsid w:val="00E256FB"/>
    <w:rsid w:val="00E25818"/>
    <w:rsid w:val="00E25FA8"/>
    <w:rsid w:val="00E263FF"/>
    <w:rsid w:val="00E264A6"/>
    <w:rsid w:val="00E266F7"/>
    <w:rsid w:val="00E26C76"/>
    <w:rsid w:val="00E2761D"/>
    <w:rsid w:val="00E27C0E"/>
    <w:rsid w:val="00E300FE"/>
    <w:rsid w:val="00E30220"/>
    <w:rsid w:val="00E30D0D"/>
    <w:rsid w:val="00E30E27"/>
    <w:rsid w:val="00E30FC6"/>
    <w:rsid w:val="00E31326"/>
    <w:rsid w:val="00E31456"/>
    <w:rsid w:val="00E3161A"/>
    <w:rsid w:val="00E3181B"/>
    <w:rsid w:val="00E31A1E"/>
    <w:rsid w:val="00E31B9C"/>
    <w:rsid w:val="00E32406"/>
    <w:rsid w:val="00E327A2"/>
    <w:rsid w:val="00E329B5"/>
    <w:rsid w:val="00E32C10"/>
    <w:rsid w:val="00E32C18"/>
    <w:rsid w:val="00E32C1F"/>
    <w:rsid w:val="00E338D8"/>
    <w:rsid w:val="00E33AE0"/>
    <w:rsid w:val="00E34347"/>
    <w:rsid w:val="00E34484"/>
    <w:rsid w:val="00E345BC"/>
    <w:rsid w:val="00E34BFF"/>
    <w:rsid w:val="00E35130"/>
    <w:rsid w:val="00E351E5"/>
    <w:rsid w:val="00E353C7"/>
    <w:rsid w:val="00E354EB"/>
    <w:rsid w:val="00E357D9"/>
    <w:rsid w:val="00E358BA"/>
    <w:rsid w:val="00E359FD"/>
    <w:rsid w:val="00E35D4C"/>
    <w:rsid w:val="00E35D76"/>
    <w:rsid w:val="00E36373"/>
    <w:rsid w:val="00E363D5"/>
    <w:rsid w:val="00E36769"/>
    <w:rsid w:val="00E36BF3"/>
    <w:rsid w:val="00E36ED2"/>
    <w:rsid w:val="00E37424"/>
    <w:rsid w:val="00E374E6"/>
    <w:rsid w:val="00E37BAD"/>
    <w:rsid w:val="00E37EC0"/>
    <w:rsid w:val="00E37F46"/>
    <w:rsid w:val="00E4030D"/>
    <w:rsid w:val="00E40541"/>
    <w:rsid w:val="00E406D4"/>
    <w:rsid w:val="00E40DA7"/>
    <w:rsid w:val="00E410BC"/>
    <w:rsid w:val="00E414AC"/>
    <w:rsid w:val="00E4160F"/>
    <w:rsid w:val="00E417FA"/>
    <w:rsid w:val="00E41849"/>
    <w:rsid w:val="00E41CD5"/>
    <w:rsid w:val="00E41E3B"/>
    <w:rsid w:val="00E42905"/>
    <w:rsid w:val="00E43004"/>
    <w:rsid w:val="00E43076"/>
    <w:rsid w:val="00E43302"/>
    <w:rsid w:val="00E43A37"/>
    <w:rsid w:val="00E43DF5"/>
    <w:rsid w:val="00E43E8D"/>
    <w:rsid w:val="00E44C0B"/>
    <w:rsid w:val="00E44D9B"/>
    <w:rsid w:val="00E44E5A"/>
    <w:rsid w:val="00E44E77"/>
    <w:rsid w:val="00E44FA1"/>
    <w:rsid w:val="00E45180"/>
    <w:rsid w:val="00E45305"/>
    <w:rsid w:val="00E45E7E"/>
    <w:rsid w:val="00E46AC9"/>
    <w:rsid w:val="00E46BA3"/>
    <w:rsid w:val="00E47064"/>
    <w:rsid w:val="00E4724D"/>
    <w:rsid w:val="00E50076"/>
    <w:rsid w:val="00E503D2"/>
    <w:rsid w:val="00E50881"/>
    <w:rsid w:val="00E50CC4"/>
    <w:rsid w:val="00E50E68"/>
    <w:rsid w:val="00E514C0"/>
    <w:rsid w:val="00E51B90"/>
    <w:rsid w:val="00E51E48"/>
    <w:rsid w:val="00E531EE"/>
    <w:rsid w:val="00E53407"/>
    <w:rsid w:val="00E5344F"/>
    <w:rsid w:val="00E53697"/>
    <w:rsid w:val="00E53DB6"/>
    <w:rsid w:val="00E53E47"/>
    <w:rsid w:val="00E545E2"/>
    <w:rsid w:val="00E54640"/>
    <w:rsid w:val="00E54AB7"/>
    <w:rsid w:val="00E54ACA"/>
    <w:rsid w:val="00E54FB3"/>
    <w:rsid w:val="00E5533C"/>
    <w:rsid w:val="00E55782"/>
    <w:rsid w:val="00E55904"/>
    <w:rsid w:val="00E55DCC"/>
    <w:rsid w:val="00E55E72"/>
    <w:rsid w:val="00E56339"/>
    <w:rsid w:val="00E563CC"/>
    <w:rsid w:val="00E568CE"/>
    <w:rsid w:val="00E569BD"/>
    <w:rsid w:val="00E56B51"/>
    <w:rsid w:val="00E56C20"/>
    <w:rsid w:val="00E56EC7"/>
    <w:rsid w:val="00E570AE"/>
    <w:rsid w:val="00E573D2"/>
    <w:rsid w:val="00E57521"/>
    <w:rsid w:val="00E57A47"/>
    <w:rsid w:val="00E60005"/>
    <w:rsid w:val="00E600C6"/>
    <w:rsid w:val="00E600E3"/>
    <w:rsid w:val="00E6034E"/>
    <w:rsid w:val="00E6034F"/>
    <w:rsid w:val="00E603E9"/>
    <w:rsid w:val="00E60616"/>
    <w:rsid w:val="00E60A74"/>
    <w:rsid w:val="00E6101A"/>
    <w:rsid w:val="00E61094"/>
    <w:rsid w:val="00E6157A"/>
    <w:rsid w:val="00E616A3"/>
    <w:rsid w:val="00E61E74"/>
    <w:rsid w:val="00E628DC"/>
    <w:rsid w:val="00E6295C"/>
    <w:rsid w:val="00E6346D"/>
    <w:rsid w:val="00E638EA"/>
    <w:rsid w:val="00E64002"/>
    <w:rsid w:val="00E648DE"/>
    <w:rsid w:val="00E64E2A"/>
    <w:rsid w:val="00E64E95"/>
    <w:rsid w:val="00E65150"/>
    <w:rsid w:val="00E65687"/>
    <w:rsid w:val="00E656FC"/>
    <w:rsid w:val="00E6578C"/>
    <w:rsid w:val="00E65BC0"/>
    <w:rsid w:val="00E65C0C"/>
    <w:rsid w:val="00E664D9"/>
    <w:rsid w:val="00E66614"/>
    <w:rsid w:val="00E667E0"/>
    <w:rsid w:val="00E66924"/>
    <w:rsid w:val="00E66BCB"/>
    <w:rsid w:val="00E6719C"/>
    <w:rsid w:val="00E6792E"/>
    <w:rsid w:val="00E67A4E"/>
    <w:rsid w:val="00E67A72"/>
    <w:rsid w:val="00E704E2"/>
    <w:rsid w:val="00E704ED"/>
    <w:rsid w:val="00E706EE"/>
    <w:rsid w:val="00E71162"/>
    <w:rsid w:val="00E713AD"/>
    <w:rsid w:val="00E714D3"/>
    <w:rsid w:val="00E7176C"/>
    <w:rsid w:val="00E71C03"/>
    <w:rsid w:val="00E71CEB"/>
    <w:rsid w:val="00E726B4"/>
    <w:rsid w:val="00E7283D"/>
    <w:rsid w:val="00E72DED"/>
    <w:rsid w:val="00E73090"/>
    <w:rsid w:val="00E731CD"/>
    <w:rsid w:val="00E73722"/>
    <w:rsid w:val="00E7398B"/>
    <w:rsid w:val="00E73AA2"/>
    <w:rsid w:val="00E73CE9"/>
    <w:rsid w:val="00E73F3F"/>
    <w:rsid w:val="00E74017"/>
    <w:rsid w:val="00E740A1"/>
    <w:rsid w:val="00E74154"/>
    <w:rsid w:val="00E74453"/>
    <w:rsid w:val="00E74480"/>
    <w:rsid w:val="00E744E0"/>
    <w:rsid w:val="00E74604"/>
    <w:rsid w:val="00E74A88"/>
    <w:rsid w:val="00E74DE9"/>
    <w:rsid w:val="00E755FF"/>
    <w:rsid w:val="00E756D3"/>
    <w:rsid w:val="00E76558"/>
    <w:rsid w:val="00E76A67"/>
    <w:rsid w:val="00E76A74"/>
    <w:rsid w:val="00E7719D"/>
    <w:rsid w:val="00E771B8"/>
    <w:rsid w:val="00E77752"/>
    <w:rsid w:val="00E80035"/>
    <w:rsid w:val="00E80060"/>
    <w:rsid w:val="00E800BE"/>
    <w:rsid w:val="00E802DD"/>
    <w:rsid w:val="00E80792"/>
    <w:rsid w:val="00E8084F"/>
    <w:rsid w:val="00E80A73"/>
    <w:rsid w:val="00E80BE1"/>
    <w:rsid w:val="00E81712"/>
    <w:rsid w:val="00E81CF6"/>
    <w:rsid w:val="00E81EF6"/>
    <w:rsid w:val="00E81F41"/>
    <w:rsid w:val="00E82163"/>
    <w:rsid w:val="00E8269B"/>
    <w:rsid w:val="00E82B74"/>
    <w:rsid w:val="00E82C37"/>
    <w:rsid w:val="00E83128"/>
    <w:rsid w:val="00E83A24"/>
    <w:rsid w:val="00E84234"/>
    <w:rsid w:val="00E843F9"/>
    <w:rsid w:val="00E8446C"/>
    <w:rsid w:val="00E849AB"/>
    <w:rsid w:val="00E84A1B"/>
    <w:rsid w:val="00E84FF4"/>
    <w:rsid w:val="00E85860"/>
    <w:rsid w:val="00E85B28"/>
    <w:rsid w:val="00E86488"/>
    <w:rsid w:val="00E8694F"/>
    <w:rsid w:val="00E86B7D"/>
    <w:rsid w:val="00E86D0F"/>
    <w:rsid w:val="00E86EE0"/>
    <w:rsid w:val="00E86F38"/>
    <w:rsid w:val="00E8711E"/>
    <w:rsid w:val="00E871ED"/>
    <w:rsid w:val="00E872DB"/>
    <w:rsid w:val="00E874EA"/>
    <w:rsid w:val="00E87B70"/>
    <w:rsid w:val="00E9053D"/>
    <w:rsid w:val="00E90C71"/>
    <w:rsid w:val="00E91013"/>
    <w:rsid w:val="00E910F8"/>
    <w:rsid w:val="00E92B30"/>
    <w:rsid w:val="00E92EEB"/>
    <w:rsid w:val="00E93090"/>
    <w:rsid w:val="00E930FA"/>
    <w:rsid w:val="00E93202"/>
    <w:rsid w:val="00E9376A"/>
    <w:rsid w:val="00E93CA5"/>
    <w:rsid w:val="00E94A9C"/>
    <w:rsid w:val="00E94CDD"/>
    <w:rsid w:val="00E9508A"/>
    <w:rsid w:val="00E9513A"/>
    <w:rsid w:val="00E95531"/>
    <w:rsid w:val="00E95A0C"/>
    <w:rsid w:val="00E9624F"/>
    <w:rsid w:val="00E968F9"/>
    <w:rsid w:val="00E969EC"/>
    <w:rsid w:val="00E96DDB"/>
    <w:rsid w:val="00E96EE3"/>
    <w:rsid w:val="00E97241"/>
    <w:rsid w:val="00E9737B"/>
    <w:rsid w:val="00E97566"/>
    <w:rsid w:val="00E9760A"/>
    <w:rsid w:val="00E976DF"/>
    <w:rsid w:val="00E976E5"/>
    <w:rsid w:val="00E97D1E"/>
    <w:rsid w:val="00EA0085"/>
    <w:rsid w:val="00EA0762"/>
    <w:rsid w:val="00EA09D2"/>
    <w:rsid w:val="00EA0D94"/>
    <w:rsid w:val="00EA0FA5"/>
    <w:rsid w:val="00EA1417"/>
    <w:rsid w:val="00EA16DF"/>
    <w:rsid w:val="00EA1B29"/>
    <w:rsid w:val="00EA23BB"/>
    <w:rsid w:val="00EA2477"/>
    <w:rsid w:val="00EA2719"/>
    <w:rsid w:val="00EA2A86"/>
    <w:rsid w:val="00EA2B07"/>
    <w:rsid w:val="00EA2B81"/>
    <w:rsid w:val="00EA2D6E"/>
    <w:rsid w:val="00EA3444"/>
    <w:rsid w:val="00EA344A"/>
    <w:rsid w:val="00EA36A2"/>
    <w:rsid w:val="00EA4375"/>
    <w:rsid w:val="00EA4748"/>
    <w:rsid w:val="00EA480A"/>
    <w:rsid w:val="00EA49B1"/>
    <w:rsid w:val="00EA4AC2"/>
    <w:rsid w:val="00EA4CAB"/>
    <w:rsid w:val="00EA4F2B"/>
    <w:rsid w:val="00EA5091"/>
    <w:rsid w:val="00EA54ED"/>
    <w:rsid w:val="00EA5552"/>
    <w:rsid w:val="00EA5ADA"/>
    <w:rsid w:val="00EA5EA6"/>
    <w:rsid w:val="00EA6208"/>
    <w:rsid w:val="00EA63D1"/>
    <w:rsid w:val="00EA655D"/>
    <w:rsid w:val="00EA6574"/>
    <w:rsid w:val="00EA65C6"/>
    <w:rsid w:val="00EA66E6"/>
    <w:rsid w:val="00EA67A5"/>
    <w:rsid w:val="00EA6919"/>
    <w:rsid w:val="00EA6CCC"/>
    <w:rsid w:val="00EA701D"/>
    <w:rsid w:val="00EA7056"/>
    <w:rsid w:val="00EA73C3"/>
    <w:rsid w:val="00EA76D4"/>
    <w:rsid w:val="00EA7F61"/>
    <w:rsid w:val="00EB0246"/>
    <w:rsid w:val="00EB04E1"/>
    <w:rsid w:val="00EB04F5"/>
    <w:rsid w:val="00EB0632"/>
    <w:rsid w:val="00EB0690"/>
    <w:rsid w:val="00EB0C99"/>
    <w:rsid w:val="00EB0F5D"/>
    <w:rsid w:val="00EB1A0C"/>
    <w:rsid w:val="00EB1AE6"/>
    <w:rsid w:val="00EB1BF9"/>
    <w:rsid w:val="00EB1CE1"/>
    <w:rsid w:val="00EB1D1C"/>
    <w:rsid w:val="00EB22A4"/>
    <w:rsid w:val="00EB295A"/>
    <w:rsid w:val="00EB2AB6"/>
    <w:rsid w:val="00EB3154"/>
    <w:rsid w:val="00EB360C"/>
    <w:rsid w:val="00EB37A4"/>
    <w:rsid w:val="00EB3D21"/>
    <w:rsid w:val="00EB426B"/>
    <w:rsid w:val="00EB43ED"/>
    <w:rsid w:val="00EB45B5"/>
    <w:rsid w:val="00EB47B0"/>
    <w:rsid w:val="00EB4DB6"/>
    <w:rsid w:val="00EB4E02"/>
    <w:rsid w:val="00EB4EE6"/>
    <w:rsid w:val="00EB4F9F"/>
    <w:rsid w:val="00EB5170"/>
    <w:rsid w:val="00EB5242"/>
    <w:rsid w:val="00EB5542"/>
    <w:rsid w:val="00EB56CE"/>
    <w:rsid w:val="00EB5853"/>
    <w:rsid w:val="00EB5BE5"/>
    <w:rsid w:val="00EB5E6D"/>
    <w:rsid w:val="00EB61AE"/>
    <w:rsid w:val="00EB63AB"/>
    <w:rsid w:val="00EB6429"/>
    <w:rsid w:val="00EB652E"/>
    <w:rsid w:val="00EB6D76"/>
    <w:rsid w:val="00EB6F44"/>
    <w:rsid w:val="00EB71D3"/>
    <w:rsid w:val="00EB7297"/>
    <w:rsid w:val="00EB745F"/>
    <w:rsid w:val="00EB75F3"/>
    <w:rsid w:val="00EB7717"/>
    <w:rsid w:val="00EC02AE"/>
    <w:rsid w:val="00EC097C"/>
    <w:rsid w:val="00EC0C5B"/>
    <w:rsid w:val="00EC14FE"/>
    <w:rsid w:val="00EC1BE9"/>
    <w:rsid w:val="00EC21C8"/>
    <w:rsid w:val="00EC21EE"/>
    <w:rsid w:val="00EC2386"/>
    <w:rsid w:val="00EC25B4"/>
    <w:rsid w:val="00EC300D"/>
    <w:rsid w:val="00EC32A5"/>
    <w:rsid w:val="00EC3570"/>
    <w:rsid w:val="00EC39A8"/>
    <w:rsid w:val="00EC39E1"/>
    <w:rsid w:val="00EC3E80"/>
    <w:rsid w:val="00EC3F5C"/>
    <w:rsid w:val="00EC44CC"/>
    <w:rsid w:val="00EC4758"/>
    <w:rsid w:val="00EC4FED"/>
    <w:rsid w:val="00EC5231"/>
    <w:rsid w:val="00EC57D3"/>
    <w:rsid w:val="00EC596E"/>
    <w:rsid w:val="00EC5BCA"/>
    <w:rsid w:val="00EC5EB6"/>
    <w:rsid w:val="00EC5EE3"/>
    <w:rsid w:val="00EC607E"/>
    <w:rsid w:val="00EC6741"/>
    <w:rsid w:val="00EC69C9"/>
    <w:rsid w:val="00EC6E17"/>
    <w:rsid w:val="00EC6EC4"/>
    <w:rsid w:val="00EC757D"/>
    <w:rsid w:val="00EC7B91"/>
    <w:rsid w:val="00EC7E7E"/>
    <w:rsid w:val="00ED0551"/>
    <w:rsid w:val="00ED08EE"/>
    <w:rsid w:val="00ED092D"/>
    <w:rsid w:val="00ED0C35"/>
    <w:rsid w:val="00ED0EF9"/>
    <w:rsid w:val="00ED13F4"/>
    <w:rsid w:val="00ED1619"/>
    <w:rsid w:val="00ED18E3"/>
    <w:rsid w:val="00ED2100"/>
    <w:rsid w:val="00ED24C5"/>
    <w:rsid w:val="00ED2610"/>
    <w:rsid w:val="00ED2783"/>
    <w:rsid w:val="00ED29A2"/>
    <w:rsid w:val="00ED3113"/>
    <w:rsid w:val="00ED3124"/>
    <w:rsid w:val="00ED325E"/>
    <w:rsid w:val="00ED3293"/>
    <w:rsid w:val="00ED421B"/>
    <w:rsid w:val="00ED4237"/>
    <w:rsid w:val="00ED4D64"/>
    <w:rsid w:val="00ED4E5A"/>
    <w:rsid w:val="00ED5042"/>
    <w:rsid w:val="00ED50F3"/>
    <w:rsid w:val="00ED51DA"/>
    <w:rsid w:val="00ED5799"/>
    <w:rsid w:val="00ED59E4"/>
    <w:rsid w:val="00ED5BB3"/>
    <w:rsid w:val="00ED5D74"/>
    <w:rsid w:val="00ED5EA9"/>
    <w:rsid w:val="00ED62ED"/>
    <w:rsid w:val="00ED630B"/>
    <w:rsid w:val="00ED6852"/>
    <w:rsid w:val="00ED7156"/>
    <w:rsid w:val="00ED7240"/>
    <w:rsid w:val="00ED7509"/>
    <w:rsid w:val="00ED7997"/>
    <w:rsid w:val="00ED7C54"/>
    <w:rsid w:val="00ED7F91"/>
    <w:rsid w:val="00EE162D"/>
    <w:rsid w:val="00EE194A"/>
    <w:rsid w:val="00EE1BEE"/>
    <w:rsid w:val="00EE23A5"/>
    <w:rsid w:val="00EE25F4"/>
    <w:rsid w:val="00EE2852"/>
    <w:rsid w:val="00EE2A67"/>
    <w:rsid w:val="00EE2D17"/>
    <w:rsid w:val="00EE3165"/>
    <w:rsid w:val="00EE34C0"/>
    <w:rsid w:val="00EE37F4"/>
    <w:rsid w:val="00EE3C5F"/>
    <w:rsid w:val="00EE3D8E"/>
    <w:rsid w:val="00EE4008"/>
    <w:rsid w:val="00EE41AE"/>
    <w:rsid w:val="00EE4230"/>
    <w:rsid w:val="00EE44B9"/>
    <w:rsid w:val="00EE48A6"/>
    <w:rsid w:val="00EE4FD0"/>
    <w:rsid w:val="00EE5014"/>
    <w:rsid w:val="00EE5181"/>
    <w:rsid w:val="00EE5579"/>
    <w:rsid w:val="00EE5CA6"/>
    <w:rsid w:val="00EE5F93"/>
    <w:rsid w:val="00EE6389"/>
    <w:rsid w:val="00EE65F2"/>
    <w:rsid w:val="00EE665C"/>
    <w:rsid w:val="00EE6690"/>
    <w:rsid w:val="00EE7208"/>
    <w:rsid w:val="00EE7608"/>
    <w:rsid w:val="00EE76AA"/>
    <w:rsid w:val="00EF04F0"/>
    <w:rsid w:val="00EF07FA"/>
    <w:rsid w:val="00EF0AA9"/>
    <w:rsid w:val="00EF1056"/>
    <w:rsid w:val="00EF1154"/>
    <w:rsid w:val="00EF11C5"/>
    <w:rsid w:val="00EF160F"/>
    <w:rsid w:val="00EF1C5D"/>
    <w:rsid w:val="00EF1DD9"/>
    <w:rsid w:val="00EF1E0A"/>
    <w:rsid w:val="00EF1F1F"/>
    <w:rsid w:val="00EF207A"/>
    <w:rsid w:val="00EF212C"/>
    <w:rsid w:val="00EF2A72"/>
    <w:rsid w:val="00EF3278"/>
    <w:rsid w:val="00EF360A"/>
    <w:rsid w:val="00EF3AB1"/>
    <w:rsid w:val="00EF3BCE"/>
    <w:rsid w:val="00EF3E8B"/>
    <w:rsid w:val="00EF3ED7"/>
    <w:rsid w:val="00EF4028"/>
    <w:rsid w:val="00EF4178"/>
    <w:rsid w:val="00EF50F0"/>
    <w:rsid w:val="00EF5BC1"/>
    <w:rsid w:val="00EF5E11"/>
    <w:rsid w:val="00EF5F91"/>
    <w:rsid w:val="00EF6915"/>
    <w:rsid w:val="00EF6F6F"/>
    <w:rsid w:val="00EF726B"/>
    <w:rsid w:val="00EF72C0"/>
    <w:rsid w:val="00EF743D"/>
    <w:rsid w:val="00EF7BB3"/>
    <w:rsid w:val="00F00218"/>
    <w:rsid w:val="00F004E1"/>
    <w:rsid w:val="00F00678"/>
    <w:rsid w:val="00F0152D"/>
    <w:rsid w:val="00F01536"/>
    <w:rsid w:val="00F01540"/>
    <w:rsid w:val="00F01578"/>
    <w:rsid w:val="00F01583"/>
    <w:rsid w:val="00F01723"/>
    <w:rsid w:val="00F019B3"/>
    <w:rsid w:val="00F020C0"/>
    <w:rsid w:val="00F02DFC"/>
    <w:rsid w:val="00F02DFF"/>
    <w:rsid w:val="00F039FA"/>
    <w:rsid w:val="00F03F10"/>
    <w:rsid w:val="00F04203"/>
    <w:rsid w:val="00F042DF"/>
    <w:rsid w:val="00F043CA"/>
    <w:rsid w:val="00F04822"/>
    <w:rsid w:val="00F049EC"/>
    <w:rsid w:val="00F04F1F"/>
    <w:rsid w:val="00F052DF"/>
    <w:rsid w:val="00F05341"/>
    <w:rsid w:val="00F0542E"/>
    <w:rsid w:val="00F05CFA"/>
    <w:rsid w:val="00F0624E"/>
    <w:rsid w:val="00F0645B"/>
    <w:rsid w:val="00F06ED4"/>
    <w:rsid w:val="00F070EE"/>
    <w:rsid w:val="00F07C1A"/>
    <w:rsid w:val="00F07E63"/>
    <w:rsid w:val="00F07F84"/>
    <w:rsid w:val="00F10C00"/>
    <w:rsid w:val="00F10EAA"/>
    <w:rsid w:val="00F10EAE"/>
    <w:rsid w:val="00F10F14"/>
    <w:rsid w:val="00F112BC"/>
    <w:rsid w:val="00F1131A"/>
    <w:rsid w:val="00F11389"/>
    <w:rsid w:val="00F11873"/>
    <w:rsid w:val="00F11F0C"/>
    <w:rsid w:val="00F125A2"/>
    <w:rsid w:val="00F12866"/>
    <w:rsid w:val="00F12CBD"/>
    <w:rsid w:val="00F12ED0"/>
    <w:rsid w:val="00F1305E"/>
    <w:rsid w:val="00F13192"/>
    <w:rsid w:val="00F139C6"/>
    <w:rsid w:val="00F13AC5"/>
    <w:rsid w:val="00F13AE4"/>
    <w:rsid w:val="00F13CFE"/>
    <w:rsid w:val="00F13D66"/>
    <w:rsid w:val="00F1410E"/>
    <w:rsid w:val="00F1423A"/>
    <w:rsid w:val="00F145A6"/>
    <w:rsid w:val="00F14738"/>
    <w:rsid w:val="00F1546C"/>
    <w:rsid w:val="00F15A89"/>
    <w:rsid w:val="00F15F8C"/>
    <w:rsid w:val="00F165A2"/>
    <w:rsid w:val="00F16853"/>
    <w:rsid w:val="00F16CFE"/>
    <w:rsid w:val="00F16DD2"/>
    <w:rsid w:val="00F16DDE"/>
    <w:rsid w:val="00F171F8"/>
    <w:rsid w:val="00F1759B"/>
    <w:rsid w:val="00F176A8"/>
    <w:rsid w:val="00F178E2"/>
    <w:rsid w:val="00F17A3F"/>
    <w:rsid w:val="00F2047D"/>
    <w:rsid w:val="00F20897"/>
    <w:rsid w:val="00F20BB8"/>
    <w:rsid w:val="00F20EDD"/>
    <w:rsid w:val="00F20F7E"/>
    <w:rsid w:val="00F210ED"/>
    <w:rsid w:val="00F210F7"/>
    <w:rsid w:val="00F21211"/>
    <w:rsid w:val="00F2134C"/>
    <w:rsid w:val="00F21E64"/>
    <w:rsid w:val="00F21E71"/>
    <w:rsid w:val="00F22145"/>
    <w:rsid w:val="00F225B5"/>
    <w:rsid w:val="00F226A1"/>
    <w:rsid w:val="00F228DE"/>
    <w:rsid w:val="00F22C87"/>
    <w:rsid w:val="00F23475"/>
    <w:rsid w:val="00F2350C"/>
    <w:rsid w:val="00F2377D"/>
    <w:rsid w:val="00F237D4"/>
    <w:rsid w:val="00F2418D"/>
    <w:rsid w:val="00F24BFD"/>
    <w:rsid w:val="00F251FF"/>
    <w:rsid w:val="00F25A2A"/>
    <w:rsid w:val="00F26024"/>
    <w:rsid w:val="00F2617A"/>
    <w:rsid w:val="00F2673A"/>
    <w:rsid w:val="00F26770"/>
    <w:rsid w:val="00F26B4B"/>
    <w:rsid w:val="00F26B99"/>
    <w:rsid w:val="00F26DFE"/>
    <w:rsid w:val="00F26E9F"/>
    <w:rsid w:val="00F2706C"/>
    <w:rsid w:val="00F274E9"/>
    <w:rsid w:val="00F30020"/>
    <w:rsid w:val="00F300F0"/>
    <w:rsid w:val="00F30372"/>
    <w:rsid w:val="00F3094A"/>
    <w:rsid w:val="00F30B4D"/>
    <w:rsid w:val="00F30BF1"/>
    <w:rsid w:val="00F30C27"/>
    <w:rsid w:val="00F3127E"/>
    <w:rsid w:val="00F315D1"/>
    <w:rsid w:val="00F31FEB"/>
    <w:rsid w:val="00F3222A"/>
    <w:rsid w:val="00F324CB"/>
    <w:rsid w:val="00F327D3"/>
    <w:rsid w:val="00F32EC0"/>
    <w:rsid w:val="00F3322A"/>
    <w:rsid w:val="00F3335B"/>
    <w:rsid w:val="00F33577"/>
    <w:rsid w:val="00F33BB4"/>
    <w:rsid w:val="00F33C5F"/>
    <w:rsid w:val="00F33CBD"/>
    <w:rsid w:val="00F33FFF"/>
    <w:rsid w:val="00F3409A"/>
    <w:rsid w:val="00F344F0"/>
    <w:rsid w:val="00F346A6"/>
    <w:rsid w:val="00F34701"/>
    <w:rsid w:val="00F34DF3"/>
    <w:rsid w:val="00F34FD3"/>
    <w:rsid w:val="00F35475"/>
    <w:rsid w:val="00F35EFA"/>
    <w:rsid w:val="00F35FFB"/>
    <w:rsid w:val="00F36331"/>
    <w:rsid w:val="00F377D1"/>
    <w:rsid w:val="00F37864"/>
    <w:rsid w:val="00F37935"/>
    <w:rsid w:val="00F37A01"/>
    <w:rsid w:val="00F37A5E"/>
    <w:rsid w:val="00F37B44"/>
    <w:rsid w:val="00F400B5"/>
    <w:rsid w:val="00F405FA"/>
    <w:rsid w:val="00F40A5A"/>
    <w:rsid w:val="00F40B4D"/>
    <w:rsid w:val="00F40C8B"/>
    <w:rsid w:val="00F40CE1"/>
    <w:rsid w:val="00F40FFE"/>
    <w:rsid w:val="00F41CE2"/>
    <w:rsid w:val="00F41DAE"/>
    <w:rsid w:val="00F42095"/>
    <w:rsid w:val="00F432FC"/>
    <w:rsid w:val="00F434A4"/>
    <w:rsid w:val="00F43624"/>
    <w:rsid w:val="00F43B83"/>
    <w:rsid w:val="00F43C74"/>
    <w:rsid w:val="00F43DA2"/>
    <w:rsid w:val="00F4445A"/>
    <w:rsid w:val="00F446C1"/>
    <w:rsid w:val="00F44740"/>
    <w:rsid w:val="00F44DA3"/>
    <w:rsid w:val="00F44DA6"/>
    <w:rsid w:val="00F452A8"/>
    <w:rsid w:val="00F45E16"/>
    <w:rsid w:val="00F46016"/>
    <w:rsid w:val="00F46127"/>
    <w:rsid w:val="00F4691D"/>
    <w:rsid w:val="00F4699F"/>
    <w:rsid w:val="00F46FCD"/>
    <w:rsid w:val="00F47589"/>
    <w:rsid w:val="00F47777"/>
    <w:rsid w:val="00F478D6"/>
    <w:rsid w:val="00F47CA5"/>
    <w:rsid w:val="00F50471"/>
    <w:rsid w:val="00F5096F"/>
    <w:rsid w:val="00F509C0"/>
    <w:rsid w:val="00F50CE6"/>
    <w:rsid w:val="00F50F71"/>
    <w:rsid w:val="00F51143"/>
    <w:rsid w:val="00F512F7"/>
    <w:rsid w:val="00F51A04"/>
    <w:rsid w:val="00F51F30"/>
    <w:rsid w:val="00F520F2"/>
    <w:rsid w:val="00F52348"/>
    <w:rsid w:val="00F523B0"/>
    <w:rsid w:val="00F523C3"/>
    <w:rsid w:val="00F52D58"/>
    <w:rsid w:val="00F52FAD"/>
    <w:rsid w:val="00F5376C"/>
    <w:rsid w:val="00F53DFE"/>
    <w:rsid w:val="00F547DC"/>
    <w:rsid w:val="00F54C84"/>
    <w:rsid w:val="00F54D77"/>
    <w:rsid w:val="00F54EB0"/>
    <w:rsid w:val="00F55126"/>
    <w:rsid w:val="00F551E5"/>
    <w:rsid w:val="00F553F2"/>
    <w:rsid w:val="00F5576D"/>
    <w:rsid w:val="00F55A7B"/>
    <w:rsid w:val="00F55AA9"/>
    <w:rsid w:val="00F55EBC"/>
    <w:rsid w:val="00F5628B"/>
    <w:rsid w:val="00F562B2"/>
    <w:rsid w:val="00F56314"/>
    <w:rsid w:val="00F56344"/>
    <w:rsid w:val="00F5645A"/>
    <w:rsid w:val="00F56575"/>
    <w:rsid w:val="00F56647"/>
    <w:rsid w:val="00F569B7"/>
    <w:rsid w:val="00F56BE9"/>
    <w:rsid w:val="00F572C0"/>
    <w:rsid w:val="00F573E3"/>
    <w:rsid w:val="00F578AA"/>
    <w:rsid w:val="00F57946"/>
    <w:rsid w:val="00F60431"/>
    <w:rsid w:val="00F60928"/>
    <w:rsid w:val="00F60A7D"/>
    <w:rsid w:val="00F6165C"/>
    <w:rsid w:val="00F616B5"/>
    <w:rsid w:val="00F6177B"/>
    <w:rsid w:val="00F618D5"/>
    <w:rsid w:val="00F61AD5"/>
    <w:rsid w:val="00F61D02"/>
    <w:rsid w:val="00F61E38"/>
    <w:rsid w:val="00F620AA"/>
    <w:rsid w:val="00F62541"/>
    <w:rsid w:val="00F625F2"/>
    <w:rsid w:val="00F6267E"/>
    <w:rsid w:val="00F62BB9"/>
    <w:rsid w:val="00F630C9"/>
    <w:rsid w:val="00F63567"/>
    <w:rsid w:val="00F63624"/>
    <w:rsid w:val="00F63B04"/>
    <w:rsid w:val="00F63BE3"/>
    <w:rsid w:val="00F64036"/>
    <w:rsid w:val="00F649BC"/>
    <w:rsid w:val="00F64CFA"/>
    <w:rsid w:val="00F65228"/>
    <w:rsid w:val="00F65359"/>
    <w:rsid w:val="00F65960"/>
    <w:rsid w:val="00F663F9"/>
    <w:rsid w:val="00F66868"/>
    <w:rsid w:val="00F668C1"/>
    <w:rsid w:val="00F66974"/>
    <w:rsid w:val="00F669D5"/>
    <w:rsid w:val="00F66C46"/>
    <w:rsid w:val="00F66DC1"/>
    <w:rsid w:val="00F678B9"/>
    <w:rsid w:val="00F67CD0"/>
    <w:rsid w:val="00F67D41"/>
    <w:rsid w:val="00F67F57"/>
    <w:rsid w:val="00F70B57"/>
    <w:rsid w:val="00F70D74"/>
    <w:rsid w:val="00F70EF3"/>
    <w:rsid w:val="00F711E8"/>
    <w:rsid w:val="00F71CD0"/>
    <w:rsid w:val="00F71E7E"/>
    <w:rsid w:val="00F723AE"/>
    <w:rsid w:val="00F72491"/>
    <w:rsid w:val="00F7262C"/>
    <w:rsid w:val="00F726B4"/>
    <w:rsid w:val="00F72808"/>
    <w:rsid w:val="00F72B42"/>
    <w:rsid w:val="00F72BB2"/>
    <w:rsid w:val="00F72BF2"/>
    <w:rsid w:val="00F72DBF"/>
    <w:rsid w:val="00F72F97"/>
    <w:rsid w:val="00F730C9"/>
    <w:rsid w:val="00F733F3"/>
    <w:rsid w:val="00F734A7"/>
    <w:rsid w:val="00F73A39"/>
    <w:rsid w:val="00F73AF2"/>
    <w:rsid w:val="00F73B5E"/>
    <w:rsid w:val="00F73E47"/>
    <w:rsid w:val="00F73FD8"/>
    <w:rsid w:val="00F741BD"/>
    <w:rsid w:val="00F745EF"/>
    <w:rsid w:val="00F749FF"/>
    <w:rsid w:val="00F7501D"/>
    <w:rsid w:val="00F75144"/>
    <w:rsid w:val="00F758FF"/>
    <w:rsid w:val="00F75907"/>
    <w:rsid w:val="00F75D3A"/>
    <w:rsid w:val="00F76658"/>
    <w:rsid w:val="00F76B08"/>
    <w:rsid w:val="00F76D75"/>
    <w:rsid w:val="00F76F40"/>
    <w:rsid w:val="00F76FA0"/>
    <w:rsid w:val="00F7713E"/>
    <w:rsid w:val="00F773EB"/>
    <w:rsid w:val="00F7768C"/>
    <w:rsid w:val="00F80139"/>
    <w:rsid w:val="00F805E7"/>
    <w:rsid w:val="00F810EF"/>
    <w:rsid w:val="00F81215"/>
    <w:rsid w:val="00F812D4"/>
    <w:rsid w:val="00F8151A"/>
    <w:rsid w:val="00F81743"/>
    <w:rsid w:val="00F81865"/>
    <w:rsid w:val="00F81A4A"/>
    <w:rsid w:val="00F81C5A"/>
    <w:rsid w:val="00F8209F"/>
    <w:rsid w:val="00F825B5"/>
    <w:rsid w:val="00F82D52"/>
    <w:rsid w:val="00F82EA5"/>
    <w:rsid w:val="00F83119"/>
    <w:rsid w:val="00F83806"/>
    <w:rsid w:val="00F83AD1"/>
    <w:rsid w:val="00F83B90"/>
    <w:rsid w:val="00F83CDE"/>
    <w:rsid w:val="00F8417E"/>
    <w:rsid w:val="00F841CA"/>
    <w:rsid w:val="00F84239"/>
    <w:rsid w:val="00F84359"/>
    <w:rsid w:val="00F843AB"/>
    <w:rsid w:val="00F847AC"/>
    <w:rsid w:val="00F84CCB"/>
    <w:rsid w:val="00F85564"/>
    <w:rsid w:val="00F858CA"/>
    <w:rsid w:val="00F85C21"/>
    <w:rsid w:val="00F85E4C"/>
    <w:rsid w:val="00F85F33"/>
    <w:rsid w:val="00F86030"/>
    <w:rsid w:val="00F86032"/>
    <w:rsid w:val="00F861A4"/>
    <w:rsid w:val="00F864E0"/>
    <w:rsid w:val="00F86538"/>
    <w:rsid w:val="00F86F6C"/>
    <w:rsid w:val="00F87081"/>
    <w:rsid w:val="00F87411"/>
    <w:rsid w:val="00F87538"/>
    <w:rsid w:val="00F87C31"/>
    <w:rsid w:val="00F902B7"/>
    <w:rsid w:val="00F904D1"/>
    <w:rsid w:val="00F904FD"/>
    <w:rsid w:val="00F9102D"/>
    <w:rsid w:val="00F9181E"/>
    <w:rsid w:val="00F91980"/>
    <w:rsid w:val="00F91AB7"/>
    <w:rsid w:val="00F91D6A"/>
    <w:rsid w:val="00F920AD"/>
    <w:rsid w:val="00F9212E"/>
    <w:rsid w:val="00F925AD"/>
    <w:rsid w:val="00F926C3"/>
    <w:rsid w:val="00F928C7"/>
    <w:rsid w:val="00F9359D"/>
    <w:rsid w:val="00F935BB"/>
    <w:rsid w:val="00F93822"/>
    <w:rsid w:val="00F9395E"/>
    <w:rsid w:val="00F939BF"/>
    <w:rsid w:val="00F93F97"/>
    <w:rsid w:val="00F9400B"/>
    <w:rsid w:val="00F94102"/>
    <w:rsid w:val="00F9445F"/>
    <w:rsid w:val="00F946B3"/>
    <w:rsid w:val="00F94761"/>
    <w:rsid w:val="00F95F0A"/>
    <w:rsid w:val="00F967DE"/>
    <w:rsid w:val="00F969CE"/>
    <w:rsid w:val="00F96E21"/>
    <w:rsid w:val="00F96F45"/>
    <w:rsid w:val="00F96F69"/>
    <w:rsid w:val="00F972F6"/>
    <w:rsid w:val="00F97603"/>
    <w:rsid w:val="00F9762A"/>
    <w:rsid w:val="00F9772B"/>
    <w:rsid w:val="00F97779"/>
    <w:rsid w:val="00F97816"/>
    <w:rsid w:val="00F9786F"/>
    <w:rsid w:val="00F978A2"/>
    <w:rsid w:val="00F97B8A"/>
    <w:rsid w:val="00F97EF4"/>
    <w:rsid w:val="00FA0006"/>
    <w:rsid w:val="00FA0093"/>
    <w:rsid w:val="00FA0102"/>
    <w:rsid w:val="00FA0329"/>
    <w:rsid w:val="00FA039C"/>
    <w:rsid w:val="00FA03B5"/>
    <w:rsid w:val="00FA0416"/>
    <w:rsid w:val="00FA080D"/>
    <w:rsid w:val="00FA0898"/>
    <w:rsid w:val="00FA08BC"/>
    <w:rsid w:val="00FA17C7"/>
    <w:rsid w:val="00FA1882"/>
    <w:rsid w:val="00FA1988"/>
    <w:rsid w:val="00FA1A77"/>
    <w:rsid w:val="00FA1AEB"/>
    <w:rsid w:val="00FA1C0C"/>
    <w:rsid w:val="00FA20B5"/>
    <w:rsid w:val="00FA2845"/>
    <w:rsid w:val="00FA29D2"/>
    <w:rsid w:val="00FA2BDF"/>
    <w:rsid w:val="00FA2E2F"/>
    <w:rsid w:val="00FA2E7D"/>
    <w:rsid w:val="00FA36B4"/>
    <w:rsid w:val="00FA3738"/>
    <w:rsid w:val="00FA3779"/>
    <w:rsid w:val="00FA39F2"/>
    <w:rsid w:val="00FA3BE3"/>
    <w:rsid w:val="00FA3ED5"/>
    <w:rsid w:val="00FA414D"/>
    <w:rsid w:val="00FA41B1"/>
    <w:rsid w:val="00FA4769"/>
    <w:rsid w:val="00FA5043"/>
    <w:rsid w:val="00FA51BF"/>
    <w:rsid w:val="00FA5413"/>
    <w:rsid w:val="00FA5504"/>
    <w:rsid w:val="00FA57FA"/>
    <w:rsid w:val="00FA5D46"/>
    <w:rsid w:val="00FA6773"/>
    <w:rsid w:val="00FA6AB5"/>
    <w:rsid w:val="00FA6B7E"/>
    <w:rsid w:val="00FA7560"/>
    <w:rsid w:val="00FA7874"/>
    <w:rsid w:val="00FA792E"/>
    <w:rsid w:val="00FA7F48"/>
    <w:rsid w:val="00FB02BA"/>
    <w:rsid w:val="00FB0542"/>
    <w:rsid w:val="00FB0AFA"/>
    <w:rsid w:val="00FB1223"/>
    <w:rsid w:val="00FB1748"/>
    <w:rsid w:val="00FB186A"/>
    <w:rsid w:val="00FB198D"/>
    <w:rsid w:val="00FB19AE"/>
    <w:rsid w:val="00FB21CF"/>
    <w:rsid w:val="00FB3049"/>
    <w:rsid w:val="00FB380A"/>
    <w:rsid w:val="00FB39F1"/>
    <w:rsid w:val="00FB450D"/>
    <w:rsid w:val="00FB4674"/>
    <w:rsid w:val="00FB495B"/>
    <w:rsid w:val="00FB57DB"/>
    <w:rsid w:val="00FB5867"/>
    <w:rsid w:val="00FB5DB3"/>
    <w:rsid w:val="00FB6081"/>
    <w:rsid w:val="00FB6207"/>
    <w:rsid w:val="00FB6669"/>
    <w:rsid w:val="00FB6724"/>
    <w:rsid w:val="00FB67D7"/>
    <w:rsid w:val="00FB69B2"/>
    <w:rsid w:val="00FB6CCE"/>
    <w:rsid w:val="00FB7864"/>
    <w:rsid w:val="00FC04D1"/>
    <w:rsid w:val="00FC0540"/>
    <w:rsid w:val="00FC06E3"/>
    <w:rsid w:val="00FC1437"/>
    <w:rsid w:val="00FC1CC3"/>
    <w:rsid w:val="00FC1DF6"/>
    <w:rsid w:val="00FC22AB"/>
    <w:rsid w:val="00FC2373"/>
    <w:rsid w:val="00FC272E"/>
    <w:rsid w:val="00FC294A"/>
    <w:rsid w:val="00FC30F3"/>
    <w:rsid w:val="00FC3126"/>
    <w:rsid w:val="00FC329C"/>
    <w:rsid w:val="00FC32B3"/>
    <w:rsid w:val="00FC33C1"/>
    <w:rsid w:val="00FC358A"/>
    <w:rsid w:val="00FC3821"/>
    <w:rsid w:val="00FC3FCC"/>
    <w:rsid w:val="00FC4649"/>
    <w:rsid w:val="00FC4AB7"/>
    <w:rsid w:val="00FC4BCB"/>
    <w:rsid w:val="00FC4DBD"/>
    <w:rsid w:val="00FC4E8D"/>
    <w:rsid w:val="00FC537B"/>
    <w:rsid w:val="00FC594B"/>
    <w:rsid w:val="00FC5B2D"/>
    <w:rsid w:val="00FC6199"/>
    <w:rsid w:val="00FC6303"/>
    <w:rsid w:val="00FC67EC"/>
    <w:rsid w:val="00FC6AED"/>
    <w:rsid w:val="00FC6C42"/>
    <w:rsid w:val="00FC6E18"/>
    <w:rsid w:val="00FC7A73"/>
    <w:rsid w:val="00FC7D64"/>
    <w:rsid w:val="00FC7DDB"/>
    <w:rsid w:val="00FC7EE6"/>
    <w:rsid w:val="00FC7EF4"/>
    <w:rsid w:val="00FD00B9"/>
    <w:rsid w:val="00FD01A3"/>
    <w:rsid w:val="00FD07C6"/>
    <w:rsid w:val="00FD098C"/>
    <w:rsid w:val="00FD0DA5"/>
    <w:rsid w:val="00FD0E77"/>
    <w:rsid w:val="00FD0F38"/>
    <w:rsid w:val="00FD102D"/>
    <w:rsid w:val="00FD1088"/>
    <w:rsid w:val="00FD110F"/>
    <w:rsid w:val="00FD1175"/>
    <w:rsid w:val="00FD1491"/>
    <w:rsid w:val="00FD1594"/>
    <w:rsid w:val="00FD1B55"/>
    <w:rsid w:val="00FD21FA"/>
    <w:rsid w:val="00FD2394"/>
    <w:rsid w:val="00FD2A33"/>
    <w:rsid w:val="00FD2E0A"/>
    <w:rsid w:val="00FD2E62"/>
    <w:rsid w:val="00FD321B"/>
    <w:rsid w:val="00FD331B"/>
    <w:rsid w:val="00FD354A"/>
    <w:rsid w:val="00FD3F6C"/>
    <w:rsid w:val="00FD4094"/>
    <w:rsid w:val="00FD4211"/>
    <w:rsid w:val="00FD4218"/>
    <w:rsid w:val="00FD434C"/>
    <w:rsid w:val="00FD45FB"/>
    <w:rsid w:val="00FD50E1"/>
    <w:rsid w:val="00FD5692"/>
    <w:rsid w:val="00FD5726"/>
    <w:rsid w:val="00FD5896"/>
    <w:rsid w:val="00FD5BAB"/>
    <w:rsid w:val="00FD5FAA"/>
    <w:rsid w:val="00FD69D8"/>
    <w:rsid w:val="00FD70B1"/>
    <w:rsid w:val="00FD712C"/>
    <w:rsid w:val="00FD7841"/>
    <w:rsid w:val="00FD784C"/>
    <w:rsid w:val="00FD7854"/>
    <w:rsid w:val="00FD7A31"/>
    <w:rsid w:val="00FE005A"/>
    <w:rsid w:val="00FE01E3"/>
    <w:rsid w:val="00FE02BC"/>
    <w:rsid w:val="00FE0412"/>
    <w:rsid w:val="00FE0547"/>
    <w:rsid w:val="00FE063B"/>
    <w:rsid w:val="00FE0C82"/>
    <w:rsid w:val="00FE104B"/>
    <w:rsid w:val="00FE1958"/>
    <w:rsid w:val="00FE1B08"/>
    <w:rsid w:val="00FE1BC2"/>
    <w:rsid w:val="00FE2431"/>
    <w:rsid w:val="00FE25C9"/>
    <w:rsid w:val="00FE279B"/>
    <w:rsid w:val="00FE28E1"/>
    <w:rsid w:val="00FE29C1"/>
    <w:rsid w:val="00FE2E98"/>
    <w:rsid w:val="00FE2F99"/>
    <w:rsid w:val="00FE3A7F"/>
    <w:rsid w:val="00FE4101"/>
    <w:rsid w:val="00FE41EE"/>
    <w:rsid w:val="00FE47AC"/>
    <w:rsid w:val="00FE4A06"/>
    <w:rsid w:val="00FE4C58"/>
    <w:rsid w:val="00FE5890"/>
    <w:rsid w:val="00FE653C"/>
    <w:rsid w:val="00FE6746"/>
    <w:rsid w:val="00FE6808"/>
    <w:rsid w:val="00FE6D17"/>
    <w:rsid w:val="00FE6FDD"/>
    <w:rsid w:val="00FE7EE9"/>
    <w:rsid w:val="00FF037F"/>
    <w:rsid w:val="00FF0919"/>
    <w:rsid w:val="00FF0B31"/>
    <w:rsid w:val="00FF0C52"/>
    <w:rsid w:val="00FF1570"/>
    <w:rsid w:val="00FF18C5"/>
    <w:rsid w:val="00FF1A9E"/>
    <w:rsid w:val="00FF1BB3"/>
    <w:rsid w:val="00FF1E69"/>
    <w:rsid w:val="00FF2293"/>
    <w:rsid w:val="00FF22B3"/>
    <w:rsid w:val="00FF23F3"/>
    <w:rsid w:val="00FF2550"/>
    <w:rsid w:val="00FF2B1E"/>
    <w:rsid w:val="00FF2D71"/>
    <w:rsid w:val="00FF321A"/>
    <w:rsid w:val="00FF328D"/>
    <w:rsid w:val="00FF34EC"/>
    <w:rsid w:val="00FF3592"/>
    <w:rsid w:val="00FF385C"/>
    <w:rsid w:val="00FF3890"/>
    <w:rsid w:val="00FF4044"/>
    <w:rsid w:val="00FF4049"/>
    <w:rsid w:val="00FF4519"/>
    <w:rsid w:val="00FF4880"/>
    <w:rsid w:val="00FF4912"/>
    <w:rsid w:val="00FF4DB9"/>
    <w:rsid w:val="00FF4F0C"/>
    <w:rsid w:val="00FF5299"/>
    <w:rsid w:val="00FF52E1"/>
    <w:rsid w:val="00FF5825"/>
    <w:rsid w:val="00FF5841"/>
    <w:rsid w:val="00FF59E0"/>
    <w:rsid w:val="00FF5E37"/>
    <w:rsid w:val="00FF5EC5"/>
    <w:rsid w:val="00FF610D"/>
    <w:rsid w:val="00FF61E6"/>
    <w:rsid w:val="00FF67EB"/>
    <w:rsid w:val="00FF6A13"/>
    <w:rsid w:val="00FF6F8B"/>
    <w:rsid w:val="00FF7E1D"/>
    <w:rsid w:val="01212181"/>
    <w:rsid w:val="01546F2F"/>
    <w:rsid w:val="01608B60"/>
    <w:rsid w:val="022218DB"/>
    <w:rsid w:val="0245D9E0"/>
    <w:rsid w:val="0266D31B"/>
    <w:rsid w:val="027D7B3C"/>
    <w:rsid w:val="02CCCA89"/>
    <w:rsid w:val="02F37F37"/>
    <w:rsid w:val="033516E1"/>
    <w:rsid w:val="035EB5E9"/>
    <w:rsid w:val="038FB9DF"/>
    <w:rsid w:val="03AB7262"/>
    <w:rsid w:val="03CD193B"/>
    <w:rsid w:val="0409D997"/>
    <w:rsid w:val="04592AA2"/>
    <w:rsid w:val="045AFBAC"/>
    <w:rsid w:val="049FBA4D"/>
    <w:rsid w:val="04B7F354"/>
    <w:rsid w:val="04D4EA3B"/>
    <w:rsid w:val="04E0D87D"/>
    <w:rsid w:val="04E321BA"/>
    <w:rsid w:val="04F70C7A"/>
    <w:rsid w:val="053A9D6C"/>
    <w:rsid w:val="0565542D"/>
    <w:rsid w:val="0566A32A"/>
    <w:rsid w:val="05D07468"/>
    <w:rsid w:val="062A6947"/>
    <w:rsid w:val="0641FBCC"/>
    <w:rsid w:val="067C507A"/>
    <w:rsid w:val="06ED6E38"/>
    <w:rsid w:val="07048D6F"/>
    <w:rsid w:val="07164D9C"/>
    <w:rsid w:val="07DDB700"/>
    <w:rsid w:val="081CAE5B"/>
    <w:rsid w:val="08B338E9"/>
    <w:rsid w:val="08CA477E"/>
    <w:rsid w:val="08FE99C7"/>
    <w:rsid w:val="09271D40"/>
    <w:rsid w:val="0942F5B2"/>
    <w:rsid w:val="096948D6"/>
    <w:rsid w:val="096A1385"/>
    <w:rsid w:val="099F2527"/>
    <w:rsid w:val="09EDA560"/>
    <w:rsid w:val="0A9DC422"/>
    <w:rsid w:val="0AAC33E1"/>
    <w:rsid w:val="0AE11B14"/>
    <w:rsid w:val="0B33EA99"/>
    <w:rsid w:val="0B3BFE64"/>
    <w:rsid w:val="0B80AFB1"/>
    <w:rsid w:val="0BD824F7"/>
    <w:rsid w:val="0BDB4B66"/>
    <w:rsid w:val="0BE5C1F0"/>
    <w:rsid w:val="0C0BC1CA"/>
    <w:rsid w:val="0C93E11E"/>
    <w:rsid w:val="0CA028FD"/>
    <w:rsid w:val="0CB5622E"/>
    <w:rsid w:val="0D1B4A6D"/>
    <w:rsid w:val="0D7F011B"/>
    <w:rsid w:val="0D90E995"/>
    <w:rsid w:val="0D996A21"/>
    <w:rsid w:val="0DDDD9D6"/>
    <w:rsid w:val="0E907D8B"/>
    <w:rsid w:val="0EDE8013"/>
    <w:rsid w:val="0F1D7D0B"/>
    <w:rsid w:val="0F5C9B49"/>
    <w:rsid w:val="0FEB5830"/>
    <w:rsid w:val="101CF265"/>
    <w:rsid w:val="102631D9"/>
    <w:rsid w:val="107B47A0"/>
    <w:rsid w:val="10ECB125"/>
    <w:rsid w:val="1160D5BA"/>
    <w:rsid w:val="119F3E2B"/>
    <w:rsid w:val="11C139C1"/>
    <w:rsid w:val="11EF60F7"/>
    <w:rsid w:val="123E2730"/>
    <w:rsid w:val="12443A9D"/>
    <w:rsid w:val="1269282B"/>
    <w:rsid w:val="12928BAC"/>
    <w:rsid w:val="129A3D22"/>
    <w:rsid w:val="12B35517"/>
    <w:rsid w:val="12C121C6"/>
    <w:rsid w:val="12C8F107"/>
    <w:rsid w:val="12D26819"/>
    <w:rsid w:val="12F6CA8A"/>
    <w:rsid w:val="12F81DD5"/>
    <w:rsid w:val="1333DFC0"/>
    <w:rsid w:val="13BE6CDD"/>
    <w:rsid w:val="13C99DE2"/>
    <w:rsid w:val="13E2598E"/>
    <w:rsid w:val="13E538CB"/>
    <w:rsid w:val="142D22A5"/>
    <w:rsid w:val="145D9643"/>
    <w:rsid w:val="1491870B"/>
    <w:rsid w:val="14CB16BD"/>
    <w:rsid w:val="1506B1F9"/>
    <w:rsid w:val="158DFAC8"/>
    <w:rsid w:val="15A62B19"/>
    <w:rsid w:val="15A8FA8B"/>
    <w:rsid w:val="15C8CDF9"/>
    <w:rsid w:val="15DDA434"/>
    <w:rsid w:val="164E3EF0"/>
    <w:rsid w:val="167E65A7"/>
    <w:rsid w:val="16864663"/>
    <w:rsid w:val="168EF820"/>
    <w:rsid w:val="16CE8F03"/>
    <w:rsid w:val="16F2B8F5"/>
    <w:rsid w:val="1709956F"/>
    <w:rsid w:val="178094F9"/>
    <w:rsid w:val="17FE8BDC"/>
    <w:rsid w:val="180B9AFD"/>
    <w:rsid w:val="185AD335"/>
    <w:rsid w:val="18B1D90A"/>
    <w:rsid w:val="19479F51"/>
    <w:rsid w:val="1972CCAD"/>
    <w:rsid w:val="19DAE1E3"/>
    <w:rsid w:val="1A889948"/>
    <w:rsid w:val="1AB7F2C7"/>
    <w:rsid w:val="1AC51C27"/>
    <w:rsid w:val="1AF418D3"/>
    <w:rsid w:val="1BA0C16B"/>
    <w:rsid w:val="1BE79D22"/>
    <w:rsid w:val="1BEF3EA5"/>
    <w:rsid w:val="1BF7A4A3"/>
    <w:rsid w:val="1C24A288"/>
    <w:rsid w:val="1C4D3553"/>
    <w:rsid w:val="1D1EFBAA"/>
    <w:rsid w:val="1D68686F"/>
    <w:rsid w:val="1DDB33C3"/>
    <w:rsid w:val="1E213351"/>
    <w:rsid w:val="1E362B43"/>
    <w:rsid w:val="1E3DA3BA"/>
    <w:rsid w:val="1ED3102B"/>
    <w:rsid w:val="1EF24804"/>
    <w:rsid w:val="1F0F426E"/>
    <w:rsid w:val="1F63B436"/>
    <w:rsid w:val="208B0533"/>
    <w:rsid w:val="20A0E604"/>
    <w:rsid w:val="20CB358A"/>
    <w:rsid w:val="20F25811"/>
    <w:rsid w:val="225FEF63"/>
    <w:rsid w:val="2275AE4D"/>
    <w:rsid w:val="22B02A05"/>
    <w:rsid w:val="22CB926A"/>
    <w:rsid w:val="231DE2BD"/>
    <w:rsid w:val="24332051"/>
    <w:rsid w:val="2446E853"/>
    <w:rsid w:val="251525DF"/>
    <w:rsid w:val="2660B75C"/>
    <w:rsid w:val="266D5B89"/>
    <w:rsid w:val="26829970"/>
    <w:rsid w:val="26C9B40F"/>
    <w:rsid w:val="26ED8975"/>
    <w:rsid w:val="27239AD7"/>
    <w:rsid w:val="274DA24F"/>
    <w:rsid w:val="274E73D6"/>
    <w:rsid w:val="277DBC91"/>
    <w:rsid w:val="27935737"/>
    <w:rsid w:val="27BC4062"/>
    <w:rsid w:val="27CB068C"/>
    <w:rsid w:val="281AB490"/>
    <w:rsid w:val="281C41DD"/>
    <w:rsid w:val="28293FA2"/>
    <w:rsid w:val="285A610F"/>
    <w:rsid w:val="28FF0363"/>
    <w:rsid w:val="2914E55D"/>
    <w:rsid w:val="293A5F6E"/>
    <w:rsid w:val="298DE6AF"/>
    <w:rsid w:val="298ED591"/>
    <w:rsid w:val="2AB76A8B"/>
    <w:rsid w:val="2B12E2F5"/>
    <w:rsid w:val="2B2405B5"/>
    <w:rsid w:val="2B311B69"/>
    <w:rsid w:val="2B805624"/>
    <w:rsid w:val="2C66C4BD"/>
    <w:rsid w:val="2CD3D9CC"/>
    <w:rsid w:val="2CD3DED2"/>
    <w:rsid w:val="2CDCD10D"/>
    <w:rsid w:val="2CDD6F38"/>
    <w:rsid w:val="2D2DD99F"/>
    <w:rsid w:val="2D669DDC"/>
    <w:rsid w:val="2DE41259"/>
    <w:rsid w:val="2DF70E73"/>
    <w:rsid w:val="2E439D77"/>
    <w:rsid w:val="2E5650B4"/>
    <w:rsid w:val="2EA52C04"/>
    <w:rsid w:val="2F00336A"/>
    <w:rsid w:val="2F5C2735"/>
    <w:rsid w:val="2F797A76"/>
    <w:rsid w:val="2FB2741E"/>
    <w:rsid w:val="2FB324ED"/>
    <w:rsid w:val="2FEB4EAB"/>
    <w:rsid w:val="2FF3B2A8"/>
    <w:rsid w:val="2FF76C81"/>
    <w:rsid w:val="3074D4E9"/>
    <w:rsid w:val="30EFC29A"/>
    <w:rsid w:val="31032F3E"/>
    <w:rsid w:val="31742BD3"/>
    <w:rsid w:val="317801F5"/>
    <w:rsid w:val="317C1238"/>
    <w:rsid w:val="31BA1129"/>
    <w:rsid w:val="32093E7B"/>
    <w:rsid w:val="326D2889"/>
    <w:rsid w:val="329F5D52"/>
    <w:rsid w:val="32B3422F"/>
    <w:rsid w:val="32C26315"/>
    <w:rsid w:val="32C61463"/>
    <w:rsid w:val="3387D27C"/>
    <w:rsid w:val="33F6869A"/>
    <w:rsid w:val="34E5B396"/>
    <w:rsid w:val="34F75999"/>
    <w:rsid w:val="35127B40"/>
    <w:rsid w:val="357A9CE3"/>
    <w:rsid w:val="35A59CAE"/>
    <w:rsid w:val="35C9CA85"/>
    <w:rsid w:val="372D418C"/>
    <w:rsid w:val="378E59E9"/>
    <w:rsid w:val="37ABCAD0"/>
    <w:rsid w:val="37B7489E"/>
    <w:rsid w:val="37F1CFB0"/>
    <w:rsid w:val="3862D35C"/>
    <w:rsid w:val="3866A007"/>
    <w:rsid w:val="38D34107"/>
    <w:rsid w:val="390C5BFD"/>
    <w:rsid w:val="392F5933"/>
    <w:rsid w:val="393A8432"/>
    <w:rsid w:val="394D9022"/>
    <w:rsid w:val="395408D8"/>
    <w:rsid w:val="3971B966"/>
    <w:rsid w:val="39F6B42F"/>
    <w:rsid w:val="3ABF47BC"/>
    <w:rsid w:val="3ACE3EC8"/>
    <w:rsid w:val="3BCC1CDB"/>
    <w:rsid w:val="3C637BEE"/>
    <w:rsid w:val="3CCD497C"/>
    <w:rsid w:val="3D908942"/>
    <w:rsid w:val="3D9E04F0"/>
    <w:rsid w:val="3E15BB71"/>
    <w:rsid w:val="3E7FD1A0"/>
    <w:rsid w:val="3E81C8A7"/>
    <w:rsid w:val="3EC88212"/>
    <w:rsid w:val="3EF2894B"/>
    <w:rsid w:val="3F5BB0E3"/>
    <w:rsid w:val="3F9DF7E1"/>
    <w:rsid w:val="3FB8E8E9"/>
    <w:rsid w:val="3FC1EB33"/>
    <w:rsid w:val="3FD66D91"/>
    <w:rsid w:val="400A337C"/>
    <w:rsid w:val="40246259"/>
    <w:rsid w:val="407123EF"/>
    <w:rsid w:val="40E47566"/>
    <w:rsid w:val="4180358C"/>
    <w:rsid w:val="41AD5786"/>
    <w:rsid w:val="41D5840E"/>
    <w:rsid w:val="42518683"/>
    <w:rsid w:val="425405C0"/>
    <w:rsid w:val="4258A1DF"/>
    <w:rsid w:val="43080860"/>
    <w:rsid w:val="43240080"/>
    <w:rsid w:val="432B8C83"/>
    <w:rsid w:val="43A8A355"/>
    <w:rsid w:val="43D2B1FF"/>
    <w:rsid w:val="445CA1E4"/>
    <w:rsid w:val="4479DE2E"/>
    <w:rsid w:val="44C34478"/>
    <w:rsid w:val="44D51521"/>
    <w:rsid w:val="4538796D"/>
    <w:rsid w:val="456A44BB"/>
    <w:rsid w:val="45858334"/>
    <w:rsid w:val="4593B4B3"/>
    <w:rsid w:val="45C0A9B7"/>
    <w:rsid w:val="45D6298B"/>
    <w:rsid w:val="45E4B81F"/>
    <w:rsid w:val="46299847"/>
    <w:rsid w:val="46AA7FFE"/>
    <w:rsid w:val="46B4115A"/>
    <w:rsid w:val="46BDADDA"/>
    <w:rsid w:val="473D5DF7"/>
    <w:rsid w:val="476BD144"/>
    <w:rsid w:val="4775CAD1"/>
    <w:rsid w:val="47BE838F"/>
    <w:rsid w:val="4841B25F"/>
    <w:rsid w:val="485B534F"/>
    <w:rsid w:val="485F163A"/>
    <w:rsid w:val="488EB203"/>
    <w:rsid w:val="48BED88F"/>
    <w:rsid w:val="49257A2D"/>
    <w:rsid w:val="49330376"/>
    <w:rsid w:val="49403214"/>
    <w:rsid w:val="497910B2"/>
    <w:rsid w:val="49E56F64"/>
    <w:rsid w:val="4A17721E"/>
    <w:rsid w:val="4A2649C4"/>
    <w:rsid w:val="4A573AFF"/>
    <w:rsid w:val="4A8CF9C2"/>
    <w:rsid w:val="4AB2638B"/>
    <w:rsid w:val="4AFD1AA3"/>
    <w:rsid w:val="4B232D85"/>
    <w:rsid w:val="4B4132B9"/>
    <w:rsid w:val="4BEB1498"/>
    <w:rsid w:val="4BF49255"/>
    <w:rsid w:val="4CAFF340"/>
    <w:rsid w:val="4D677428"/>
    <w:rsid w:val="4D9F07D4"/>
    <w:rsid w:val="4E7ADD83"/>
    <w:rsid w:val="4E8C5A75"/>
    <w:rsid w:val="4EF427F9"/>
    <w:rsid w:val="4F4BF228"/>
    <w:rsid w:val="4F4ED05C"/>
    <w:rsid w:val="4F6B69C9"/>
    <w:rsid w:val="4F9254A0"/>
    <w:rsid w:val="50042ED5"/>
    <w:rsid w:val="5019D8DB"/>
    <w:rsid w:val="5043CE3B"/>
    <w:rsid w:val="506C844C"/>
    <w:rsid w:val="507AD98B"/>
    <w:rsid w:val="5082BE33"/>
    <w:rsid w:val="50AA9AD5"/>
    <w:rsid w:val="50CE0092"/>
    <w:rsid w:val="513F1CEA"/>
    <w:rsid w:val="515540F9"/>
    <w:rsid w:val="51C85E55"/>
    <w:rsid w:val="523A8E9C"/>
    <w:rsid w:val="524E3A9A"/>
    <w:rsid w:val="526EC15B"/>
    <w:rsid w:val="530FCC61"/>
    <w:rsid w:val="538F5369"/>
    <w:rsid w:val="545EC66E"/>
    <w:rsid w:val="54885F61"/>
    <w:rsid w:val="5514157F"/>
    <w:rsid w:val="555843C9"/>
    <w:rsid w:val="555E07AF"/>
    <w:rsid w:val="55CE9A37"/>
    <w:rsid w:val="562BF825"/>
    <w:rsid w:val="5636B797"/>
    <w:rsid w:val="569BB101"/>
    <w:rsid w:val="56D79030"/>
    <w:rsid w:val="56F1A094"/>
    <w:rsid w:val="5810D2C9"/>
    <w:rsid w:val="586C883D"/>
    <w:rsid w:val="588E60B3"/>
    <w:rsid w:val="58FF6555"/>
    <w:rsid w:val="59ABFDD2"/>
    <w:rsid w:val="59AD7E78"/>
    <w:rsid w:val="5A9C7A0F"/>
    <w:rsid w:val="5AAA6851"/>
    <w:rsid w:val="5AAD055D"/>
    <w:rsid w:val="5AD627E9"/>
    <w:rsid w:val="5B15A928"/>
    <w:rsid w:val="5B7C27DA"/>
    <w:rsid w:val="5BAD1E6A"/>
    <w:rsid w:val="5BBC572F"/>
    <w:rsid w:val="5C0DEB6B"/>
    <w:rsid w:val="5C3F600E"/>
    <w:rsid w:val="5C4C79D3"/>
    <w:rsid w:val="5C782E13"/>
    <w:rsid w:val="5D3C1331"/>
    <w:rsid w:val="5D62CCC6"/>
    <w:rsid w:val="5D94D844"/>
    <w:rsid w:val="5DE94FB3"/>
    <w:rsid w:val="5DEBCAF1"/>
    <w:rsid w:val="5E4DE7A3"/>
    <w:rsid w:val="5E8D277F"/>
    <w:rsid w:val="5FDFEA17"/>
    <w:rsid w:val="60152B5C"/>
    <w:rsid w:val="601C214F"/>
    <w:rsid w:val="604124DB"/>
    <w:rsid w:val="61F80D20"/>
    <w:rsid w:val="6202B427"/>
    <w:rsid w:val="62895105"/>
    <w:rsid w:val="628FC1AC"/>
    <w:rsid w:val="62B7F1DE"/>
    <w:rsid w:val="6368DEFC"/>
    <w:rsid w:val="6368F43F"/>
    <w:rsid w:val="63B15D36"/>
    <w:rsid w:val="63EFD83C"/>
    <w:rsid w:val="640B4526"/>
    <w:rsid w:val="642075EA"/>
    <w:rsid w:val="646C93BE"/>
    <w:rsid w:val="647EF1F1"/>
    <w:rsid w:val="64CCA8A7"/>
    <w:rsid w:val="64CEEEA2"/>
    <w:rsid w:val="64EE3D92"/>
    <w:rsid w:val="6546E1C6"/>
    <w:rsid w:val="6550E224"/>
    <w:rsid w:val="65815E8C"/>
    <w:rsid w:val="6589C895"/>
    <w:rsid w:val="65B93B24"/>
    <w:rsid w:val="65E94A2B"/>
    <w:rsid w:val="669560FF"/>
    <w:rsid w:val="66A3C381"/>
    <w:rsid w:val="6721002E"/>
    <w:rsid w:val="676216F7"/>
    <w:rsid w:val="677AFB73"/>
    <w:rsid w:val="67B4B2D3"/>
    <w:rsid w:val="67E3FBCE"/>
    <w:rsid w:val="67F935A2"/>
    <w:rsid w:val="681ADCAD"/>
    <w:rsid w:val="683EA0D3"/>
    <w:rsid w:val="68A7C061"/>
    <w:rsid w:val="691C6AF4"/>
    <w:rsid w:val="69205222"/>
    <w:rsid w:val="698CCE2F"/>
    <w:rsid w:val="69B0E8DF"/>
    <w:rsid w:val="69EFC900"/>
    <w:rsid w:val="6A3B93A7"/>
    <w:rsid w:val="6A48D525"/>
    <w:rsid w:val="6A850047"/>
    <w:rsid w:val="6C2DCA4A"/>
    <w:rsid w:val="6C56070F"/>
    <w:rsid w:val="6C615970"/>
    <w:rsid w:val="6C685ECA"/>
    <w:rsid w:val="6C6FA088"/>
    <w:rsid w:val="6CDE8B35"/>
    <w:rsid w:val="6CFFE6CD"/>
    <w:rsid w:val="6D0F4743"/>
    <w:rsid w:val="6D297909"/>
    <w:rsid w:val="6D31AACB"/>
    <w:rsid w:val="6D94270B"/>
    <w:rsid w:val="6DB7AF43"/>
    <w:rsid w:val="6DDA121C"/>
    <w:rsid w:val="6E2F8C74"/>
    <w:rsid w:val="6E30D79B"/>
    <w:rsid w:val="6EC88A30"/>
    <w:rsid w:val="6F05258E"/>
    <w:rsid w:val="6F3D6732"/>
    <w:rsid w:val="6F4C307E"/>
    <w:rsid w:val="6F51E9A2"/>
    <w:rsid w:val="6F61023E"/>
    <w:rsid w:val="6F65BA2E"/>
    <w:rsid w:val="6F6C65C9"/>
    <w:rsid w:val="6F899AD3"/>
    <w:rsid w:val="701EBF3E"/>
    <w:rsid w:val="7029F7D2"/>
    <w:rsid w:val="70611045"/>
    <w:rsid w:val="7068259C"/>
    <w:rsid w:val="708EA066"/>
    <w:rsid w:val="70B3DCD0"/>
    <w:rsid w:val="70D4C397"/>
    <w:rsid w:val="70DFFEB0"/>
    <w:rsid w:val="70E4DF39"/>
    <w:rsid w:val="70F6B3F1"/>
    <w:rsid w:val="712AEF80"/>
    <w:rsid w:val="71D77AC5"/>
    <w:rsid w:val="724A8F60"/>
    <w:rsid w:val="72F94F96"/>
    <w:rsid w:val="73037BFE"/>
    <w:rsid w:val="73A25DBC"/>
    <w:rsid w:val="73AB86A4"/>
    <w:rsid w:val="73D85920"/>
    <w:rsid w:val="74314AC0"/>
    <w:rsid w:val="74465C00"/>
    <w:rsid w:val="74936970"/>
    <w:rsid w:val="74C92025"/>
    <w:rsid w:val="7505A003"/>
    <w:rsid w:val="7507B2B9"/>
    <w:rsid w:val="75264905"/>
    <w:rsid w:val="752723C0"/>
    <w:rsid w:val="75470C19"/>
    <w:rsid w:val="755A2FE2"/>
    <w:rsid w:val="7587E79C"/>
    <w:rsid w:val="75AB21C1"/>
    <w:rsid w:val="7626E027"/>
    <w:rsid w:val="7674DA57"/>
    <w:rsid w:val="769A2AF8"/>
    <w:rsid w:val="76D06DC8"/>
    <w:rsid w:val="770CA50E"/>
    <w:rsid w:val="777F1BBE"/>
    <w:rsid w:val="77AC1553"/>
    <w:rsid w:val="78096582"/>
    <w:rsid w:val="78514553"/>
    <w:rsid w:val="786FF0E5"/>
    <w:rsid w:val="790E700E"/>
    <w:rsid w:val="79404B10"/>
    <w:rsid w:val="79C6DE25"/>
    <w:rsid w:val="79E1C684"/>
    <w:rsid w:val="7A8078D6"/>
    <w:rsid w:val="7AB6EB62"/>
    <w:rsid w:val="7AE8A0B9"/>
    <w:rsid w:val="7B071813"/>
    <w:rsid w:val="7BD1CE24"/>
    <w:rsid w:val="7C1C2722"/>
    <w:rsid w:val="7C2E1B30"/>
    <w:rsid w:val="7C43F3C2"/>
    <w:rsid w:val="7CF67183"/>
    <w:rsid w:val="7D275D3F"/>
    <w:rsid w:val="7D426770"/>
    <w:rsid w:val="7DA982B5"/>
    <w:rsid w:val="7DBA41A0"/>
    <w:rsid w:val="7DE7E658"/>
    <w:rsid w:val="7E23E5F8"/>
    <w:rsid w:val="7E4A0F8B"/>
    <w:rsid w:val="7E7AF5B6"/>
    <w:rsid w:val="7E7D7409"/>
    <w:rsid w:val="7EAD7D99"/>
    <w:rsid w:val="7EF08041"/>
    <w:rsid w:val="7FABC3B2"/>
    <w:rsid w:val="7FE46B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1"/>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l"/>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ealthConsult,HTAtableplain,PBAC table,Dossier table,Summary Table,PHE Table Grid,Lash Style Table,Section 3- footnotes,Header Table Grid"/>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APTION"/>
    <w:next w:val="Normal"/>
    <w:link w:val="CaptionChar"/>
    <w:autoRedefine/>
    <w:qFormat/>
    <w:rsid w:val="00C00B91"/>
    <w:pPr>
      <w:keepNext/>
      <w:tabs>
        <w:tab w:val="left" w:pos="851"/>
      </w:tabs>
      <w:spacing w:before="240" w:after="0"/>
      <w:ind w:left="851" w:hanging="851"/>
      <w:contextualSpacing/>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uiPriority w:val="99"/>
    <w:rsid w:val="00BA3306"/>
    <w:pPr>
      <w:spacing w:before="0" w:after="0"/>
    </w:pPr>
    <w:rPr>
      <w:sz w:val="18"/>
      <w:szCs w:val="20"/>
    </w:rPr>
  </w:style>
  <w:style w:type="character" w:customStyle="1" w:styleId="FootnoteTextChar">
    <w:name w:val="Footnote Text Char"/>
    <w:basedOn w:val="DefaultParagraphFont"/>
    <w:link w:val="FootnoteText"/>
    <w:uiPriority w:val="99"/>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Table HEADER PBAC,-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qFormat/>
    <w:rsid w:val="00C00B91"/>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semiHidden/>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semiHidden/>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semiHidden/>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l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5"/>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Arial Narrow" w:hAnsi="Arial Narrow"/>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Arial Narrow" w:hAnsi="Arial Narrow"/>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Arial Narrow" w:hAnsi="Arial Narrow"/>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spacing w:after="120"/>
      <w:ind w:left="1077" w:hanging="1077"/>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7"/>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style>
  <w:style w:type="paragraph" w:customStyle="1" w:styleId="MainBodyBulletPoint">
    <w:name w:val="MainBody Bullet Point"/>
    <w:basedOn w:val="InstructionBulletpoint"/>
    <w:link w:val="MainBodyBulletPointChar"/>
    <w:uiPriority w:val="1"/>
    <w:qFormat/>
    <w:rsid w:val="002532B4"/>
    <w:pPr>
      <w:ind w:left="720" w:hanging="360"/>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6"/>
      </w:numPr>
    </w:pPr>
  </w:style>
  <w:style w:type="numbering" w:customStyle="1" w:styleId="Style2">
    <w:name w:val="Style2"/>
    <w:uiPriority w:val="99"/>
    <w:rsid w:val="002A391F"/>
    <w:pPr>
      <w:numPr>
        <w:numId w:val="9"/>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37"/>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1 Char,Comment Text Char Char Char,Comment Text Char1,- H19,Char1,Char2, Char1,Comment Text Char Char1,Comment Text Char2 Char Char,Comment Text Char Char1 Char Char,Comment Text Char2 Char Char Char Char"/>
    <w:basedOn w:val="Normal"/>
    <w:link w:val="CommentTextChar"/>
    <w:uiPriority w:val="99"/>
    <w:unhideWhenUsed/>
    <w:rsid w:val="001952BB"/>
    <w:rPr>
      <w:sz w:val="20"/>
      <w:szCs w:val="20"/>
    </w:rPr>
  </w:style>
  <w:style w:type="character" w:customStyle="1" w:styleId="CommentTextChar">
    <w:name w:val="Comment Text Char"/>
    <w:aliases w:val="Comment Text Char1 Char Char,Comment Text Char Char Char Char,Comment Text Char1 Char1,- H19 Char,Char1 Char,Char2 Char, Char1 Char,Comment Text Char Char1 Char,Comment Text Char2 Char Char Char,Comment Text Char Char1 Char Char Char"/>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rsid w:val="00FD07C6"/>
    <w:pPr>
      <w:numPr>
        <w:numId w:val="9"/>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3"/>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4"/>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styleId="UnresolvedMention">
    <w:name w:val="Unresolved Mention"/>
    <w:basedOn w:val="DefaultParagraphFont"/>
    <w:uiPriority w:val="99"/>
    <w:semiHidden/>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paragraph" w:customStyle="1" w:styleId="Default">
    <w:name w:val="Default"/>
    <w:rsid w:val="00C66AAF"/>
    <w:pPr>
      <w:autoSpaceDE w:val="0"/>
      <w:autoSpaceDN w:val="0"/>
      <w:adjustRightInd w:val="0"/>
      <w:spacing w:after="0" w:line="240" w:lineRule="auto"/>
    </w:pPr>
    <w:rPr>
      <w:rFonts w:ascii="Calibri" w:hAnsi="Calibri" w:cs="Calibri"/>
      <w:color w:val="000000"/>
      <w:sz w:val="24"/>
      <w:szCs w:val="24"/>
      <w:lang w:val="en-US"/>
    </w:rPr>
  </w:style>
  <w:style w:type="character" w:customStyle="1" w:styleId="CaptionFootnoteChar">
    <w:name w:val="Caption Footnote Char"/>
    <w:basedOn w:val="DefaultParagraphFont"/>
    <w:link w:val="CaptionFootnote"/>
    <w:rsid w:val="006A5418"/>
    <w:rPr>
      <w:rFonts w:eastAsia="Times New Roman" w:cs="Times New Roman"/>
      <w:kern w:val="28"/>
      <w:sz w:val="16"/>
      <w:szCs w:val="24"/>
      <w:lang w:eastAsia="en-GB"/>
    </w:rPr>
  </w:style>
  <w:style w:type="paragraph" w:customStyle="1" w:styleId="CaptionFootnote">
    <w:name w:val="Caption Footnote"/>
    <w:basedOn w:val="Normal"/>
    <w:link w:val="CaptionFootnoteChar"/>
    <w:qFormat/>
    <w:rsid w:val="006A5418"/>
    <w:pPr>
      <w:spacing w:before="0" w:after="0"/>
      <w:jc w:val="left"/>
    </w:pPr>
    <w:rPr>
      <w:rFonts w:eastAsia="Times New Roman" w:cs="Times New Roman"/>
      <w:kern w:val="28"/>
      <w:sz w:val="16"/>
      <w:szCs w:val="24"/>
      <w:lang w:eastAsia="en-GB"/>
    </w:rPr>
  </w:style>
  <w:style w:type="character" w:styleId="SubtleReference">
    <w:name w:val="Subtle Reference"/>
    <w:basedOn w:val="DefaultParagraphFont"/>
    <w:uiPriority w:val="31"/>
    <w:rsid w:val="008B30A5"/>
    <w:rPr>
      <w:smallCaps/>
    </w:rPr>
  </w:style>
  <w:style w:type="paragraph" w:customStyle="1" w:styleId="COMH3">
    <w:name w:val="COM H3"/>
    <w:basedOn w:val="Normal"/>
    <w:next w:val="Normal"/>
    <w:link w:val="COMH3Char"/>
    <w:qFormat/>
    <w:rsid w:val="00C75C91"/>
    <w:pPr>
      <w:keepNext/>
      <w:spacing w:before="0" w:after="240"/>
    </w:pPr>
    <w:rPr>
      <w:rFonts w:ascii="Calibri" w:eastAsia="Times New Roman" w:hAnsi="Calibri" w:cs="Arial"/>
      <w:b/>
      <w:iCs/>
      <w:sz w:val="28"/>
      <w:szCs w:val="24"/>
      <w:lang w:eastAsia="en-AU"/>
    </w:rPr>
  </w:style>
  <w:style w:type="character" w:customStyle="1" w:styleId="COMH3Char">
    <w:name w:val="COM H3 Char"/>
    <w:basedOn w:val="DefaultParagraphFont"/>
    <w:link w:val="COMH3"/>
    <w:rsid w:val="00C75C91"/>
    <w:rPr>
      <w:rFonts w:ascii="Calibri" w:eastAsia="Times New Roman" w:hAnsi="Calibri" w:cs="Arial"/>
      <w:b/>
      <w:iCs/>
      <w:sz w:val="28"/>
      <w:szCs w:val="24"/>
      <w:lang w:eastAsia="en-AU"/>
    </w:rPr>
  </w:style>
  <w:style w:type="paragraph" w:styleId="ListBullet">
    <w:name w:val="List Bullet"/>
    <w:basedOn w:val="Normal"/>
    <w:uiPriority w:val="99"/>
    <w:semiHidden/>
    <w:rsid w:val="00AE6F3B"/>
    <w:pPr>
      <w:contextualSpacing/>
    </w:pPr>
  </w:style>
  <w:style w:type="paragraph" w:customStyle="1" w:styleId="TableBullet">
    <w:name w:val="TableBullet"/>
    <w:basedOn w:val="ListBullet"/>
    <w:qFormat/>
    <w:rsid w:val="00DE06E8"/>
    <w:pPr>
      <w:tabs>
        <w:tab w:val="num" w:pos="432"/>
      </w:tabs>
      <w:suppressAutoHyphens/>
      <w:spacing w:before="0" w:after="40"/>
      <w:ind w:left="181" w:hanging="181"/>
      <w:jc w:val="left"/>
    </w:pPr>
    <w:rPr>
      <w:rFonts w:ascii="Calibri" w:eastAsia="Times New Roman" w:hAnsi="Calibri" w:cs="Times New Roman"/>
      <w:color w:val="000000"/>
      <w:sz w:val="18"/>
      <w:szCs w:val="20"/>
      <w:lang w:val="en-US"/>
    </w:rPr>
  </w:style>
  <w:style w:type="table" w:styleId="LightList-Accent6">
    <w:name w:val="Light List Accent 6"/>
    <w:basedOn w:val="TableNormal"/>
    <w:uiPriority w:val="61"/>
    <w:unhideWhenUsed/>
    <w:rsid w:val="00DE06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ListAlphabeticalLevel1">
    <w:name w:val="List Alphabetical Level 1"/>
    <w:basedOn w:val="Normal"/>
    <w:rsid w:val="00DE06E8"/>
    <w:pPr>
      <w:numPr>
        <w:numId w:val="25"/>
      </w:numPr>
      <w:spacing w:after="0"/>
      <w:jc w:val="left"/>
    </w:pPr>
    <w:rPr>
      <w:rFonts w:ascii="Times New Roman" w:eastAsia="MS Mincho" w:hAnsi="Times New Roman" w:cs="Times New Roman"/>
      <w:color w:val="000000"/>
      <w:szCs w:val="24"/>
      <w:lang w:val="en-US"/>
    </w:rPr>
  </w:style>
  <w:style w:type="paragraph" w:customStyle="1" w:styleId="ListNumberlast">
    <w:name w:val="List Number last"/>
    <w:basedOn w:val="ListNumber"/>
    <w:next w:val="Normal"/>
    <w:uiPriority w:val="99"/>
    <w:rsid w:val="00DE06E8"/>
    <w:pPr>
      <w:numPr>
        <w:numId w:val="0"/>
      </w:numPr>
      <w:spacing w:before="0" w:after="240" w:line="360" w:lineRule="auto"/>
      <w:ind w:left="360" w:hanging="360"/>
      <w:contextualSpacing w:val="0"/>
      <w:jc w:val="left"/>
    </w:pPr>
    <w:rPr>
      <w:rFonts w:ascii="Arial" w:eastAsia="Times New Roman" w:hAnsi="Arial" w:cs="Times New Roman"/>
      <w:szCs w:val="24"/>
      <w:lang w:val="en-GB"/>
    </w:rPr>
  </w:style>
  <w:style w:type="paragraph" w:styleId="ListNumber">
    <w:name w:val="List Number"/>
    <w:basedOn w:val="Normal"/>
    <w:uiPriority w:val="99"/>
    <w:semiHidden/>
    <w:rsid w:val="00DE06E8"/>
    <w:pPr>
      <w:numPr>
        <w:numId w:val="26"/>
      </w:numPr>
      <w:tabs>
        <w:tab w:val="num" w:pos="360"/>
      </w:tabs>
      <w:ind w:left="360"/>
      <w:contextualSpacing/>
    </w:pPr>
  </w:style>
  <w:style w:type="character" w:styleId="Mention">
    <w:name w:val="Mention"/>
    <w:basedOn w:val="DefaultParagraphFont"/>
    <w:uiPriority w:val="99"/>
    <w:unhideWhenUsed/>
    <w:rsid w:val="009B4D94"/>
    <w:rPr>
      <w:color w:val="2B579A"/>
      <w:shd w:val="clear" w:color="auto" w:fill="E1DFDD"/>
    </w:rPr>
  </w:style>
  <w:style w:type="paragraph" w:customStyle="1" w:styleId="TableLeft">
    <w:name w:val="Table Left"/>
    <w:basedOn w:val="Normal"/>
    <w:link w:val="TableLeftChar"/>
    <w:uiPriority w:val="99"/>
    <w:qFormat/>
    <w:rsid w:val="001D7710"/>
    <w:pPr>
      <w:spacing w:before="0" w:after="0"/>
      <w:jc w:val="left"/>
    </w:pPr>
    <w:rPr>
      <w:rFonts w:ascii="Calibri" w:eastAsiaTheme="majorEastAsia" w:hAnsi="Calibri" w:cstheme="majorBidi"/>
      <w:sz w:val="18"/>
      <w:lang w:bidi="en-US"/>
    </w:rPr>
  </w:style>
  <w:style w:type="character" w:customStyle="1" w:styleId="TableLeftChar">
    <w:name w:val="Table Left Char"/>
    <w:basedOn w:val="DefaultParagraphFont"/>
    <w:link w:val="TableLeft"/>
    <w:uiPriority w:val="99"/>
    <w:locked/>
    <w:rsid w:val="001D7710"/>
    <w:rPr>
      <w:rFonts w:ascii="Calibri" w:eastAsiaTheme="majorEastAsia" w:hAnsi="Calibri" w:cstheme="majorBidi"/>
      <w:sz w:val="18"/>
      <w:lang w:bidi="en-US"/>
    </w:rPr>
  </w:style>
  <w:style w:type="paragraph" w:customStyle="1" w:styleId="pf0">
    <w:name w:val="pf0"/>
    <w:basedOn w:val="Normal"/>
    <w:rsid w:val="003F5D6E"/>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01">
    <w:name w:val="cf01"/>
    <w:basedOn w:val="DefaultParagraphFont"/>
    <w:rsid w:val="003F5D6E"/>
    <w:rPr>
      <w:rFonts w:ascii="Segoe UI" w:hAnsi="Segoe UI" w:cs="Segoe UI" w:hint="default"/>
      <w:sz w:val="18"/>
      <w:szCs w:val="18"/>
    </w:rPr>
  </w:style>
  <w:style w:type="table" w:customStyle="1" w:styleId="Section3-footnot1">
    <w:name w:val="Section 3- footnot1"/>
    <w:basedOn w:val="TableNormal"/>
    <w:next w:val="TableGrid"/>
    <w:uiPriority w:val="59"/>
    <w:rsid w:val="0033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E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0013765">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72165928">
      <w:bodyDiv w:val="1"/>
      <w:marLeft w:val="0"/>
      <w:marRight w:val="0"/>
      <w:marTop w:val="0"/>
      <w:marBottom w:val="0"/>
      <w:divBdr>
        <w:top w:val="none" w:sz="0" w:space="0" w:color="auto"/>
        <w:left w:val="none" w:sz="0" w:space="0" w:color="auto"/>
        <w:bottom w:val="none" w:sz="0" w:space="0" w:color="auto"/>
        <w:right w:val="none" w:sz="0" w:space="0" w:color="auto"/>
      </w:divBdr>
    </w:div>
    <w:div w:id="79185736">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1217546">
      <w:bodyDiv w:val="1"/>
      <w:marLeft w:val="0"/>
      <w:marRight w:val="0"/>
      <w:marTop w:val="0"/>
      <w:marBottom w:val="0"/>
      <w:divBdr>
        <w:top w:val="none" w:sz="0" w:space="0" w:color="auto"/>
        <w:left w:val="none" w:sz="0" w:space="0" w:color="auto"/>
        <w:bottom w:val="none" w:sz="0" w:space="0" w:color="auto"/>
        <w:right w:val="none" w:sz="0" w:space="0" w:color="auto"/>
      </w:divBdr>
    </w:div>
    <w:div w:id="134419679">
      <w:bodyDiv w:val="1"/>
      <w:marLeft w:val="0"/>
      <w:marRight w:val="0"/>
      <w:marTop w:val="0"/>
      <w:marBottom w:val="0"/>
      <w:divBdr>
        <w:top w:val="none" w:sz="0" w:space="0" w:color="auto"/>
        <w:left w:val="none" w:sz="0" w:space="0" w:color="auto"/>
        <w:bottom w:val="none" w:sz="0" w:space="0" w:color="auto"/>
        <w:right w:val="none" w:sz="0" w:space="0" w:color="auto"/>
      </w:divBdr>
    </w:div>
    <w:div w:id="139276340">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80166355">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6045523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6081115">
      <w:bodyDiv w:val="1"/>
      <w:marLeft w:val="0"/>
      <w:marRight w:val="0"/>
      <w:marTop w:val="0"/>
      <w:marBottom w:val="0"/>
      <w:divBdr>
        <w:top w:val="none" w:sz="0" w:space="0" w:color="auto"/>
        <w:left w:val="none" w:sz="0" w:space="0" w:color="auto"/>
        <w:bottom w:val="none" w:sz="0" w:space="0" w:color="auto"/>
        <w:right w:val="none" w:sz="0" w:space="0" w:color="auto"/>
      </w:divBdr>
    </w:div>
    <w:div w:id="37277914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4739145">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321">
      <w:bodyDiv w:val="1"/>
      <w:marLeft w:val="0"/>
      <w:marRight w:val="0"/>
      <w:marTop w:val="0"/>
      <w:marBottom w:val="0"/>
      <w:divBdr>
        <w:top w:val="none" w:sz="0" w:space="0" w:color="auto"/>
        <w:left w:val="none" w:sz="0" w:space="0" w:color="auto"/>
        <w:bottom w:val="none" w:sz="0" w:space="0" w:color="auto"/>
        <w:right w:val="none" w:sz="0" w:space="0" w:color="auto"/>
      </w:divBdr>
    </w:div>
    <w:div w:id="546601521">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2998650">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79280717">
      <w:bodyDiv w:val="1"/>
      <w:marLeft w:val="0"/>
      <w:marRight w:val="0"/>
      <w:marTop w:val="0"/>
      <w:marBottom w:val="0"/>
      <w:divBdr>
        <w:top w:val="none" w:sz="0" w:space="0" w:color="auto"/>
        <w:left w:val="none" w:sz="0" w:space="0" w:color="auto"/>
        <w:bottom w:val="none" w:sz="0" w:space="0" w:color="auto"/>
        <w:right w:val="none" w:sz="0" w:space="0" w:color="auto"/>
      </w:divBdr>
    </w:div>
    <w:div w:id="685904523">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0804">
      <w:bodyDiv w:val="1"/>
      <w:marLeft w:val="0"/>
      <w:marRight w:val="0"/>
      <w:marTop w:val="0"/>
      <w:marBottom w:val="0"/>
      <w:divBdr>
        <w:top w:val="none" w:sz="0" w:space="0" w:color="auto"/>
        <w:left w:val="none" w:sz="0" w:space="0" w:color="auto"/>
        <w:bottom w:val="none" w:sz="0" w:space="0" w:color="auto"/>
        <w:right w:val="none" w:sz="0" w:space="0" w:color="auto"/>
      </w:divBdr>
    </w:div>
    <w:div w:id="762336703">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8085377">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25167109">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95048350">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28928549">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1787033">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0581">
      <w:bodyDiv w:val="1"/>
      <w:marLeft w:val="0"/>
      <w:marRight w:val="0"/>
      <w:marTop w:val="0"/>
      <w:marBottom w:val="0"/>
      <w:divBdr>
        <w:top w:val="none" w:sz="0" w:space="0" w:color="auto"/>
        <w:left w:val="none" w:sz="0" w:space="0" w:color="auto"/>
        <w:bottom w:val="none" w:sz="0" w:space="0" w:color="auto"/>
        <w:right w:val="none" w:sz="0" w:space="0" w:color="auto"/>
      </w:divBdr>
    </w:div>
    <w:div w:id="1067268827">
      <w:bodyDiv w:val="1"/>
      <w:marLeft w:val="0"/>
      <w:marRight w:val="0"/>
      <w:marTop w:val="0"/>
      <w:marBottom w:val="0"/>
      <w:divBdr>
        <w:top w:val="none" w:sz="0" w:space="0" w:color="auto"/>
        <w:left w:val="none" w:sz="0" w:space="0" w:color="auto"/>
        <w:bottom w:val="none" w:sz="0" w:space="0" w:color="auto"/>
        <w:right w:val="none" w:sz="0" w:space="0" w:color="auto"/>
      </w:divBdr>
    </w:div>
    <w:div w:id="1112438553">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17944957">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54644965">
      <w:bodyDiv w:val="1"/>
      <w:marLeft w:val="0"/>
      <w:marRight w:val="0"/>
      <w:marTop w:val="0"/>
      <w:marBottom w:val="0"/>
      <w:divBdr>
        <w:top w:val="none" w:sz="0" w:space="0" w:color="auto"/>
        <w:left w:val="none" w:sz="0" w:space="0" w:color="auto"/>
        <w:bottom w:val="none" w:sz="0" w:space="0" w:color="auto"/>
        <w:right w:val="none" w:sz="0" w:space="0" w:color="auto"/>
      </w:divBdr>
    </w:div>
    <w:div w:id="1156871508">
      <w:bodyDiv w:val="1"/>
      <w:marLeft w:val="0"/>
      <w:marRight w:val="0"/>
      <w:marTop w:val="0"/>
      <w:marBottom w:val="0"/>
      <w:divBdr>
        <w:top w:val="none" w:sz="0" w:space="0" w:color="auto"/>
        <w:left w:val="none" w:sz="0" w:space="0" w:color="auto"/>
        <w:bottom w:val="none" w:sz="0" w:space="0" w:color="auto"/>
        <w:right w:val="none" w:sz="0" w:space="0" w:color="auto"/>
      </w:divBdr>
    </w:div>
    <w:div w:id="1195315047">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9685469">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249662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6164614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21539422">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387872344">
      <w:bodyDiv w:val="1"/>
      <w:marLeft w:val="0"/>
      <w:marRight w:val="0"/>
      <w:marTop w:val="0"/>
      <w:marBottom w:val="0"/>
      <w:divBdr>
        <w:top w:val="none" w:sz="0" w:space="0" w:color="auto"/>
        <w:left w:val="none" w:sz="0" w:space="0" w:color="auto"/>
        <w:bottom w:val="none" w:sz="0" w:space="0" w:color="auto"/>
        <w:right w:val="none" w:sz="0" w:space="0" w:color="auto"/>
      </w:divBdr>
    </w:div>
    <w:div w:id="1399862237">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5227322">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4136944">
      <w:bodyDiv w:val="1"/>
      <w:marLeft w:val="0"/>
      <w:marRight w:val="0"/>
      <w:marTop w:val="0"/>
      <w:marBottom w:val="0"/>
      <w:divBdr>
        <w:top w:val="none" w:sz="0" w:space="0" w:color="auto"/>
        <w:left w:val="none" w:sz="0" w:space="0" w:color="auto"/>
        <w:bottom w:val="none" w:sz="0" w:space="0" w:color="auto"/>
        <w:right w:val="none" w:sz="0" w:space="0" w:color="auto"/>
      </w:divBdr>
    </w:div>
    <w:div w:id="1470829950">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59895674">
      <w:bodyDiv w:val="1"/>
      <w:marLeft w:val="0"/>
      <w:marRight w:val="0"/>
      <w:marTop w:val="0"/>
      <w:marBottom w:val="0"/>
      <w:divBdr>
        <w:top w:val="none" w:sz="0" w:space="0" w:color="auto"/>
        <w:left w:val="none" w:sz="0" w:space="0" w:color="auto"/>
        <w:bottom w:val="none" w:sz="0" w:space="0" w:color="auto"/>
        <w:right w:val="none" w:sz="0" w:space="0" w:color="auto"/>
      </w:divBdr>
    </w:div>
    <w:div w:id="1563054885">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1884805">
      <w:bodyDiv w:val="1"/>
      <w:marLeft w:val="0"/>
      <w:marRight w:val="0"/>
      <w:marTop w:val="0"/>
      <w:marBottom w:val="0"/>
      <w:divBdr>
        <w:top w:val="none" w:sz="0" w:space="0" w:color="auto"/>
        <w:left w:val="none" w:sz="0" w:space="0" w:color="auto"/>
        <w:bottom w:val="none" w:sz="0" w:space="0" w:color="auto"/>
        <w:right w:val="none" w:sz="0" w:space="0" w:color="auto"/>
      </w:divBdr>
    </w:div>
    <w:div w:id="1667511775">
      <w:bodyDiv w:val="1"/>
      <w:marLeft w:val="0"/>
      <w:marRight w:val="0"/>
      <w:marTop w:val="0"/>
      <w:marBottom w:val="0"/>
      <w:divBdr>
        <w:top w:val="none" w:sz="0" w:space="0" w:color="auto"/>
        <w:left w:val="none" w:sz="0" w:space="0" w:color="auto"/>
        <w:bottom w:val="none" w:sz="0" w:space="0" w:color="auto"/>
        <w:right w:val="none" w:sz="0" w:space="0" w:color="auto"/>
      </w:divBdr>
    </w:div>
    <w:div w:id="1668632899">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20133251">
      <w:bodyDiv w:val="1"/>
      <w:marLeft w:val="0"/>
      <w:marRight w:val="0"/>
      <w:marTop w:val="0"/>
      <w:marBottom w:val="0"/>
      <w:divBdr>
        <w:top w:val="none" w:sz="0" w:space="0" w:color="auto"/>
        <w:left w:val="none" w:sz="0" w:space="0" w:color="auto"/>
        <w:bottom w:val="none" w:sz="0" w:space="0" w:color="auto"/>
        <w:right w:val="none" w:sz="0" w:space="0" w:color="auto"/>
      </w:divBdr>
    </w:div>
    <w:div w:id="1750998915">
      <w:bodyDiv w:val="1"/>
      <w:marLeft w:val="0"/>
      <w:marRight w:val="0"/>
      <w:marTop w:val="0"/>
      <w:marBottom w:val="0"/>
      <w:divBdr>
        <w:top w:val="none" w:sz="0" w:space="0" w:color="auto"/>
        <w:left w:val="none" w:sz="0" w:space="0" w:color="auto"/>
        <w:bottom w:val="none" w:sz="0" w:space="0" w:color="auto"/>
        <w:right w:val="none" w:sz="0" w:space="0" w:color="auto"/>
      </w:divBdr>
    </w:div>
    <w:div w:id="1753504736">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18495185">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9825146">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334">
      <w:bodyDiv w:val="1"/>
      <w:marLeft w:val="0"/>
      <w:marRight w:val="0"/>
      <w:marTop w:val="0"/>
      <w:marBottom w:val="0"/>
      <w:divBdr>
        <w:top w:val="none" w:sz="0" w:space="0" w:color="auto"/>
        <w:left w:val="none" w:sz="0" w:space="0" w:color="auto"/>
        <w:bottom w:val="none" w:sz="0" w:space="0" w:color="auto"/>
        <w:right w:val="none" w:sz="0" w:space="0" w:color="auto"/>
      </w:divBdr>
    </w:div>
    <w:div w:id="1967658001">
      <w:bodyDiv w:val="1"/>
      <w:marLeft w:val="0"/>
      <w:marRight w:val="0"/>
      <w:marTop w:val="0"/>
      <w:marBottom w:val="0"/>
      <w:divBdr>
        <w:top w:val="none" w:sz="0" w:space="0" w:color="auto"/>
        <w:left w:val="none" w:sz="0" w:space="0" w:color="auto"/>
        <w:bottom w:val="none" w:sz="0" w:space="0" w:color="auto"/>
        <w:right w:val="none" w:sz="0" w:space="0" w:color="auto"/>
      </w:divBdr>
    </w:div>
    <w:div w:id="2014453540">
      <w:bodyDiv w:val="1"/>
      <w:marLeft w:val="0"/>
      <w:marRight w:val="0"/>
      <w:marTop w:val="0"/>
      <w:marBottom w:val="0"/>
      <w:divBdr>
        <w:top w:val="none" w:sz="0" w:space="0" w:color="auto"/>
        <w:left w:val="none" w:sz="0" w:space="0" w:color="auto"/>
        <w:bottom w:val="none" w:sz="0" w:space="0" w:color="auto"/>
        <w:right w:val="none" w:sz="0" w:space="0" w:color="auto"/>
      </w:divBdr>
    </w:div>
    <w:div w:id="2016376448">
      <w:bodyDiv w:val="1"/>
      <w:marLeft w:val="0"/>
      <w:marRight w:val="0"/>
      <w:marTop w:val="0"/>
      <w:marBottom w:val="0"/>
      <w:divBdr>
        <w:top w:val="none" w:sz="0" w:space="0" w:color="auto"/>
        <w:left w:val="none" w:sz="0" w:space="0" w:color="auto"/>
        <w:bottom w:val="none" w:sz="0" w:space="0" w:color="auto"/>
        <w:right w:val="none" w:sz="0" w:space="0" w:color="auto"/>
      </w:divBdr>
    </w:div>
    <w:div w:id="2019771523">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70227568">
      <w:bodyDiv w:val="1"/>
      <w:marLeft w:val="0"/>
      <w:marRight w:val="0"/>
      <w:marTop w:val="0"/>
      <w:marBottom w:val="0"/>
      <w:divBdr>
        <w:top w:val="none" w:sz="0" w:space="0" w:color="auto"/>
        <w:left w:val="none" w:sz="0" w:space="0" w:color="auto"/>
        <w:bottom w:val="none" w:sz="0" w:space="0" w:color="auto"/>
        <w:right w:val="none" w:sz="0" w:space="0" w:color="auto"/>
      </w:divBdr>
    </w:div>
    <w:div w:id="2100636133">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42066731">
      <w:bodyDiv w:val="1"/>
      <w:marLeft w:val="0"/>
      <w:marRight w:val="0"/>
      <w:marTop w:val="0"/>
      <w:marBottom w:val="0"/>
      <w:divBdr>
        <w:top w:val="none" w:sz="0" w:space="0" w:color="auto"/>
        <w:left w:val="none" w:sz="0" w:space="0" w:color="auto"/>
        <w:bottom w:val="none" w:sz="0" w:space="0" w:color="auto"/>
        <w:right w:val="none" w:sz="0" w:space="0" w:color="auto"/>
      </w:divBdr>
    </w:div>
    <w:div w:id="21441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ac.gov.au/internet/msac/publishing.nsf/Content/Hom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ac.gov.au/applications/17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Ban20</b:Tag>
    <b:SourceType>JournalArticle</b:SourceType>
    <b:Guid>{443C0631-99D2-46A1-85A1-98849FC4D76F}</b:Guid>
    <b:Title>Cholangiocarcinoma 2020: the next horizon in mechanisms and management.</b:Title>
    <b:JournalName>Nat Rev Gastroenterol Hepatol.</b:JournalName>
    <b:Year>2020</b:Year>
    <b:Pages>17(9):557-588</b:Pages>
    <b:Author>
      <b:Author>
        <b:NameList>
          <b:Person>
            <b:Last>Banales</b:Last>
            <b:First>J</b:First>
            <b:Middle>M</b:Middle>
          </b:Person>
          <b:Person>
            <b:Last>Marin</b:Last>
            <b:First>J</b:First>
            <b:Middle>JG</b:Middle>
          </b:Person>
          <b:Person>
            <b:Last>Lamarca</b:Last>
            <b:First>A</b:First>
          </b:Person>
          <b:Person>
            <b:Last>Rodrigues</b:Last>
            <b:First>P</b:First>
          </b:Person>
          <b:Person>
            <b:Last>Khan</b:Last>
            <b:First>S</b:First>
          </b:Person>
          <b:Person>
            <b:Last>al</b:Last>
            <b:First>et</b:First>
          </b:Person>
        </b:NameList>
      </b:Author>
    </b:Author>
    <b:RefOrder>4</b:RefOrder>
  </b:Source>
  <b:Source>
    <b:Tag>How20</b:Tag>
    <b:SourceType>InternetSite</b:SourceType>
    <b:Guid>{71D16F9D-556E-43E5-9229-3FCA5B3CE438}</b:Guid>
    <b:Title>SEER Cancer Statistics Review, 1975-2017</b:Title>
    <b:Year>2020</b:Year>
    <b:InternetSiteTitle>SEER</b:InternetSiteTitle>
    <b:Month>April</b:Month>
    <b:URL>https://seer.cancer.gov/archive/csr/1975_2017/</b:URL>
    <b:Author>
      <b:Author>
        <b:NameList>
          <b:Person>
            <b:Last>Howlader</b:Last>
            <b:First>N</b:First>
          </b:Person>
          <b:Person>
            <b:Last>Noone</b:Last>
            <b:Middle>M</b:Middle>
            <b:First>A</b:First>
          </b:Person>
          <b:Person>
            <b:Last>Krapcho</b:Last>
            <b:First>M</b:First>
          </b:Person>
          <b:Person>
            <b:Last>Miller</b:Last>
            <b:First>D</b:First>
          </b:Person>
          <b:Person>
            <b:Last>Brest</b:Last>
            <b:First>A</b:First>
          </b:Person>
          <b:Person>
            <b:Last>et al</b:Last>
          </b:Person>
        </b:NameList>
      </b:Author>
    </b:Author>
    <b:RefOrder>5</b:RefOrder>
  </b:Source>
  <b:Source>
    <b:Tag>Hah20</b:Tag>
    <b:SourceType>JournalArticle</b:SourceType>
    <b:Guid>{12111D9D-1130-4B2D-A207-2A93555BB9D2}</b:Guid>
    <b:Title>Distant Metastases in Patients with Intrahepatic Cholangiocarcinoma: Does Location Matter? A Retrospective Analysis of 370 Patients</b:Title>
    <b:JournalName>J Oncol</b:JournalName>
    <b:Year>2020</b:Year>
    <b:Pages>7195373</b:Pages>
    <b:Author>
      <b:Author>
        <b:NameList>
          <b:Person>
            <b:Last>Hahn</b:Last>
            <b:First>F</b:First>
          </b:Person>
          <b:Person>
            <b:Last>Muller</b:Last>
            <b:First>L</b:First>
          </b:Person>
          <b:Person>
            <b:Last>Mahringer-Kunz</b:Last>
            <b:First>A</b:First>
          </b:Person>
          <b:Person>
            <b:Last>Tanyildizi</b:Last>
            <b:First>Y</b:First>
          </b:Person>
          <b:Person>
            <b:Last>Pinto dos Santos</b:Last>
            <b:First>D</b:First>
          </b:Person>
          <b:Person>
            <b:Last>et al</b:Last>
          </b:Person>
        </b:NameList>
      </b:Author>
    </b:Author>
    <b:RefOrder>6</b:RefOrder>
  </b:Source>
  <b:Source>
    <b:Tag>Maz20</b:Tag>
    <b:SourceType>JournalArticle</b:SourceType>
    <b:Guid>{1BC85506-3611-43E0-A76C-7A9EFFA3168B}</b:Guid>
    <b:Author>
      <b:Author>
        <b:NameList>
          <b:Person>
            <b:Last>Mazzaferro</b:Last>
            <b:First>V</b:First>
          </b:Person>
          <b:Person>
            <b:Last>Gorgen</b:Last>
            <b:First>A</b:First>
          </b:Person>
          <b:Person>
            <b:Last>Roayaie</b:Last>
            <b:First>S</b:First>
          </b:Person>
          <b:Person>
            <b:Last>Droz Dit Busset</b:Last>
            <b:First>M</b:First>
          </b:Person>
          <b:Person>
            <b:Last>Sapisochin</b:Last>
            <b:First>G.</b:First>
          </b:Person>
        </b:NameList>
      </b:Author>
    </b:Author>
    <b:Title>Liver resection and transplantation for intrahepatic cholangiocarcinoma</b:Title>
    <b:JournalName>Journal of hepatology</b:JournalName>
    <b:Year>2020</b:Year>
    <b:Pages>72(2):364-377</b:Pages>
    <b:RefOrder>7</b:RefOrder>
  </b:Source>
  <b:Source>
    <b:Tag>Izq22</b:Tag>
    <b:SourceType>JournalArticle</b:SourceType>
    <b:Guid>{0D55BD5D-57B7-45EB-8E4C-519062744504}</b:Guid>
    <b:Title>Cholangiocarcinoma landscape in Europe: Diagnostic, prognostic and therapeutic insights from the ENSCCA Registry</b:Title>
    <b:JournalName>J Hepatol</b:JournalName>
    <b:Year>2022</b:Year>
    <b:Pages>76(5):1109-1121</b:Pages>
    <b:Author>
      <b:Author>
        <b:NameList>
          <b:Person>
            <b:Last>Izquierdo-Sanchez</b:Last>
            <b:First>L</b:First>
          </b:Person>
          <b:Person>
            <b:Last>Lamarca</b:Last>
            <b:First>A</b:First>
          </b:Person>
          <b:Person>
            <b:Last>La Casta</b:Last>
            <b:First>A</b:First>
          </b:Person>
          <b:Person>
            <b:Last>Buettner</b:Last>
            <b:First>S</b:First>
          </b:Person>
          <b:Person>
            <b:Last>Utpatel</b:Last>
            <b:First>K</b:First>
          </b:Person>
          <b:Person>
            <b:Last>et al</b:Last>
          </b:Person>
        </b:NameList>
      </b:Author>
    </b:Author>
    <b:RefOrder>8</b:RefOrder>
  </b:Source>
  <b:Source>
    <b:Tag>Han19</b:Tag>
    <b:SourceType>JournalArticle</b:SourceType>
    <b:Guid>{919F9935-A72B-456F-B609-D72026641224}</b:Guid>
    <b:Title>Cholangiocarcinoma: anatomical location-dependent clinical, prognostic, and genetic disparities</b:Title>
    <b:JournalName>Ann Tansl Med</b:JournalName>
    <b:Year>2019</b:Year>
    <b:Pages>7(23): 744</b:Pages>
    <b:Author>
      <b:Author>
        <b:NameList>
          <b:Person>
            <b:Last>Hang</b:Last>
            <b:First>H</b:First>
          </b:Person>
          <b:Person>
            <b:Last>Jeong</b:Last>
            <b:First>S</b:First>
          </b:Person>
          <b:Person>
            <b:Last>Sha</b:Last>
            <b:First>M</b:First>
          </b:Person>
          <b:Person>
            <b:Last>Kong</b:Last>
            <b:First>D</b:First>
          </b:Person>
          <b:Person>
            <b:Last>Xi</b:Last>
            <b:First>Z</b:First>
          </b:Person>
          <b:Person>
            <b:Last>et al</b:Last>
          </b:Person>
        </b:NameList>
      </b:Author>
    </b:Author>
    <b:RefOrder>9</b:RefOrder>
  </b:Source>
  <b:Source xmlns:b="http://schemas.openxmlformats.org/officeDocument/2006/bibliography">
    <b:Tag>Gor17</b:Tag>
    <b:SourceType>JournalArticle</b:SourceType>
    <b:Guid>{FE31AF82-E636-4B56-9DDC-73A3CC32B418}</b:Guid>
    <b:Title>Cholangiocarcinoma: New Insights</b:Title>
    <b:JournalName>APJCP</b:JournalName>
    <b:Year>2017</b:Year>
    <b:Pages>18(6):1469-1473</b:Pages>
    <b:Author>
      <b:Author>
        <b:NameList>
          <b:Person>
            <b:Last>Goral</b:Last>
            <b:First>V</b:First>
          </b:Person>
        </b:NameList>
      </b:Author>
    </b:Author>
    <b:RefOrder>10</b:RefOrder>
  </b:Source>
  <b:Source>
    <b:Tag>Val21</b:Tag>
    <b:SourceType>JournalArticle</b:SourceType>
    <b:Guid>{ED43C7DA-FB44-4895-88CB-DF6AD722FCAA}</b:Guid>
    <b:Title>Biliary tract cancer</b:Title>
    <b:Year>2021</b:Year>
    <b:JournalName>Lancet</b:JournalName>
    <b:Pages>397(10272):428-444</b:Pages>
    <b:Author>
      <b:Author>
        <b:NameList>
          <b:Person>
            <b:Last>Valle</b:Last>
            <b:First>JW</b:First>
          </b:Person>
          <b:Person>
            <b:Last>Kelley</b:Last>
            <b:First>RK</b:First>
          </b:Person>
          <b:Person>
            <b:Last>Nervi</b:Last>
            <b:First>B</b:First>
          </b:Person>
          <b:Person>
            <b:Last>Oh</b:Last>
            <b:First>DY</b:First>
          </b:Person>
          <b:Person>
            <b:Last>Zhu</b:Last>
            <b:First>AX</b:First>
          </b:Person>
        </b:NameList>
      </b:Author>
    </b:Author>
    <b:RefOrder>11</b:RefOrder>
  </b:Source>
  <b:Source>
    <b:Tag>Kha19</b:Tag>
    <b:SourceType>JournalArticle</b:SourceType>
    <b:Guid>{FA3946B2-AAA7-467F-9814-AC764DC04BED}</b:Guid>
    <b:Author>
      <b:Author>
        <b:NameList>
          <b:Person>
            <b:Last>Khan</b:Last>
            <b:First>SA</b:First>
          </b:Person>
          <b:Person>
            <b:Last>Tavolari</b:Last>
            <b:First>S</b:First>
          </b:Person>
          <b:Person>
            <b:Last>Brandi</b:Last>
            <b:First>G</b:First>
          </b:Person>
        </b:NameList>
      </b:Author>
    </b:Author>
    <b:Title>Cholangiocarcinoma: Epidemiology and risk factors</b:Title>
    <b:JournalName>Liver international : official journal of the International Association for the Study of the Liver</b:JournalName>
    <b:Year>2019</b:Year>
    <b:Pages>39 Suppl 1:19-31</b:Pages>
    <b:RefOrder>12</b:RefOrder>
  </b:Source>
  <b:Source>
    <b:Tag>NCC231</b:Tag>
    <b:SourceType>JournalArticle</b:SourceType>
    <b:Guid>{63162351-7C19-42AC-B457-5B0A57FB0865}</b:Guid>
    <b:Author>
      <b:Author>
        <b:Corporate>NCCN</b:Corporate>
      </b:Author>
    </b:Author>
    <b:Title>Biliary Tract Cancers Version 3.2024</b:Title>
    <b:Year>2024</b:Year>
    <b:RefOrder>13</b:RefOrder>
  </b:Source>
  <b:Source>
    <b:Tag>Muk18</b:Tag>
    <b:SourceType>JournalArticle</b:SourceType>
    <b:Guid>{E76E41A4-4393-4ECA-B24A-3FA4706DB735}</b:Guid>
    <b:Author>
      <b:Author>
        <b:NameList>
          <b:Person>
            <b:Last>Mukkamalla</b:Last>
            <b:First>SKR</b:First>
          </b:Person>
          <b:Person>
            <b:Last>Naseri</b:Last>
            <b:First>HM</b:First>
          </b:Person>
          <b:Person>
            <b:Last>Kim</b:Last>
            <b:First>BM</b:First>
          </b:Person>
          <b:Person>
            <b:Last>Katz</b:Last>
            <b:First>SC</b:First>
          </b:Person>
          <b:Person>
            <b:Last>Armenio</b:Last>
            <b:First>VA</b:First>
          </b:Person>
        </b:NameList>
      </b:Author>
    </b:Author>
    <b:Title>Trends in Incidence and Factors Affecting Survival of Patients With Cholangiocarcinoma in the United States. </b:Title>
    <b:JournalName>JNCCN</b:JournalName>
    <b:Year>2018</b:Year>
    <b:Pages>16(4):370-376</b:Pages>
    <b:RefOrder>14</b:RefOrder>
  </b:Source>
  <b:Source>
    <b:Tag>Riz18</b:Tag>
    <b:SourceType>JournalArticle</b:SourceType>
    <b:Guid>{7E34D504-64EF-4355-AE7B-EB71846571C2}</b:Guid>
    <b:Author>
      <b:Author>
        <b:NameList>
          <b:Person>
            <b:Last>Ilyas</b:Last>
            <b:First>S</b:First>
            <b:Middle>I</b:Middle>
          </b:Person>
          <b:Person>
            <b:Last>Khan</b:Last>
            <b:First>SA</b:First>
          </b:Person>
          <b:Person>
            <b:Last>Hallemeier</b:Last>
            <b:First>CL</b:First>
          </b:Person>
          <b:Person>
            <b:Last>Kelley</b:Last>
            <b:First>RK</b:First>
          </b:Person>
          <b:Person>
            <b:Last>Gores</b:Last>
            <b:First>GJ</b:First>
          </b:Person>
        </b:NameList>
      </b:Author>
    </b:Author>
    <b:Title>Cholangiocarcinoma - evolving concepts and therapeutic strategies</b:Title>
    <b:JournalName>Nat Rev Clin Oncol</b:JournalName>
    <b:Year>2018</b:Year>
    <b:Pages>15(2):95-111</b:Pages>
    <b:RefOrder>15</b:RefOrder>
  </b:Source>
  <b:Source>
    <b:Tag>Val10</b:Tag>
    <b:SourceType>JournalArticle</b:SourceType>
    <b:Guid>{8F4C5903-E52E-4014-AD27-98D98BD03A0A}</b:Guid>
    <b:Title>Cisplatin plus gemcitabine versus gemcitabine for biliary tract cancer</b:Title>
    <b:JournalName>N Engl J Med</b:JournalName>
    <b:Year>2010</b:Year>
    <b:Pages>362(14):1273-81</b:Pages>
    <b:Author>
      <b:Author>
        <b:NameList>
          <b:Person>
            <b:Last>Valle</b:Last>
            <b:First>J</b:First>
          </b:Person>
          <b:Person>
            <b:Last>Wasan</b:Last>
            <b:First>H</b:First>
          </b:Person>
          <b:Person>
            <b:Last>Palmer</b:Last>
            <b:First>D</b:First>
            <b:Middle>H</b:Middle>
          </b:Person>
          <b:Person>
            <b:Last>Cunningham</b:Last>
            <b:First>D</b:First>
          </b:Person>
          <b:Person>
            <b:Last>Anthoney</b:Last>
            <b:First>A</b:First>
          </b:Person>
          <b:Person>
            <b:Last>al</b:Last>
            <b:First>et</b:First>
          </b:Person>
        </b:NameList>
      </b:Author>
    </b:Author>
    <b:RefOrder>16</b:RefOrder>
  </b:Source>
  <b:Source>
    <b:Tag>OhD22</b:Tag>
    <b:SourceType>JournalArticle</b:SourceType>
    <b:Guid>{AB24E43C-4958-4DBD-9C36-168CFB9B053E}</b:Guid>
    <b:Title>Durvalumab plus Gemcitabine and Cisplatin in Advanced Biliary Tract Cancer</b:Title>
    <b:JournalName>NEJM Evid</b:JournalName>
    <b:Year>2022</b:Year>
    <b:Pages>1(8)</b:Pages>
    <b:Author>
      <b:Author>
        <b:NameList>
          <b:Person>
            <b:Last>Oh</b:Last>
            <b:First>DY</b:First>
          </b:Person>
          <b:Person>
            <b:Last>He</b:Last>
            <b:Middle>R</b:Middle>
            <b:First>A</b:First>
          </b:Person>
          <b:Person>
            <b:Last>Qin</b:Last>
            <b:First>S</b:First>
          </b:Person>
          <b:Person>
            <b:Last>Chen</b:Last>
            <b:First>LT</b:First>
          </b:Person>
          <b:Person>
            <b:Last>O</b:Last>
            <b:First>T</b:First>
          </b:Person>
          <b:Person>
            <b:Last>et al</b:Last>
          </b:Person>
        </b:NameList>
      </b:Author>
    </b:Author>
    <b:RefOrder>17</b:RefOrder>
  </b:Source>
  <b:Source>
    <b:Tag>Lam14</b:Tag>
    <b:SourceType>JournalArticle</b:SourceType>
    <b:Guid>{2C80A390-5465-482A-A47F-D5D76EAD42BE}</b:Guid>
    <b:Title>Second-line chemotherapy in advanced biliary cancer: a systematic review</b:Title>
    <b:JournalName>Ann Oncol</b:JournalName>
    <b:Year>2014</b:Year>
    <b:Pages>25(12):2328-2338</b:Pages>
    <b:Author>
      <b:Author>
        <b:NameList>
          <b:Person>
            <b:Last>Lamarca</b:Last>
            <b:First>A</b:First>
          </b:Person>
          <b:Person>
            <b:Last>Hubner</b:Last>
            <b:First>RA</b:First>
          </b:Person>
          <b:Person>
            <b:Last>David Ryder</b:Last>
            <b:First>W</b:First>
          </b:Person>
          <b:Person>
            <b:Last>Valle</b:Last>
            <b:First>JW</b:First>
          </b:Person>
        </b:NameList>
      </b:Author>
    </b:Author>
    <b:RefOrder>18</b:RefOrder>
  </b:Source>
  <b:Source>
    <b:Tag>Lam212</b:Tag>
    <b:SourceType>JournalArticle</b:SourceType>
    <b:Guid>{B953C2C9-A93A-4AF3-9384-A9C7FD7CA2C1}</b:Guid>
    <b:Title>Second-line FOLFOX chemotherapy versus active symptom control for advanced biliary tract cancer (ABC-06): a phase 3, open-label, randomised, controlled trial</b:Title>
    <b:JournalName>Lancet Oncol</b:JournalName>
    <b:Year>2021</b:Year>
    <b:Pages>22: 690–701</b:Pages>
    <b:Author>
      <b:Author>
        <b:NameList>
          <b:Person>
            <b:Last>Lamarca</b:Last>
            <b:First>A</b:First>
          </b:Person>
          <b:Person>
            <b:Last>Palmer</b:Last>
            <b:Middle>H</b:Middle>
            <b:First>D</b:First>
          </b:Person>
          <b:Person>
            <b:Last>Wasan</b:Last>
            <b:Middle>S</b:Middle>
            <b:First>H</b:First>
          </b:Person>
          <b:Person>
            <b:Last>Ross</b:Last>
            <b:Middle>J</b:Middle>
            <b:First>P</b:First>
          </b:Person>
          <b:Person>
            <b:Last>Ma</b:Last>
            <b:Middle>T</b:Middle>
            <b:First>Y</b:First>
          </b:Person>
          <b:Person>
            <b:Last>et al</b:Last>
          </b:Person>
        </b:NameList>
      </b:Author>
    </b:Author>
    <b:RefOrder>19</b:RefOrder>
  </b:Source>
  <b:Source>
    <b:Tag>Placeholder1</b:Tag>
    <b:SourceType>JournalArticle</b:SourceType>
    <b:Guid>{CCC54EF2-3F9E-4D54-8BBA-9F24C3ACBF1E}</b:Guid>
    <b:Author>
      <b:Author>
        <b:NameList>
          <b:Person>
            <b:Last>Goyal</b:Last>
            <b:First>L</b:First>
          </b:Person>
          <b:Person>
            <b:Last>Meric‑Bernstam</b:Last>
            <b:First>F</b:First>
          </b:Person>
          <b:Person>
            <b:Last>Hollebecque</b:Last>
            <b:First>A</b:First>
          </b:Person>
          <b:Person>
            <b:Last>Valle</b:Last>
            <b:First>JW</b:First>
          </b:Person>
          <b:Person>
            <b:Last>Morizane</b:Last>
            <b:First>C.</b:First>
          </b:Person>
          <b:Person>
            <b:Last>et al</b:Last>
          </b:Person>
        </b:NameList>
      </b:Author>
    </b:Author>
    <b:Title>Futibatinib for FGFR2-Rearranged Intrahepatic Cholangiocarcinoma</b:Title>
    <b:JournalName>N Engl J Med</b:JournalName>
    <b:Year>2023</b:Year>
    <b:Pages>228-39</b:Pages>
    <b:Volume>388</b:Volume>
    <b:RefOrder>20</b:RefOrder>
  </b:Source>
  <b:Source>
    <b:Tag>Zab13</b:Tag>
    <b:SourceType>JournalArticle</b:SourceType>
    <b:Guid>{EB343354-47C4-4B18-8B03-3C5B8EECD79E}</b:Guid>
    <b:Title>The challenge of cholangiocarcinoma: dissecting the molecular mechanisms of an insidious cancer</b:Title>
    <b:JournalName>Disease models and mechanisms</b:JournalName>
    <b:Year>2013</b:Year>
    <b:Pages>6(2):281-292</b:Pages>
    <b:Author>
      <b:Author>
        <b:NameList>
          <b:Person>
            <b:Last>Zabron</b:Last>
            <b:First>A</b:First>
          </b:Person>
          <b:Person>
            <b:Last>Edwards</b:Last>
            <b:First>RJ</b:First>
          </b:Person>
          <b:Person>
            <b:Last>Khan</b:Last>
            <b:First>SA</b:First>
          </b:Person>
        </b:NameList>
      </b:Author>
    </b:Author>
    <b:RefOrder>21</b:RefOrder>
  </b:Source>
  <b:Source>
    <b:Tag>Lam20</b:Tag>
    <b:SourceType>JournalArticle</b:SourceType>
    <b:Guid>{E9740C3A-ADC4-4616-844C-76A620D42839}</b:Guid>
    <b:Title>Advanced Intrahepatic Cholangiocarcinoma: Post Hoc Analysis of the ABC-01, -02, and -03 Clinical Trials</b:Title>
    <b:JournalName>J Natl Cancer Inst</b:JournalName>
    <b:Year>2020</b:Year>
    <b:Pages>112(2):200-210</b:Pages>
    <b:Author>
      <b:Author>
        <b:NameList>
          <b:Person>
            <b:Last>Lamarca</b:Last>
            <b:First>A</b:First>
          </b:Person>
          <b:Person>
            <b:Last>Ross</b:Last>
            <b:First>P</b:First>
          </b:Person>
          <b:Person>
            <b:Last>Wasan</b:Last>
            <b:Middle>S</b:Middle>
            <b:First>H</b:First>
          </b:Person>
          <b:Person>
            <b:Last>Huber</b:Last>
            <b:Middle>A</b:Middle>
            <b:First>R</b:First>
          </b:Person>
          <b:Person>
            <b:Last>McNamara</b:Last>
            <b:Middle>G</b:Middle>
            <b:First>M</b:First>
          </b:Person>
          <b:Person>
            <b:Last>et al</b:Last>
          </b:Person>
        </b:NameList>
      </b:Author>
    </b:Author>
    <b:RefOrder>22</b:RefOrder>
  </b:Source>
  <b:Source>
    <b:Tag>Goy21</b:Tag>
    <b:SourceType>JournalArticle</b:SourceType>
    <b:Guid>{6ADA5B9C-AF9C-4927-A620-728E281CB449}</b:Guid>
    <b:Title>Targeting FGFR inhibition in cholangiocarcinoma</b:Title>
    <b:JournalName>Cancer Treat Rev</b:JournalName>
    <b:Year>2021</b:Year>
    <b:Pages>95:102170</b:Pages>
    <b:Author>
      <b:Author>
        <b:NameList>
          <b:Person>
            <b:Last>Goyal</b:Last>
            <b:First>L</b:First>
          </b:Person>
          <b:Person>
            <b:Last>Kongpetch</b:Last>
            <b:First>S</b:First>
          </b:Person>
          <b:Person>
            <b:Last>Crolley</b:Last>
            <b:Middle>E</b:Middle>
            <b:First>V</b:First>
          </b:Person>
          <b:Person>
            <b:Last>Bridgewater</b:Last>
            <b:First>J</b:First>
          </b:Person>
        </b:NameList>
      </b:Author>
    </b:Author>
    <b:RefOrder>23</b:RefOrder>
  </b:Source>
  <b:Source>
    <b:Tag>Goy20</b:Tag>
    <b:SourceType>JournalArticle</b:SourceType>
    <b:Guid>{CDC45CA2-4990-421A-AA6C-4440C7CB5DD3}</b:Guid>
    <b:Title>The natural history of fibroblast growth factor receptor (FGFR)-altered cholangiocarcinoma (CCA).</b:Title>
    <b:JournalName>J Clin Oncol</b:JournalName>
    <b:Year>2020</b:Year>
    <b:Pages>38(15_suppl):e16686-e16686</b:Pages>
    <b:Author>
      <b:Author>
        <b:NameList>
          <b:Person>
            <b:Last>Goyal</b:Last>
            <b:First>L</b:First>
          </b:Person>
          <b:Person>
            <b:Last>Lamarca</b:Last>
            <b:First>A</b:First>
          </b:Person>
          <b:Person>
            <b:Last>Strickler</b:Last>
            <b:Middle>H</b:Middle>
            <b:First>J</b:First>
          </b:Person>
          <b:Person>
            <b:Last>Cecchini</b:Last>
            <b:First>M</b:First>
          </b:Person>
          <b:Person>
            <b:Last>Ahn</b:Last>
            <b:Middle>A</b:Middle>
            <b:First>D</b:First>
          </b:Person>
          <b:Person>
            <b:Last>et al</b:Last>
          </b:Person>
        </b:NameList>
      </b:Author>
    </b:Author>
    <b:RefOrder>24</b:RefOrder>
  </b:Source>
  <b:Source>
    <b:Tag>Hel16</b:Tag>
    <b:SourceType>JournalArticle</b:SourceType>
    <b:Guid>{12293A73-381A-4B51-ACDD-45C24E74F5FD}</b:Guid>
    <b:Author>
      <b:Author>
        <b:NameList>
          <b:Person>
            <b:Last>Helsten</b:Last>
            <b:First>T</b:First>
          </b:Person>
          <b:Person>
            <b:Last>Elkin</b:Last>
            <b:First>S</b:First>
          </b:Person>
          <b:Person>
            <b:Last>Arthur</b:Last>
            <b:First>E</b:First>
          </b:Person>
          <b:Person>
            <b:Last>Tomson</b:Last>
            <b:First>BN</b:First>
          </b:Person>
          <b:Person>
            <b:Last>Carter</b:Last>
            <b:First>J</b:First>
          </b:Person>
          <b:Person>
            <b:Last>Kurzrock</b:Last>
            <b:First>R.</b:First>
          </b:Person>
        </b:NameList>
      </b:Author>
    </b:Author>
    <b:Title>The FGFR Landscape in Cancer: Analysis of 4,853 Tumors by Next-Generation Sequencing</b:Title>
    <b:JournalName>Clinical Cancer Research</b:JournalName>
    <b:Year>2016</b:Year>
    <b:Pages>22(1):259-267</b:Pages>
    <b:RefOrder>25</b:RefOrder>
  </b:Source>
  <b:Source>
    <b:Tag>Dab19</b:Tag>
    <b:SourceType>JournalArticle</b:SourceType>
    <b:Guid>{357DD05E-FA65-4BA8-91E4-400521F9538B}</b:Guid>
    <b:Title>Molecular pathways and targeted therapy in cholangiocarcinoma</b:Title>
    <b:JournalName>Clin Adv Hematol Oncol</b:JournalName>
    <b:Year>2019</b:Year>
    <b:Pages>17(11):630-637</b:Pages>
    <b:Author>
      <b:Author>
        <b:NameList>
          <b:Person>
            <b:Last>Dabney</b:Last>
            <b:First>R</b:First>
            <b:Middle>S</b:Middle>
          </b:Person>
          <b:Person>
            <b:Last>Khalife</b:Last>
            <b:First>M</b:First>
          </b:Person>
          <b:Person>
            <b:Last>Shahid</b:Last>
            <b:First>K</b:First>
          </b:Person>
          <b:Person>
            <b:Last>Phan</b:Last>
            <b:First>A</b:First>
            <b:Middle>T</b:Middle>
          </b:Person>
        </b:NameList>
      </b:Author>
    </b:Author>
    <b:RefOrder>26</b:RefOrder>
  </b:Source>
  <b:Source>
    <b:Tag>ESM21</b:Tag>
    <b:SourceType>Report</b:SourceType>
    <b:Guid>{D371C757-E784-49B5-B42C-884E8A79C866}</b:Guid>
    <b:Author>
      <b:Author>
        <b:Corporate>ESMO</b:Corporate>
      </b:Author>
    </b:Author>
    <b:Title>FGFR2 Fusions Testing in Intrahepatic Cholangiocarcinoma: ESMO Biomarker Fact Sheet</b:Title>
    <b:Year>2021</b:Year>
    <b:YearAccessed>2022</b:YearAccessed>
    <b:MonthAccessed>March</b:MonthAccessed>
    <b:URL>https://oncologypro.esmo.org/education-library/factsheets-on-biomarkers/fgfr2-fusions-testing-in-intrahepatic-cholangiocarcinoma</b:URL>
    <b:RefOrder>27</b:RefOrder>
  </b:Source>
  <b:Source>
    <b:Tag>Alj20</b:Tag>
    <b:SourceType>JournalArticle</b:SourceType>
    <b:Guid>{598E68D7-4925-4433-9FC8-400524BFF780}</b:Guid>
    <b:Title>Covalent Versus Non-covalent Enzyme Inhibition: Which Route Should We Take? A Justification of the Good and Bad from Molecular Modelling Perspective</b:Title>
    <b:JournalName>Protein J</b:JournalName>
    <b:Year>2020</b:Year>
    <b:Pages>39(2):97-105</b:Pages>
    <b:Author>
      <b:Author>
        <b:NameList>
          <b:Person>
            <b:Last>Aljoundi</b:Last>
            <b:First>A</b:First>
          </b:Person>
          <b:Person>
            <b:Last>Bjij</b:Last>
            <b:First>I</b:First>
          </b:Person>
          <b:Person>
            <b:Last>El Rashedy</b:Last>
            <b:First>A</b:First>
          </b:Person>
          <b:Person>
            <b:Last>Soliman</b:Last>
            <b:First>MES</b:First>
          </b:Person>
        </b:NameList>
      </b:Author>
    </b:Author>
    <b:RefOrder>28</b:RefOrder>
  </b:Source>
  <b:Source>
    <b:Tag>Gho19</b:Tag>
    <b:SourceType>JournalArticle</b:SourceType>
    <b:Guid>{96428D4B-2EC2-4115-BBF0-2E3C5D7E378A}</b:Guid>
    <b:Title>Covalent Inhibition in Drug Discovery.</b:Title>
    <b:JournalName>Chem Med Chem</b:JournalName>
    <b:Year>2019</b:Year>
    <b:Pages>14(9):889-906</b:Pages>
    <b:Author>
      <b:Author>
        <b:NameList>
          <b:Person>
            <b:Last>Ghosh</b:Last>
            <b:First>AK</b:First>
          </b:Person>
          <b:Person>
            <b:Last>Samanta</b:Last>
            <b:First>I</b:First>
          </b:Person>
          <b:Person>
            <b:Last>Mondal</b:Last>
            <b:First>A</b:First>
          </b:Person>
          <b:Person>
            <b:Last>Liu</b:Last>
            <b:First>WR</b:First>
          </b:Person>
        </b:NameList>
      </b:Author>
    </b:Author>
    <b:RefOrder>29</b:RefOrder>
  </b:Source>
  <b:Source>
    <b:Tag>Joh10</b:Tag>
    <b:SourceType>JournalArticle</b:SourceType>
    <b:Guid>{F92B079E-A61A-451A-92E2-0724FDC4853C}</b:Guid>
    <b:Title>Strategies for discovering and derisking covalent, irreversible enzyme inhibitors</b:Title>
    <b:JournalName>Future medicinal chemistry</b:JournalName>
    <b:Year>2010</b:Year>
    <b:Pages>2(6):949-964</b:Pages>
    <b:Author>
      <b:Author>
        <b:NameList>
          <b:Person>
            <b:Last>Johnson</b:Last>
            <b:Middle>S</b:Middle>
            <b:First>D</b:First>
          </b:Person>
          <b:Person>
            <b:Last>Weerapana</b:Last>
            <b:First>E</b:First>
          </b:Person>
          <b:Person>
            <b:Last>Cravatt</b:Last>
            <b:Middle>F</b:Middle>
            <b:First>B</b:First>
          </b:Person>
        </b:NameList>
      </b:Author>
    </b:Author>
    <b:RefOrder>30</b:RefOrder>
  </b:Source>
  <b:Source>
    <b:Tag>Sin11</b:Tag>
    <b:SourceType>JournalArticle</b:SourceType>
    <b:Guid>{DA59185A-AC5E-4E61-BDCD-20B9F2813ACC}</b:Guid>
    <b:Author>
      <b:Author>
        <b:NameList>
          <b:Person>
            <b:Last>Singh</b:Last>
            <b:First>J</b:First>
          </b:Person>
          <b:Person>
            <b:Last>Petter</b:Last>
            <b:First>RC</b:First>
          </b:Person>
          <b:Person>
            <b:Last>Baillie</b:Last>
            <b:First>TA</b:First>
          </b:Person>
          <b:Person>
            <b:Last>Whitty</b:Last>
            <b:First>A</b:First>
          </b:Person>
        </b:NameList>
      </b:Author>
    </b:Author>
    <b:Title>The resurgence of covalent drugs</b:Title>
    <b:JournalName>Nature reviews drug discovery</b:JournalName>
    <b:Year>2011</b:Year>
    <b:Pages>10(4):307-317</b:Pages>
    <b:RefOrder>31</b:RefOrder>
  </b:Source>
  <b:Source>
    <b:Tag>Bra17</b:Tag>
    <b:SourceType>JournalArticle</b:SourceType>
    <b:Guid>{D7E5742E-D56B-4984-B053-6022DFCC24A0}</b:Guid>
    <b:Title>Discovery of the Irreversible Covalent FGFR Inhibitor 8-(3-(4-Acryloylpiperazin-1-yl)propyl)-6-(2,6-dichloro-3,5-dimethoxyphenyl)-2-(methylamino)pyrido[2,3-d]pyrimidin-7(8H)-one (PRN1371) for the Treatment of Solid Tumors</b:Title>
    <b:JournalName>J Med Chem</b:JournalName>
    <b:Year>2017</b:Year>
    <b:Pages>60(15):6516-6527</b:Pages>
    <b:Author>
      <b:Author>
        <b:NameList>
          <b:Person>
            <b:Last>Brameld</b:Last>
            <b:Middle>A</b:Middle>
            <b:First>K</b:First>
          </b:Person>
          <b:Person>
            <b:Last>Owens</b:Last>
            <b:Middle>D</b:Middle>
            <b:First>T</b:First>
          </b:Person>
          <b:Person>
            <b:Last>Verner</b:Last>
            <b:First>E</b:First>
          </b:Person>
          <b:Person>
            <b:Last>Venetsanakos</b:Last>
            <b:First>E</b:First>
          </b:Person>
          <b:Person>
            <b:Last>Bradshaw</b:Last>
            <b:Middle>M</b:Middle>
            <b:First>J</b:First>
          </b:Person>
          <b:Person>
            <b:Last>et al</b:Last>
          </b:Person>
        </b:NameList>
      </b:Author>
    </b:Author>
    <b:RefOrder>32</b:RefOrder>
  </b:Source>
  <b:Source>
    <b:Tag>WuX21</b:Tag>
    <b:SourceType>JournalArticle</b:SourceType>
    <b:Guid>{44A2609E-349E-4D1A-A254-FC83B6FE4FA0}</b:Guid>
    <b:Title>Design, synthesis and biological evaluation of pyrazolo[3,4- d]pyridazinone derivatives as covalent FGFR inhibitors</b:Title>
    <b:JournalName>Acta Pharm Sin B</b:JournalName>
    <b:Year>2021</b:Year>
    <b:Pages>11(3):781-794</b:Pages>
    <b:Author>
      <b:Author>
        <b:NameList>
          <b:Person>
            <b:Last>Wu</b:Last>
            <b:First>X</b:First>
          </b:Person>
          <b:Person>
            <b:Last>Dai</b:Last>
            <b:First>M</b:First>
          </b:Person>
          <b:Person>
            <b:Last>Cui</b:Last>
            <b:First>R</b:First>
          </b:Person>
          <b:Person>
            <b:Last>Wang</b:Last>
            <b:First>Y</b:First>
          </b:Person>
          <b:Person>
            <b:Last>Li</b:Last>
            <b:First>C</b:First>
          </b:Person>
          <b:Person>
            <b:Last>et al</b:Last>
          </b:Person>
        </b:NameList>
      </b:Author>
    </b:Author>
    <b:RefOrder>33</b:RefOrder>
  </b:Source>
  <b:Source>
    <b:Tag>Soo21</b:Tag>
    <b:SourceType>ConferenceProceedings</b:SourceType>
    <b:Guid>{AC3F0307-C15D-471D-BB0F-AE2544298E0C}</b:Guid>
    <b:Author>
      <b:Author>
        <b:NameList>
          <b:Person>
            <b:Last>Sootome</b:Last>
            <b:First>H</b:First>
          </b:Person>
          <b:Person>
            <b:Last>Kato</b:Last>
            <b:First>S</b:First>
          </b:Person>
          <b:Person>
            <b:Last>Aoyagi</b:Last>
            <b:First>Y</b:First>
          </b:Person>
          <b:Person>
            <b:Last>Kato</b:Last>
            <b:First>M</b:First>
          </b:Person>
          <b:Person>
            <b:Last>Hirai</b:Last>
            <b:First>H</b:First>
          </b:Person>
        </b:NameList>
      </b:Author>
    </b:Author>
    <b:Title>Acquired resistance to ATP-competitive and irreversible FGFR inhibitors:  a library-based approach.</b:Title>
    <b:Year>2021</b:Year>
    <b:ConferenceName>American Association for Cancer Research (AACR) Annual Meeting</b:ConferenceName>
    <b:RefOrder>34</b:RefOrder>
  </b:Source>
  <b:Source>
    <b:Tag>Soo20</b:Tag>
    <b:SourceType>JournalArticle</b:SourceType>
    <b:Guid>{1A0FB93D-C96B-41AA-87CA-2E6D59DF527F}</b:Guid>
    <b:Title>Futibatinib Is a Novel Irreversible FGFR 1-4 Inhibitor That Shows Selective Antitumor Activity against FGFR-Deregulated Tumors</b:Title>
    <b:JournalName>Cancer Res</b:JournalName>
    <b:Year>2020</b:Year>
    <b:Pages>80(22):4986-4997</b:Pages>
    <b:Author>
      <b:Author>
        <b:NameList>
          <b:Person>
            <b:Last>Sootome</b:Last>
            <b:First>H</b:First>
          </b:Person>
          <b:Person>
            <b:Last>Fujita</b:Last>
            <b:First>H</b:First>
          </b:Person>
          <b:Person>
            <b:Last>Ito</b:Last>
            <b:First>K</b:First>
          </b:Person>
          <b:Person>
            <b:Last>Ochiiwa</b:Last>
            <b:First>H</b:First>
          </b:Person>
          <b:Person>
            <b:Last>Fujioka</b:Last>
            <b:First>Y</b:First>
          </b:Person>
          <b:Person>
            <b:Last>Ito</b:Last>
            <b:First>K</b:First>
          </b:Person>
          <b:Person>
            <b:Last>Miura</b:Last>
            <b:First>A</b:First>
          </b:Person>
          <b:Person>
            <b:Last>et al</b:Last>
          </b:Person>
        </b:NameList>
      </b:Author>
    </b:Author>
    <b:RefOrder>35</b:RefOrder>
  </b:Source>
  <b:Source>
    <b:Tag>Kal19</b:Tag>
    <b:SourceType>JournalArticle</b:SourceType>
    <b:Guid>{04BD9738-B1FF-43B5-8132-02EA72F9053E}</b:Guid>
    <b:Author>
      <b:Author>
        <b:NameList>
          <b:Person>
            <b:Last>Kalyukina</b:Last>
            <b:First>M</b:First>
          </b:Person>
          <b:Person>
            <b:Last>Yosaatmadja</b:Last>
            <b:First>Y</b:First>
          </b:Person>
          <b:Person>
            <b:Last>Middleditch</b:Last>
            <b:First>MJ</b:First>
          </b:Person>
          <b:Person>
            <b:Last>Patterson</b:Last>
            <b:First>AV</b:First>
          </b:Person>
          <b:Person>
            <b:Last>Smaill</b:Last>
            <b:First>JB</b:First>
          </b:Person>
          <b:Person>
            <b:Last>Squire</b:Last>
            <b:First>CJ</b:First>
          </b:Person>
        </b:NameList>
      </b:Author>
    </b:Author>
    <b:Title>TAS-120 Cancer Target Binding: Defining Reactivity and Revealing the First Fibroblast Growth Factor Receptor 1 (FGFR1) Irreversible Structure</b:Title>
    <b:Year>2019</b:Year>
    <b:Pages>14(4):494-500</b:Pages>
    <b:JournalName>Chem Med Chem</b:JournalName>
    <b:RefOrder>36</b:RefOrder>
  </b:Source>
  <b:Source>
    <b:Tag>ESM221</b:Tag>
    <b:SourceType>JournalArticle</b:SourceType>
    <b:Guid>{47EF21D9-1ED4-450B-B76B-C7643A049C62}</b:Guid>
    <b:Author>
      <b:Author>
        <b:Corporate>ESMO</b:Corporate>
      </b:Author>
    </b:Author>
    <b:Title>Biliary tract cancer: ESMO Clinical Practice Guideline for diagnosis, treatment and follow-up</b:Title>
    <b:JournalName>Annals of Oncology</b:JournalName>
    <b:Year>2023</b:Year>
    <b:Pages>127-140</b:Pages>
    <b:Volume>34</b:Volume>
    <b:Issue>2</b:Issue>
    <b:RefOrder>37</b:RefOrder>
  </b:Source>
  <b:Source>
    <b:Tag>Cho21</b:Tag>
    <b:SourceType>JournalArticle</b:SourceType>
    <b:Guid>{E2B39C23-868C-4CFA-82D7-C083685DE422}</b:Guid>
    <b:Title>A randomised phase II study of oxaliplatin/5-FU (mFOLFOX) versus irinotecan/5-FU (mFOLFIRI) chemotherapy in locally advanced or metastatic biliary tract cancer refractory to first-line gemcitabine/cisplatin chemotherapy</b:Title>
    <b:JournalName>Eur J Cancer</b:JournalName>
    <b:Year>2021</b:Year>
    <b:Pages>154:288-295</b:Pages>
    <b:Author>
      <b:Author>
        <b:NameList>
          <b:Person>
            <b:Last>Choi</b:Last>
            <b:Middle>S</b:Middle>
            <b:First>I</b:First>
          </b:Person>
          <b:Person>
            <b:Last>Kim</b:Last>
            <b:Middle>H</b:Middle>
            <b:First>K</b:First>
          </b:Person>
          <b:Person>
            <b:Last>Lee</b:Last>
            <b:Middle>H</b:Middle>
            <b:First>J</b:First>
          </b:Person>
          <b:Person>
            <b:Last>Suh</b:Last>
            <b:Middle>J</b:Middle>
            <b:First>K</b:First>
          </b:Person>
          <b:Person>
            <b:Last>Kim</b:Last>
            <b:First>JW</b:First>
          </b:Person>
          <b:Person>
            <b:Last>et al</b:Last>
          </b:Person>
        </b:NameList>
      </b:Author>
    </b:Author>
    <b:RefOrder>38</b:RefOrder>
  </b:Source>
  <b:Source>
    <b:Tag>Lam22</b:Tag>
    <b:SourceType>JournalArticle</b:SourceType>
    <b:Guid>{3404E72D-D5D8-4F44-BB9D-52A8EF742BF8}</b:Guid>
    <b:Title>How I treat biliary tract cancer</b:Title>
    <b:JournalName>ESMO Open</b:JournalName>
    <b:Year>2022</b:Year>
    <b:Pages>7(1): 100378</b:Pages>
    <b:Author>
      <b:Author>
        <b:NameList>
          <b:Person>
            <b:Last>Lamarca</b:Last>
            <b:First>A</b:First>
          </b:Person>
          <b:Person>
            <b:Last>Edeline</b:Last>
            <b:First>J</b:First>
          </b:Person>
          <b:Person>
            <b:Last>Goyal</b:Last>
            <b:First>L</b:First>
          </b:Person>
        </b:NameList>
      </b:Author>
    </b:Author>
    <b:RefOrder>39</b:RefOrder>
  </b:Source>
  <b:Source>
    <b:Tag>Found</b:Tag>
    <b:SourceType>Report</b:SourceType>
    <b:Guid>{06E4DB48-AAC7-4E92-8A20-ACB934FE1B6B}</b:Guid>
    <b:Title>Foundation CDx Technical Information - RAL-0003-24</b:Title>
    <b:Year>n.d.</b:Year>
    <b:Author>
      <b:Author>
        <b:Corporate>Foundation Medicine, Inc.</b:Corporate>
      </b:Author>
    </b:Author>
    <b:RefOrder>40</b:RefOrder>
  </b:Source>
  <b:Source>
    <b:Tag>Sil22</b:Tag>
    <b:SourceType>JournalArticle</b:SourceType>
    <b:Guid>{BAD3C288-176D-4922-955C-531A736B1C95}</b:Guid>
    <b:Title>Validation and Characterization of FGFR2 Rearrangements in Cholangiocarcinoma with Comprehensive Genomic Profiling</b:Title>
    <b:JournalName>J Mol Diagn</b:JournalName>
    <b:Year>2022</b:Year>
    <b:Pages>24(4):351-364</b:Pages>
    <b:Author>
      <b:Author>
        <b:NameList>
          <b:Person>
            <b:Last>Silverman</b:Last>
            <b:Middle>M</b:Middle>
            <b:First>I</b:First>
          </b:Person>
          <b:Person>
            <b:Last>Li</b:Last>
            <b:First>M</b:First>
          </b:Person>
          <b:Person>
            <b:Last>Murugesan</b:Last>
            <b:First>K</b:First>
          </b:Person>
          <b:Person>
            <b:Last>Krook</b:Last>
            <b:Middle>A</b:Middle>
            <b:First>M</b:First>
          </b:Person>
          <b:Person>
            <b:Last>Javle</b:Last>
            <b:Middle>M</b:Middle>
            <b:First>M</b:First>
          </b:Person>
          <b:Person>
            <b:Last>et al</b:Last>
          </b:Person>
        </b:NameList>
      </b:Author>
    </b:Author>
    <b:RefOrder>41</b:RefOrder>
  </b:Source>
  <b:Source>
    <b:Tag>Zou23</b:Tag>
    <b:SourceType>JournalArticle</b:SourceType>
    <b:Guid>{D712E5D6-A693-45E3-9B99-0607AC3384E5}</b:Guid>
    <b:Title>Molecular Detection of FGFR2 Rearrangements in Resected Intrahepatic Cholangiocarcinomas: FISH Could Be An Ideal Method in Patients with Histological Small Duct Subtype</b:Title>
    <b:JournalName>J Clin Transl Hepatol</b:JournalName>
    <b:Year>2023</b:Year>
    <b:Pages>11(6):1355-1367</b:Pages>
    <b:Author>
      <b:Author>
        <b:NameList>
          <b:Person>
            <b:Last>Zou</b:Last>
            <b:First>Y</b:First>
          </b:Person>
          <b:Person>
            <b:Last>Zhu</b:Last>
            <b:First>K</b:First>
          </b:Person>
          <b:Person>
            <b:Last>Pang</b:Last>
            <b:First>Y</b:First>
          </b:Person>
          <b:Person>
            <b:Last>Han</b:Last>
            <b:First>J</b:First>
          </b:Person>
          <b:Person>
            <b:Last>Zhang</b:Last>
            <b:First>X</b:First>
          </b:Person>
          <b:Person>
            <b:Last>et al</b:Last>
          </b:Person>
        </b:NameList>
      </b:Author>
    </b:Author>
    <b:RefOrder>42</b:RefOrder>
  </b:Source>
  <b:Source>
    <b:Tag>Niu24</b:Tag>
    <b:SourceType>JournalArticle</b:SourceType>
    <b:Guid>{7168B69E-443F-4B73-9784-7BD5AE6EB315}</b:Guid>
    <b:Title>Prognostic value of FGFR2 alterations in patients with iCCA undergoing surgery or systemic treatments: A meta-analysis</b:Title>
    <b:JournalName>Liver Int</b:JournalName>
    <b:Year>2024</b:Year>
    <b:Pages>44(9):2208-2219</b:Pages>
    <b:Author>
      <b:Author>
        <b:NameList>
          <b:Person>
            <b:Last>Niu</b:Last>
            <b:First>S</b:First>
          </b:Person>
          <b:Person>
            <b:Last>Zhang</b:Last>
            <b:First>Y</b:First>
          </b:Person>
          <b:Person>
            <b:Last>Li</b:Last>
            <b:First>Z</b:First>
          </b:Person>
          <b:Person>
            <b:Last>Wang</b:Last>
            <b:First>T</b:First>
          </b:Person>
        </b:NameList>
      </b:Author>
    </b:Author>
    <b:RefOrder>43</b:RefOrder>
  </b:Source>
  <b:Source>
    <b:Tag>Goy23</b:Tag>
    <b:SourceType>JournalArticle</b:SourceType>
    <b:Guid>{6DEC6DE0-8ECB-47D2-9455-0F2B32D64B23}</b:Guid>
    <b:Title>Futibatinib for FGFR2-Rearranged Intrahepatic Cholangiocarcinoma</b:Title>
    <b:JournalName>NEJM</b:JournalName>
    <b:Year>2023</b:Year>
    <b:Pages>388:228-39</b:Pages>
    <b:Author>
      <b:Author>
        <b:NameList>
          <b:Person>
            <b:Last>Goyal</b:Last>
            <b:First>L</b:First>
          </b:Person>
          <b:Person>
            <b:Last>Meric-Bernstam</b:Last>
            <b:First>F</b:First>
          </b:Person>
          <b:Person>
            <b:Last>Hollebecque</b:Last>
            <b:First>A</b:First>
          </b:Person>
          <b:Person>
            <b:Last>Valle</b:Last>
            <b:Middle>W</b:Middle>
            <b:First>J</b:First>
          </b:Person>
          <b:Person>
            <b:Last>Morizane</b:Last>
            <b:First>C</b:First>
          </b:Person>
          <b:Person>
            <b:Last>et al</b:Last>
          </b:Person>
        </b:NameList>
      </b:Author>
    </b:Author>
    <b:RefOrder>44</b:RefOrder>
  </b:Source>
  <b:Source>
    <b:Tag>Mer24</b:Tag>
    <b:SourceType>JournalArticle</b:SourceType>
    <b:Guid>{F5325DB0-C605-4BAE-8DAF-D6FF1D514133}</b:Guid>
    <b:Title>Safety Profile and Adverse Event Management for Futibatinib, An Irreversible FGFR1-4 Inhibitor: Pooled Safety Analysis of 469 Patients</b:Title>
    <b:JournalName>Clin Cancer Res</b:JournalName>
    <b:Year>2024</b:Year>
    <b:Pages>30(8):1466-1477</b:Pages>
    <b:Author>
      <b:Author>
        <b:NameList>
          <b:Person>
            <b:Last>Meric-Bernstam</b:Last>
            <b:First>F</b:First>
          </b:Person>
          <b:Person>
            <b:Last>Hollebecque</b:Last>
            <b:First>A</b:First>
          </b:Person>
          <b:Person>
            <b:Last>Furuse</b:Last>
            <b:First>J</b:First>
          </b:Person>
          <b:Person>
            <b:Last>Oh</b:Last>
            <b:First>DY</b:First>
          </b:Person>
          <b:Person>
            <b:Last>Bridgewater</b:Last>
            <b:Middle>A</b:Middle>
            <b:First>J</b:First>
          </b:Person>
          <b:Person>
            <b:Last>et al</b:Last>
          </b:Person>
        </b:NameList>
      </b:Author>
    </b:Author>
    <b:RefOrder>1</b:RefOrder>
  </b:Source>
  <b:Source>
    <b:Tag>Kin96</b:Tag>
    <b:SourceType>JournalArticle</b:SourceType>
    <b:Guid>{F4E101E7-DEF1-437B-A603-D2D0A482B6F3}</b:Guid>
    <b:Title>The interpretation of scores from the EORTC quality of life questionnaire QLQ-C30</b:Title>
    <b:JournalName>Qual Life Res</b:JournalName>
    <b:Year>1996</b:Year>
    <b:Pages>5(6):555-67</b:Pages>
    <b:Author>
      <b:Author>
        <b:NameList>
          <b:Person>
            <b:Last>King</b:Last>
            <b:Middle>T</b:Middle>
            <b:First>M</b:First>
          </b:Person>
        </b:NameList>
      </b:Author>
    </b:Author>
    <b:RefOrder>45</b:RefOrder>
  </b:Source>
  <b:Source>
    <b:Tag>Coc12</b:Tag>
    <b:SourceType>JournalArticle</b:SourceType>
    <b:Guid>{FAE51BA2-F221-4219-8B22-C5F219CE07D7}</b:Guid>
    <b:Title>Evidence-based guidelines for interpreting change scores for the European Organisation for the Research and Treatment of Cancer Quality of Life Questionnaire Core 30</b:Title>
    <b:JournalName>Eur J Cancer</b:JournalName>
    <b:Year>2012</b:Year>
    <b:Pages>48(11):1713-21</b:Pages>
    <b:Author>
      <b:Author>
        <b:NameList>
          <b:Person>
            <b:Last>Cocks</b:Last>
            <b:First>K</b:First>
          </b:Person>
          <b:Person>
            <b:Last>King</b:Last>
            <b:Middle>T</b:Middle>
            <b:First>M</b:First>
          </b:Person>
          <b:Person>
            <b:Last>Velikova</b:Last>
            <b:First>G</b:First>
          </b:Person>
          <b:Person>
            <b:Last>de Castro Jr</b:Last>
            <b:First>G</b:First>
          </b:Person>
          <b:Person>
            <b:Last>St-James</b:Last>
            <b:Middle>M</b:Middle>
            <b:First>M</b:First>
          </b:Person>
          <b:Person>
            <b:Last>Fayers</b:Last>
            <b:Middle>M</b:Middle>
            <b:First>P</b:First>
          </b:Person>
          <b:Person>
            <b:Last>Brown</b:Last>
            <b:Middle>M</b:Middle>
            <b:First>J</b:First>
          </b:Person>
        </b:NameList>
      </b:Author>
    </b:Author>
    <b:RefOrder>46</b:RefOrder>
  </b:Source>
  <b:Source>
    <b:Tag>Oso98</b:Tag>
    <b:SourceType>JournalArticle</b:SourceType>
    <b:Guid>{5423EDEF-4B26-4FDC-BEF1-86CF54F1F558}</b:Guid>
    <b:Title>Interpreting the significance of changes in health-related quality-of-life scores</b:Title>
    <b:JournalName>J Clin Oncol</b:JournalName>
    <b:Year>1998</b:Year>
    <b:Pages>16(1):139-44</b:Pages>
    <b:Author>
      <b:Author>
        <b:NameList>
          <b:Person>
            <b:Last>Osoba</b:Last>
            <b:First>D</b:First>
          </b:Person>
          <b:Person>
            <b:Last>Rodrigues</b:Last>
            <b:First>G</b:First>
          </b:Person>
          <b:Person>
            <b:Last>Myles</b:Last>
            <b:First>J</b:First>
          </b:Person>
          <b:Person>
            <b:Last>Zee</b:Last>
            <b:First>B</b:First>
          </b:Person>
          <b:Person>
            <b:Last>Pater</b:Last>
            <b:First>J</b:First>
          </b:Person>
        </b:NameList>
      </b:Author>
    </b:Author>
    <b:RefOrder>47</b:RefOrder>
  </b:Source>
  <b:Source>
    <b:Tag>Coc08</b:Tag>
    <b:SourceType>JournalArticle</b:SourceType>
    <b:Guid>{73A606CC-7DEA-43C5-B1F4-18512F4D13AA}</b:Guid>
    <b:Title>Quality, interpretation and presentation of European Organisation for Research and Treatment of Cancer quality of life questionnaire core 30 data in randomised controlled trials</b:Title>
    <b:JournalName>Eur J Cancer</b:JournalName>
    <b:Year>2008</b:Year>
    <b:Pages>44(13):1793-8</b:Pages>
    <b:Author>
      <b:Author>
        <b:NameList>
          <b:Person>
            <b:Last>Cocks</b:Last>
            <b:First>K</b:First>
          </b:Person>
          <b:Person>
            <b:Last>King</b:Last>
            <b:Middle>T</b:Middle>
            <b:First>M</b:First>
          </b:Person>
          <b:Person>
            <b:Last>Velikova</b:Last>
            <b:First>G</b:First>
          </b:Person>
          <b:Person>
            <b:Last>Fayers</b:Last>
            <b:Middle>M</b:Middle>
            <b:First>P</b:First>
          </b:Person>
          <b:Person>
            <b:Last>Brown</b:Last>
            <b:Middle>M</b:Middle>
            <b:First>J</b:First>
          </b:Person>
        </b:NameList>
      </b:Author>
    </b:Author>
    <b:RefOrder>48</b:RefOrder>
  </b:Source>
  <b:Source>
    <b:Tag>Mus23</b:Tag>
    <b:SourceType>JournalArticle</b:SourceType>
    <b:Guid>{65A4EC1F-1BE5-4391-B0E6-7A3FA30BF783}</b:Guid>
    <b:Title>Minimally important differences for interpreting EORTC QLQ-C30 change scores over time: A synthesis across 21 clinical trials involving nine different cancer types</b:Title>
    <b:Year>2023</b:Year>
    <b:Author>
      <b:Author>
        <b:NameList>
          <b:Person>
            <b:Last>Musoro</b:Last>
            <b:Middle>Z</b:Middle>
            <b:First>J</b:First>
          </b:Person>
          <b:Person>
            <b:Last>Coens</b:Last>
            <b:First>C</b:First>
          </b:Person>
          <b:Person>
            <b:Last>SPrangers</b:Last>
            <b:Middle>A G</b:Middle>
            <b:First>M</b:First>
          </b:Person>
          <b:Person>
            <b:Last>Brandberg</b:Last>
            <b:First>Y</b:First>
          </b:Person>
          <b:Person>
            <b:Last>Groenvold</b:Last>
            <b:First>M</b:First>
          </b:Person>
          <b:Person>
            <b:Last>et al</b:Last>
          </b:Person>
        </b:NameList>
      </b:Author>
    </b:Author>
    <b:JournalName>Eur J Cancer</b:JournalName>
    <b:Pages>188:171-182</b:Pages>
    <b:RefOrder>49</b:RefOrder>
  </b:Source>
  <b:Source>
    <b:Tag>NIC21</b:Tag>
    <b:SourceType>Report</b:SourceType>
    <b:Guid>{CFCBD10F-DDB3-4EB2-B474-306F97DE8165}</b:Guid>
    <b:Author>
      <b:Author>
        <b:Corporate>NICE</b:Corporate>
      </b:Author>
    </b:Author>
    <b:Title>Technology appraisal guidance (TA722): Pemigatinib for treating relapsed or refractory advanced cholangiocarcinoma with FGFR2 fusion or rearrangement.</b:Title>
    <b:Year>2021</b:Year>
    <b:RefOrder>2</b:RefOrder>
  </b:Source>
  <b:Source>
    <b:Tag>Ham24</b:Tag>
    <b:SourceType>InternetSite</b:SourceType>
    <b:Guid>{67373894-25CB-41EF-A2AA-0DF01F790132}</b:Guid>
    <b:Author>
      <b:Author>
        <b:Corporate>HammondCare</b:Corporate>
      </b:Author>
    </b:Author>
    <b:Title>Home Care Costs</b:Title>
    <b:InternetSiteTitle>HammondCare</b:InternetSiteTitle>
    <b:Year>2024</b:Year>
    <b:URL>https://www.hammond.com.au/care/home-care-costs</b:URL>
    <b:YearAccessed>2024</b:YearAccessed>
    <b:MonthAccessed>Sep</b:MonthAccessed>
    <b:DayAccessed>12</b:DayAccessed>
    <b:RefOrder>3</b:RefOrder>
  </b:Source>
</b:Sources>
</file>

<file path=customXml/itemProps1.xml><?xml version="1.0" encoding="utf-8"?>
<ds:datastoreItem xmlns:ds="http://schemas.openxmlformats.org/officeDocument/2006/customXml" ds:itemID="{C548EC21-328E-401B-9434-80837B35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21596</Words>
  <Characters>123098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2025-07-18T05:27:00Z</dcterms:created>
  <dcterms:modified xsi:type="dcterms:W3CDTF">2025-07-18T05:27:00Z</dcterms:modified>
</cp:coreProperties>
</file>