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2FE86" w14:textId="1409C678" w:rsidR="00A94030" w:rsidRPr="005423A8" w:rsidRDefault="00A94030" w:rsidP="00ED5CB7">
      <w:pPr>
        <w:keepNext/>
        <w:keepLines/>
        <w:spacing w:before="0" w:after="360" w:line="240" w:lineRule="auto"/>
        <w:ind w:left="788"/>
        <w:jc w:val="center"/>
        <w:outlineLvl w:val="0"/>
        <w:rPr>
          <w:i/>
          <w:iCs/>
        </w:rPr>
      </w:pPr>
      <w:r w:rsidRPr="00F268B7">
        <w:rPr>
          <w:rFonts w:ascii="Arial" w:eastAsiaTheme="majorEastAsia" w:hAnsi="Arial" w:cs="Arial"/>
          <w:b/>
          <w:bCs/>
          <w:color w:val="000080"/>
          <w:sz w:val="36"/>
          <w:szCs w:val="36"/>
        </w:rPr>
        <w:t>Medical Services Advisory Committee (MSAC)</w:t>
      </w:r>
      <w:r w:rsidRPr="00195312">
        <w:rPr>
          <w:rFonts w:ascii="Arial" w:hAnsi="Arial"/>
          <w:b/>
          <w:color w:val="000080"/>
          <w:sz w:val="36"/>
        </w:rPr>
        <w:br/>
      </w:r>
      <w:r w:rsidR="00ED5CB7" w:rsidRPr="00F76D74">
        <w:rPr>
          <w:rFonts w:ascii="Arial" w:hAnsi="Arial" w:cs="Arial"/>
          <w:b/>
          <w:bCs/>
          <w:color w:val="000080"/>
          <w:sz w:val="36"/>
          <w:szCs w:val="36"/>
        </w:rPr>
        <w:t>Public Summary Document</w:t>
      </w:r>
    </w:p>
    <w:p w14:paraId="7A128FDE" w14:textId="1D89C2CD" w:rsidR="00772829" w:rsidRPr="00CE28E3" w:rsidRDefault="00772829" w:rsidP="00A94030">
      <w:pPr>
        <w:pStyle w:val="Subtitle"/>
      </w:pPr>
      <w:r w:rsidRPr="00CE28E3">
        <w:t xml:space="preserve">Application No. </w:t>
      </w:r>
      <w:r w:rsidR="00830BDF" w:rsidRPr="00045EE9">
        <w:t>1774</w:t>
      </w:r>
      <w:r w:rsidRPr="00045EE9">
        <w:t xml:space="preserve"> – </w:t>
      </w:r>
      <w:r w:rsidR="00830BDF">
        <w:t>Newborn bloodspot screening for glycogen storage disease, Type II (Pompe disease)</w:t>
      </w:r>
    </w:p>
    <w:p w14:paraId="07687639" w14:textId="0D1C9865" w:rsidR="00244070" w:rsidRDefault="00772829" w:rsidP="00ED5CB7">
      <w:pPr>
        <w:tabs>
          <w:tab w:val="left" w:pos="3686"/>
        </w:tabs>
        <w:spacing w:after="0"/>
        <w:ind w:left="3686" w:hanging="3686"/>
        <w:rPr>
          <w:rFonts w:ascii="Arial" w:hAnsi="Arial" w:cs="Arial"/>
          <w:b/>
          <w:bCs/>
        </w:rPr>
      </w:pPr>
      <w:r w:rsidRPr="02E2EE7D">
        <w:rPr>
          <w:rFonts w:ascii="Arial" w:hAnsi="Arial" w:cs="Arial"/>
          <w:b/>
          <w:bCs/>
        </w:rPr>
        <w:t>Applicant:</w:t>
      </w:r>
      <w:r>
        <w:tab/>
      </w:r>
      <w:r w:rsidR="00860F86" w:rsidRPr="02E2EE7D">
        <w:rPr>
          <w:rFonts w:ascii="Arial" w:hAnsi="Arial" w:cs="Arial"/>
          <w:b/>
          <w:bCs/>
        </w:rPr>
        <w:t>Department of Health and Aged Care</w:t>
      </w:r>
      <w:r w:rsidR="00712C0B" w:rsidRPr="02E2EE7D">
        <w:rPr>
          <w:rFonts w:ascii="Arial" w:hAnsi="Arial" w:cs="Arial"/>
          <w:b/>
          <w:bCs/>
        </w:rPr>
        <w:t xml:space="preserve"> </w:t>
      </w:r>
      <w:r w:rsidR="001A5935">
        <w:rPr>
          <w:rFonts w:ascii="Arial" w:hAnsi="Arial" w:cs="Arial"/>
          <w:b/>
          <w:bCs/>
        </w:rPr>
        <w:t xml:space="preserve">- </w:t>
      </w:r>
      <w:r w:rsidR="00712C0B" w:rsidRPr="02E2EE7D">
        <w:rPr>
          <w:rFonts w:ascii="Arial" w:hAnsi="Arial" w:cs="Arial"/>
          <w:b/>
          <w:bCs/>
        </w:rPr>
        <w:t>Newborn bloodspot screening</w:t>
      </w:r>
      <w:r w:rsidR="00A800EF">
        <w:rPr>
          <w:rFonts w:ascii="Arial" w:hAnsi="Arial" w:cs="Arial"/>
          <w:b/>
          <w:bCs/>
        </w:rPr>
        <w:t xml:space="preserve"> section</w:t>
      </w:r>
    </w:p>
    <w:p w14:paraId="0C53ED57" w14:textId="54888747" w:rsidR="0078218A" w:rsidRDefault="0078218A" w:rsidP="00ED5CB7">
      <w:pPr>
        <w:spacing w:after="240"/>
        <w:rPr>
          <w:rFonts w:ascii="Arial" w:hAnsi="Arial" w:cs="Arial"/>
          <w:b/>
          <w:bCs/>
        </w:rPr>
      </w:pPr>
      <w:r w:rsidRPr="02E2EE7D">
        <w:rPr>
          <w:rFonts w:ascii="Arial" w:hAnsi="Arial" w:cs="Arial"/>
          <w:b/>
          <w:bCs/>
        </w:rPr>
        <w:t xml:space="preserve">Date of </w:t>
      </w:r>
      <w:r w:rsidR="00ED5CB7">
        <w:rPr>
          <w:rFonts w:ascii="Arial" w:hAnsi="Arial" w:cs="Arial"/>
          <w:b/>
          <w:bCs/>
        </w:rPr>
        <w:t>MSAC</w:t>
      </w:r>
      <w:r w:rsidRPr="02E2EE7D">
        <w:rPr>
          <w:rFonts w:ascii="Arial" w:hAnsi="Arial" w:cs="Arial"/>
          <w:b/>
          <w:bCs/>
        </w:rPr>
        <w:t xml:space="preserve"> consideration:</w:t>
      </w:r>
      <w:r>
        <w:tab/>
      </w:r>
      <w:r w:rsidR="00ED5CB7">
        <w:rPr>
          <w:rFonts w:ascii="Arial" w:hAnsi="Arial" w:cs="Arial"/>
          <w:b/>
          <w:bCs/>
        </w:rPr>
        <w:t>3-4 April</w:t>
      </w:r>
      <w:r w:rsidRPr="02E2EE7D">
        <w:rPr>
          <w:rFonts w:ascii="Arial" w:hAnsi="Arial" w:cs="Arial"/>
          <w:b/>
          <w:bCs/>
        </w:rPr>
        <w:t xml:space="preserve"> 202</w:t>
      </w:r>
      <w:r w:rsidR="00A177DE">
        <w:rPr>
          <w:rFonts w:ascii="Arial" w:hAnsi="Arial" w:cs="Arial"/>
          <w:b/>
          <w:bCs/>
        </w:rPr>
        <w:t>5</w:t>
      </w:r>
    </w:p>
    <w:p w14:paraId="657A0470" w14:textId="5985A459" w:rsidR="00ED5CB7" w:rsidRPr="00ED5CB7" w:rsidRDefault="00ED5CB7" w:rsidP="00ED5CB7">
      <w:pPr>
        <w:spacing w:after="240"/>
        <w:rPr>
          <w:rStyle w:val="Strong"/>
          <w:b w:val="0"/>
          <w:bCs w:val="0"/>
        </w:rPr>
      </w:pPr>
      <w:r w:rsidRPr="00333EDF">
        <w:t xml:space="preserve">Context for decision: MSAC makes its advice in accordance with its Terms of Reference, </w:t>
      </w:r>
      <w:hyperlink r:id="rId11" w:tooltip="Link to Medical Services Advisory Committee website" w:history="1">
        <w:r w:rsidRPr="000D2098">
          <w:rPr>
            <w:rStyle w:val="Hyperlink"/>
            <w:color w:val="007BB8"/>
          </w:rPr>
          <w:t>visit the MSAC website</w:t>
        </w:r>
      </w:hyperlink>
    </w:p>
    <w:p w14:paraId="7EAA7262" w14:textId="6E18A595" w:rsidR="00772829" w:rsidRPr="00CE28E3" w:rsidRDefault="00772829" w:rsidP="00ED5CB7">
      <w:pPr>
        <w:pStyle w:val="Heading2"/>
        <w:numPr>
          <w:ilvl w:val="0"/>
          <w:numId w:val="36"/>
        </w:numPr>
        <w:ind w:hanging="720"/>
      </w:pPr>
      <w:bookmarkStart w:id="0" w:name="_Toc184839258"/>
      <w:r w:rsidRPr="00CE28E3">
        <w:t xml:space="preserve">Purpose </w:t>
      </w:r>
      <w:r w:rsidRPr="00CE28E3">
        <w:rPr>
          <w:szCs w:val="32"/>
        </w:rPr>
        <w:t>of</w:t>
      </w:r>
      <w:r w:rsidRPr="00CE28E3">
        <w:t xml:space="preserve"> application</w:t>
      </w:r>
      <w:bookmarkEnd w:id="0"/>
    </w:p>
    <w:p w14:paraId="6BF31FF2" w14:textId="48616760" w:rsidR="00772829" w:rsidRDefault="00772829" w:rsidP="00772829">
      <w:pPr>
        <w:spacing w:after="240"/>
      </w:pPr>
      <w:bookmarkStart w:id="1" w:name="_Hlk69734469"/>
      <w:r w:rsidRPr="02E2EE7D">
        <w:t>An application requesting</w:t>
      </w:r>
      <w:r w:rsidR="00860F86" w:rsidRPr="02E2EE7D">
        <w:t xml:space="preserve"> that glycogen storage disease</w:t>
      </w:r>
      <w:r w:rsidR="001F0FB2" w:rsidRPr="02E2EE7D">
        <w:t xml:space="preserve"> type</w:t>
      </w:r>
      <w:r w:rsidR="00860F86" w:rsidRPr="02E2EE7D">
        <w:t xml:space="preserve"> II (GSD II) be added to Australia’s newborn bloodspot screening (NBS) programs was </w:t>
      </w:r>
      <w:r w:rsidR="0073393F" w:rsidRPr="02E2EE7D">
        <w:t>developed by the Department of Health</w:t>
      </w:r>
      <w:r w:rsidR="5A00E28C" w:rsidRPr="02E2EE7D">
        <w:t xml:space="preserve"> and Aged Care</w:t>
      </w:r>
      <w:r w:rsidR="0073393F" w:rsidRPr="02E2EE7D">
        <w:t>, following a request from the Minister for Health and Aged Care</w:t>
      </w:r>
      <w:r w:rsidRPr="02E2EE7D">
        <w:t>.</w:t>
      </w:r>
      <w:r w:rsidR="002728FF" w:rsidRPr="02E2EE7D">
        <w:t xml:space="preserve"> </w:t>
      </w:r>
      <w:r w:rsidR="00E025B8" w:rsidRPr="00E025B8">
        <w:rPr>
          <w:b/>
          <w:bCs/>
        </w:rPr>
        <w:t>REDACTED</w:t>
      </w:r>
      <w:r w:rsidR="002728FF" w:rsidRPr="02E2EE7D">
        <w:t>,</w:t>
      </w:r>
      <w:r w:rsidR="00F42560" w:rsidRPr="02E2EE7D">
        <w:t xml:space="preserve"> metabolic physician at </w:t>
      </w:r>
      <w:r w:rsidR="00E025B8" w:rsidRPr="00E025B8">
        <w:rPr>
          <w:b/>
          <w:bCs/>
          <w:color w:val="000000" w:themeColor="text1"/>
        </w:rPr>
        <w:t>REDACTED</w:t>
      </w:r>
      <w:r w:rsidR="00880F89" w:rsidRPr="009A497B">
        <w:rPr>
          <w:color w:val="000000" w:themeColor="text1"/>
        </w:rPr>
        <w:t>,</w:t>
      </w:r>
      <w:r w:rsidR="00B12AFD">
        <w:rPr>
          <w:color w:val="000000" w:themeColor="text1"/>
        </w:rPr>
        <w:t xml:space="preserve"> </w:t>
      </w:r>
      <w:r w:rsidR="00880F89" w:rsidRPr="02E2EE7D">
        <w:rPr>
          <w:color w:val="000000" w:themeColor="text1"/>
        </w:rPr>
        <w:t xml:space="preserve">metabolic physician at the </w:t>
      </w:r>
      <w:r w:rsidR="00E025B8" w:rsidRPr="00E025B8">
        <w:rPr>
          <w:b/>
          <w:bCs/>
          <w:color w:val="000000" w:themeColor="text1"/>
        </w:rPr>
        <w:t>REDACTED</w:t>
      </w:r>
      <w:r w:rsidR="00C932C1" w:rsidRPr="02E2EE7D">
        <w:t xml:space="preserve"> </w:t>
      </w:r>
      <w:r w:rsidR="00F42560" w:rsidRPr="02E2EE7D">
        <w:t xml:space="preserve">and </w:t>
      </w:r>
      <w:r w:rsidR="00E025B8" w:rsidRPr="00E025B8">
        <w:rPr>
          <w:b/>
          <w:bCs/>
        </w:rPr>
        <w:t>REDACTED</w:t>
      </w:r>
      <w:r w:rsidR="00F42560" w:rsidRPr="02E2EE7D">
        <w:t xml:space="preserve">, clinical geneticist at </w:t>
      </w:r>
      <w:r w:rsidR="00E025B8" w:rsidRPr="00E025B8">
        <w:rPr>
          <w:b/>
          <w:bCs/>
          <w:color w:val="000000" w:themeColor="text1"/>
        </w:rPr>
        <w:t>REDACTED</w:t>
      </w:r>
      <w:r w:rsidR="00C932C1" w:rsidRPr="02E2EE7D">
        <w:t xml:space="preserve"> </w:t>
      </w:r>
      <w:r w:rsidR="00F42560" w:rsidRPr="02E2EE7D">
        <w:t>were supporting clinical expert co-applicants</w:t>
      </w:r>
      <w:r w:rsidR="001F0FB2" w:rsidRPr="02E2EE7D">
        <w:t xml:space="preserve">. </w:t>
      </w:r>
    </w:p>
    <w:p w14:paraId="29F415F1" w14:textId="77777777" w:rsidR="00ED5CB7" w:rsidRPr="00ED5CB7" w:rsidRDefault="00ED5CB7" w:rsidP="00ED5CB7">
      <w:pPr>
        <w:pStyle w:val="Heading2"/>
        <w:numPr>
          <w:ilvl w:val="0"/>
          <w:numId w:val="36"/>
        </w:numPr>
        <w:ind w:hanging="720"/>
      </w:pPr>
      <w:bookmarkStart w:id="2" w:name="_Hlk193982496"/>
      <w:r w:rsidRPr="003A793E">
        <w:t>MSAC’s advice to the Minister</w:t>
      </w:r>
    </w:p>
    <w:p w14:paraId="5C57DA89" w14:textId="79509C02" w:rsidR="009B4AB3" w:rsidRPr="00BD6247" w:rsidRDefault="00ED5CB7" w:rsidP="009B4AB3">
      <w:pPr>
        <w:rPr>
          <w:rFonts w:eastAsia="Franklin Gothic Book"/>
        </w:rPr>
      </w:pPr>
      <w:r>
        <w:t xml:space="preserve">After considering the strength of the available evidence in relation to comparative safety, clinical effectiveness, cost-effectiveness and total cost, </w:t>
      </w:r>
      <w:r w:rsidR="009B4AB3" w:rsidRPr="154E3A43">
        <w:rPr>
          <w:rFonts w:eastAsia="Franklin Gothic Book"/>
        </w:rPr>
        <w:t xml:space="preserve">MSAC did not support the addition of glycogen storage disease, Type II (GSD II, Pompe disease) to the list of conditions screened as part of Australia’s newborn bloodspot screening (NBS) programs because the potential harms of newborn screening for GSD II outweigh the potential benefits. </w:t>
      </w:r>
    </w:p>
    <w:p w14:paraId="70203C1D" w14:textId="3FD58231" w:rsidR="009B4AB3" w:rsidRDefault="009B4AB3" w:rsidP="009B4AB3">
      <w:pPr>
        <w:rPr>
          <w:rFonts w:eastAsia="Franklin Gothic Book"/>
        </w:rPr>
      </w:pPr>
      <w:r w:rsidRPr="00BD6247">
        <w:rPr>
          <w:rFonts w:eastAsia="Franklin Gothic Book"/>
        </w:rPr>
        <w:t xml:space="preserve">MSAC considered both its own Terms of Reference and the Newborn Bloodspot Screening National Policy Framework (NBS NPF) in providing its advice. MSAC considered the positive and negative impacts of newborn screening for </w:t>
      </w:r>
      <w:r w:rsidR="00F20FA1">
        <w:rPr>
          <w:rFonts w:eastAsia="Franklin Gothic Book"/>
        </w:rPr>
        <w:t>the</w:t>
      </w:r>
      <w:r w:rsidRPr="00BD6247">
        <w:rPr>
          <w:rFonts w:eastAsia="Franklin Gothic Book"/>
        </w:rPr>
        <w:t xml:space="preserve"> condition, and the potential for unintended negative impacts on the existing NBS program</w:t>
      </w:r>
      <w:r w:rsidR="00786741">
        <w:rPr>
          <w:rFonts w:eastAsia="Franklin Gothic Book"/>
        </w:rPr>
        <w:t>s</w:t>
      </w:r>
      <w:r w:rsidRPr="00BD6247">
        <w:rPr>
          <w:rFonts w:eastAsia="Franklin Gothic Book"/>
        </w:rPr>
        <w:t>.</w:t>
      </w:r>
    </w:p>
    <w:p w14:paraId="48EAD4EB" w14:textId="4A3BAA39" w:rsidR="00415BB4" w:rsidRDefault="009B4AB3" w:rsidP="009B4AB3">
      <w:pPr>
        <w:rPr>
          <w:rFonts w:eastAsia="Franklin Gothic Book"/>
        </w:rPr>
      </w:pPr>
      <w:r w:rsidRPr="22C88022">
        <w:rPr>
          <w:rFonts w:eastAsia="Franklin Gothic Book"/>
        </w:rPr>
        <w:t>MSAC noted that GSD II is a heterogenous condition</w:t>
      </w:r>
      <w:r w:rsidR="003A6650" w:rsidRPr="22C88022">
        <w:rPr>
          <w:rFonts w:eastAsia="Franklin Gothic Book"/>
        </w:rPr>
        <w:t>. The</w:t>
      </w:r>
      <w:r w:rsidRPr="22C88022">
        <w:rPr>
          <w:rFonts w:eastAsia="Franklin Gothic Book"/>
        </w:rPr>
        <w:t xml:space="preserve"> </w:t>
      </w:r>
      <w:r w:rsidR="003A6650" w:rsidRPr="22C88022">
        <w:rPr>
          <w:rFonts w:eastAsia="Franklin Gothic Book"/>
        </w:rPr>
        <w:t>infantile-onset GSD II</w:t>
      </w:r>
      <w:r w:rsidR="00600B92">
        <w:rPr>
          <w:rFonts w:eastAsia="Franklin Gothic Book"/>
        </w:rPr>
        <w:t xml:space="preserve"> (IOGSD II)</w:t>
      </w:r>
      <w:r w:rsidR="003A6650" w:rsidRPr="22C88022">
        <w:rPr>
          <w:rFonts w:eastAsia="Franklin Gothic Book"/>
        </w:rPr>
        <w:t xml:space="preserve"> is a severe, rapidly progressi</w:t>
      </w:r>
      <w:r w:rsidR="002E03A3">
        <w:rPr>
          <w:rFonts w:eastAsia="Franklin Gothic Book"/>
        </w:rPr>
        <w:t>ve</w:t>
      </w:r>
      <w:r w:rsidR="00B124BC">
        <w:rPr>
          <w:rFonts w:eastAsia="Franklin Gothic Book"/>
        </w:rPr>
        <w:t xml:space="preserve"> </w:t>
      </w:r>
      <w:r w:rsidR="003A6650" w:rsidRPr="22C88022">
        <w:rPr>
          <w:rFonts w:eastAsia="Franklin Gothic Book"/>
        </w:rPr>
        <w:t xml:space="preserve">condition that </w:t>
      </w:r>
      <w:r w:rsidR="00415BB4" w:rsidRPr="22C88022">
        <w:rPr>
          <w:rFonts w:eastAsia="Franklin Gothic Book"/>
        </w:rPr>
        <w:t xml:space="preserve">is </w:t>
      </w:r>
      <w:r w:rsidR="003A6650" w:rsidRPr="22C88022">
        <w:rPr>
          <w:rFonts w:eastAsia="Franklin Gothic Book"/>
        </w:rPr>
        <w:t xml:space="preserve">fatal in the first year of life if not treated. However, </w:t>
      </w:r>
      <w:r w:rsidRPr="22C88022">
        <w:rPr>
          <w:rFonts w:eastAsia="Franklin Gothic Book"/>
        </w:rPr>
        <w:t xml:space="preserve">late-onset </w:t>
      </w:r>
      <w:r w:rsidR="003A6650" w:rsidRPr="22C88022">
        <w:rPr>
          <w:rFonts w:eastAsia="Franklin Gothic Book"/>
        </w:rPr>
        <w:t>GSD II</w:t>
      </w:r>
      <w:r w:rsidR="00600B92">
        <w:rPr>
          <w:rFonts w:eastAsia="Franklin Gothic Book"/>
        </w:rPr>
        <w:t xml:space="preserve"> (LOGSD II)</w:t>
      </w:r>
      <w:r w:rsidR="1CF126D9" w:rsidRPr="22C88022">
        <w:rPr>
          <w:rFonts w:eastAsia="Franklin Gothic Book"/>
        </w:rPr>
        <w:t>,</w:t>
      </w:r>
      <w:r w:rsidR="00373CC9">
        <w:rPr>
          <w:rFonts w:eastAsia="Franklin Gothic Book"/>
        </w:rPr>
        <w:t xml:space="preserve"> </w:t>
      </w:r>
      <w:r w:rsidR="003A6650" w:rsidRPr="22C88022">
        <w:rPr>
          <w:rFonts w:eastAsia="Franklin Gothic Book"/>
        </w:rPr>
        <w:t xml:space="preserve">the most common form </w:t>
      </w:r>
      <w:r w:rsidR="00415BB4" w:rsidRPr="22C88022">
        <w:rPr>
          <w:rFonts w:eastAsia="Franklin Gothic Book"/>
        </w:rPr>
        <w:t xml:space="preserve">of the </w:t>
      </w:r>
      <w:r w:rsidR="00735DA2" w:rsidRPr="22C88022">
        <w:rPr>
          <w:rFonts w:eastAsia="Franklin Gothic Book"/>
        </w:rPr>
        <w:t>condition</w:t>
      </w:r>
      <w:r w:rsidR="64D20A5A" w:rsidRPr="22C88022">
        <w:rPr>
          <w:rFonts w:eastAsia="Franklin Gothic Book"/>
        </w:rPr>
        <w:t>,</w:t>
      </w:r>
      <w:r w:rsidR="00972E71" w:rsidRPr="22C88022">
        <w:rPr>
          <w:rFonts w:eastAsia="Franklin Gothic Book"/>
        </w:rPr>
        <w:t xml:space="preserve"> is mostly diagnosed in adults</w:t>
      </w:r>
      <w:r w:rsidR="00D6379B" w:rsidRPr="22C88022">
        <w:rPr>
          <w:rFonts w:eastAsia="Franklin Gothic Book"/>
        </w:rPr>
        <w:t>.</w:t>
      </w:r>
      <w:r w:rsidR="00415BB4" w:rsidRPr="22C88022">
        <w:rPr>
          <w:rFonts w:eastAsia="Franklin Gothic Book"/>
        </w:rPr>
        <w:t xml:space="preserve"> </w:t>
      </w:r>
      <w:r w:rsidR="00972E71" w:rsidRPr="22C88022">
        <w:rPr>
          <w:rFonts w:eastAsia="Franklin Gothic Book"/>
        </w:rPr>
        <w:t xml:space="preserve">Late-onset GSD II causes progressive muscle weakness, respiratory problems and worsening disability. Late-onset GSD II is less severe than infantile-onset GSD II and </w:t>
      </w:r>
      <w:r w:rsidR="002E03A3">
        <w:rPr>
          <w:rFonts w:eastAsia="Franklin Gothic Book"/>
        </w:rPr>
        <w:t xml:space="preserve">is associated with </w:t>
      </w:r>
      <w:r w:rsidR="00972E71" w:rsidRPr="22C88022">
        <w:rPr>
          <w:rFonts w:eastAsia="Franklin Gothic Book"/>
        </w:rPr>
        <w:t xml:space="preserve">a significantly longer life expectancy. </w:t>
      </w:r>
    </w:p>
    <w:p w14:paraId="1B77CB8D" w14:textId="09873E68" w:rsidR="009B4AB3" w:rsidRDefault="009B4AB3" w:rsidP="009B4AB3">
      <w:pPr>
        <w:rPr>
          <w:rFonts w:eastAsia="Franklin Gothic Book"/>
        </w:rPr>
      </w:pPr>
      <w:r w:rsidRPr="00BD6247">
        <w:rPr>
          <w:rFonts w:eastAsia="Franklin Gothic Book"/>
        </w:rPr>
        <w:t xml:space="preserve">MSAC considered that </w:t>
      </w:r>
      <w:r w:rsidR="008A4CF6">
        <w:rPr>
          <w:rFonts w:eastAsia="Franklin Gothic Book"/>
        </w:rPr>
        <w:t xml:space="preserve">for </w:t>
      </w:r>
      <w:r w:rsidRPr="00BD6247">
        <w:rPr>
          <w:rFonts w:eastAsia="Franklin Gothic Book"/>
        </w:rPr>
        <w:t>infantile-onset GSD II</w:t>
      </w:r>
      <w:r w:rsidR="008A4CF6">
        <w:rPr>
          <w:rFonts w:eastAsia="Franklin Gothic Book"/>
        </w:rPr>
        <w:t>,</w:t>
      </w:r>
      <w:r w:rsidRPr="00BD6247">
        <w:rPr>
          <w:rFonts w:eastAsia="Franklin Gothic Book"/>
        </w:rPr>
        <w:t xml:space="preserve"> </w:t>
      </w:r>
      <w:r w:rsidR="002E03A3">
        <w:rPr>
          <w:rFonts w:eastAsia="Franklin Gothic Book"/>
        </w:rPr>
        <w:t>treatment</w:t>
      </w:r>
      <w:r w:rsidRPr="00BD6247">
        <w:rPr>
          <w:rFonts w:eastAsia="Franklin Gothic Book"/>
        </w:rPr>
        <w:t xml:space="preserve"> with enzyme replacement therapy (ERT) during the newborn period may provide additional benefits compared with ERT commencement at symptom onset.</w:t>
      </w:r>
    </w:p>
    <w:p w14:paraId="5910A50A" w14:textId="2471DA80" w:rsidR="00692730" w:rsidRDefault="63A3763C" w:rsidP="009B4AB3">
      <w:pPr>
        <w:rPr>
          <w:rFonts w:eastAsia="Franklin Gothic Book"/>
        </w:rPr>
      </w:pPr>
      <w:r w:rsidRPr="14395A71">
        <w:rPr>
          <w:rFonts w:eastAsia="Franklin Gothic Book"/>
        </w:rPr>
        <w:t xml:space="preserve">MSAC considered current screening and diagnostic testing </w:t>
      </w:r>
      <w:r w:rsidR="17B0CC81" w:rsidRPr="14395A71">
        <w:rPr>
          <w:rFonts w:eastAsia="Franklin Gothic Book"/>
        </w:rPr>
        <w:t xml:space="preserve">for GSD II </w:t>
      </w:r>
      <w:r w:rsidRPr="14395A71">
        <w:rPr>
          <w:rFonts w:eastAsia="Franklin Gothic Book"/>
        </w:rPr>
        <w:t xml:space="preserve">cannot accurately predict disease onset or prognosis for all cases of GSD II. </w:t>
      </w:r>
      <w:r w:rsidR="00063B7E">
        <w:rPr>
          <w:rFonts w:eastAsia="Franklin Gothic Book"/>
        </w:rPr>
        <w:t>MSAC noted screening</w:t>
      </w:r>
      <w:r w:rsidR="008828D5">
        <w:rPr>
          <w:rFonts w:eastAsia="Franklin Gothic Book"/>
        </w:rPr>
        <w:t xml:space="preserve"> followed by diagnostic testing and </w:t>
      </w:r>
      <w:r w:rsidR="008828D5">
        <w:t xml:space="preserve">clinical examination </w:t>
      </w:r>
      <w:r w:rsidR="00003D0E">
        <w:t xml:space="preserve">can help differentiate </w:t>
      </w:r>
      <w:r w:rsidR="00063B7E">
        <w:t xml:space="preserve">IOGSD II </w:t>
      </w:r>
      <w:r w:rsidR="00003D0E">
        <w:t>cases from</w:t>
      </w:r>
      <w:r w:rsidR="00063B7E">
        <w:t xml:space="preserve"> LOGSD II.</w:t>
      </w:r>
      <w:r w:rsidR="00003D0E">
        <w:t xml:space="preserve"> </w:t>
      </w:r>
      <w:r w:rsidRPr="14395A71">
        <w:rPr>
          <w:rFonts w:eastAsia="Franklin Gothic Book"/>
        </w:rPr>
        <w:t>MSAC considered the proposed 2-tier screening strategy (biochemical testing followed by genetic testing) will identify a disproportionately large number of late</w:t>
      </w:r>
      <w:r w:rsidR="54C2DE3B" w:rsidRPr="14395A71">
        <w:rPr>
          <w:rFonts w:eastAsia="Franklin Gothic Book"/>
        </w:rPr>
        <w:t>-</w:t>
      </w:r>
      <w:r w:rsidRPr="14395A71">
        <w:rPr>
          <w:rFonts w:eastAsia="Franklin Gothic Book"/>
        </w:rPr>
        <w:t xml:space="preserve">onset </w:t>
      </w:r>
      <w:r w:rsidR="00F20FA1">
        <w:rPr>
          <w:rFonts w:eastAsia="Franklin Gothic Book"/>
        </w:rPr>
        <w:t xml:space="preserve">cases </w:t>
      </w:r>
      <w:r w:rsidRPr="14395A71">
        <w:rPr>
          <w:rFonts w:eastAsia="Franklin Gothic Book"/>
        </w:rPr>
        <w:t xml:space="preserve">and false positive cases for each infantile-onset case detected. If implemented in 2025-2026, MSAC considered the first tier of screening would identify approximately </w:t>
      </w:r>
      <w:r w:rsidR="00707D22">
        <w:rPr>
          <w:rFonts w:eastAsia="Franklin Gothic Book"/>
        </w:rPr>
        <w:t>58</w:t>
      </w:r>
      <w:r w:rsidR="004704AE">
        <w:rPr>
          <w:rFonts w:eastAsia="Franklin Gothic Book"/>
        </w:rPr>
        <w:t xml:space="preserve"> </w:t>
      </w:r>
      <w:r w:rsidRPr="14395A71">
        <w:rPr>
          <w:rFonts w:eastAsia="Franklin Gothic Book"/>
        </w:rPr>
        <w:t>screen positive cases, who may be recalled for clinical review and diagnostic testing. Of these</w:t>
      </w:r>
      <w:r w:rsidR="30D85042" w:rsidRPr="14395A71">
        <w:rPr>
          <w:rFonts w:eastAsia="Franklin Gothic Book"/>
        </w:rPr>
        <w:t>,</w:t>
      </w:r>
      <w:r w:rsidRPr="14395A71">
        <w:rPr>
          <w:rFonts w:eastAsia="Franklin Gothic Book"/>
        </w:rPr>
        <w:t xml:space="preserve"> approximately one newborn per year would be clinically diagnosed with infantile-onset disease. A further</w:t>
      </w:r>
      <w:r w:rsidR="009340AD">
        <w:rPr>
          <w:rFonts w:eastAsia="Franklin Gothic Book"/>
        </w:rPr>
        <w:t xml:space="preserve"> 10</w:t>
      </w:r>
      <w:r w:rsidRPr="14395A71">
        <w:rPr>
          <w:rFonts w:eastAsia="Franklin Gothic Book"/>
        </w:rPr>
        <w:t xml:space="preserve"> newborns would be considered at risk of developing late-onset GSD II</w:t>
      </w:r>
      <w:r w:rsidR="5E8F7E4B" w:rsidRPr="14395A71">
        <w:rPr>
          <w:rFonts w:eastAsia="Franklin Gothic Book"/>
        </w:rPr>
        <w:t xml:space="preserve"> with an uncertain severity</w:t>
      </w:r>
      <w:r w:rsidR="23E83BFA" w:rsidRPr="14395A71">
        <w:rPr>
          <w:rFonts w:eastAsia="Franklin Gothic Book"/>
        </w:rPr>
        <w:t xml:space="preserve"> and age of onset</w:t>
      </w:r>
      <w:r w:rsidR="00DC0493">
        <w:rPr>
          <w:rFonts w:eastAsia="Franklin Gothic Book"/>
        </w:rPr>
        <w:t xml:space="preserve"> while 47 would be false positive</w:t>
      </w:r>
      <w:r w:rsidR="00920B05">
        <w:rPr>
          <w:rFonts w:eastAsia="Franklin Gothic Book"/>
        </w:rPr>
        <w:t xml:space="preserve"> cases</w:t>
      </w:r>
      <w:r w:rsidR="0064560E">
        <w:rPr>
          <w:rFonts w:eastAsia="Franklin Gothic Book"/>
        </w:rPr>
        <w:t>.</w:t>
      </w:r>
      <w:r w:rsidR="5E8F7E4B" w:rsidRPr="14395A71">
        <w:rPr>
          <w:rFonts w:eastAsia="Franklin Gothic Book"/>
        </w:rPr>
        <w:t xml:space="preserve"> In Australia, people with late-onset GSD II typically develop symptoms when aged </w:t>
      </w:r>
      <w:r w:rsidR="5E8F7E4B" w:rsidRPr="008659D6">
        <w:rPr>
          <w:rFonts w:eastAsia="Franklin Gothic Book"/>
        </w:rPr>
        <w:t>40</w:t>
      </w:r>
      <w:r w:rsidR="5E8F7E4B" w:rsidRPr="14395A71">
        <w:rPr>
          <w:rFonts w:eastAsia="Franklin Gothic Book"/>
        </w:rPr>
        <w:t xml:space="preserve"> years or older</w:t>
      </w:r>
      <w:r w:rsidR="00570ABA">
        <w:rPr>
          <w:rFonts w:eastAsia="Franklin Gothic Book"/>
        </w:rPr>
        <w:t>.</w:t>
      </w:r>
    </w:p>
    <w:p w14:paraId="5DC89652" w14:textId="3ED81540" w:rsidR="009B4AB3" w:rsidRDefault="63A3763C" w:rsidP="009B4AB3">
      <w:pPr>
        <w:rPr>
          <w:rFonts w:eastAsia="Franklin Gothic Book"/>
        </w:rPr>
      </w:pPr>
      <w:r w:rsidRPr="14395A71">
        <w:rPr>
          <w:rFonts w:eastAsia="Franklin Gothic Book"/>
        </w:rPr>
        <w:t xml:space="preserve">Under current </w:t>
      </w:r>
      <w:r w:rsidR="11DA212A" w:rsidRPr="14395A71">
        <w:rPr>
          <w:rFonts w:eastAsia="Franklin Gothic Book"/>
        </w:rPr>
        <w:t xml:space="preserve">Life-Saving Drugs Program </w:t>
      </w:r>
      <w:r w:rsidR="00D13BF4">
        <w:rPr>
          <w:rFonts w:eastAsia="Franklin Gothic Book"/>
        </w:rPr>
        <w:t xml:space="preserve">(LSDP) </w:t>
      </w:r>
      <w:r w:rsidR="008A4CF6">
        <w:rPr>
          <w:rFonts w:eastAsia="Franklin Gothic Book"/>
        </w:rPr>
        <w:t>indications</w:t>
      </w:r>
      <w:r w:rsidRPr="14395A71">
        <w:rPr>
          <w:rFonts w:eastAsia="Franklin Gothic Book"/>
        </w:rPr>
        <w:t xml:space="preserve">, any newborn </w:t>
      </w:r>
      <w:r w:rsidR="5272A184" w:rsidRPr="14395A71">
        <w:rPr>
          <w:rFonts w:eastAsia="Franklin Gothic Book"/>
        </w:rPr>
        <w:t xml:space="preserve">diagnosed with late-onset disease </w:t>
      </w:r>
      <w:r w:rsidRPr="14395A71">
        <w:rPr>
          <w:rFonts w:eastAsia="Franklin Gothic Book"/>
        </w:rPr>
        <w:t xml:space="preserve">who </w:t>
      </w:r>
      <w:r w:rsidR="5272A184" w:rsidRPr="14395A71">
        <w:rPr>
          <w:rFonts w:eastAsia="Franklin Gothic Book"/>
        </w:rPr>
        <w:t xml:space="preserve">is </w:t>
      </w:r>
      <w:r w:rsidRPr="14395A71">
        <w:rPr>
          <w:rFonts w:eastAsia="Franklin Gothic Book"/>
        </w:rPr>
        <w:t>screen positive</w:t>
      </w:r>
      <w:r w:rsidR="5272A184" w:rsidRPr="14395A71">
        <w:rPr>
          <w:rFonts w:eastAsia="Franklin Gothic Book"/>
        </w:rPr>
        <w:t xml:space="preserve"> (deficiency of acid alpha-glucosidase in dried bloodspot),</w:t>
      </w:r>
      <w:r w:rsidRPr="14395A71">
        <w:rPr>
          <w:rFonts w:eastAsia="Franklin Gothic Book"/>
        </w:rPr>
        <w:t xml:space="preserve"> </w:t>
      </w:r>
      <w:r w:rsidR="5272A184" w:rsidRPr="14395A71">
        <w:rPr>
          <w:rFonts w:eastAsia="Franklin Gothic Book"/>
        </w:rPr>
        <w:t xml:space="preserve">and has a genetic variant in the </w:t>
      </w:r>
      <w:r w:rsidR="5272A184" w:rsidRPr="14395A71">
        <w:rPr>
          <w:rFonts w:eastAsia="Franklin Gothic Book"/>
          <w:i/>
          <w:iCs/>
        </w:rPr>
        <w:t>GAA</w:t>
      </w:r>
      <w:r w:rsidR="5272A184" w:rsidRPr="14395A71">
        <w:rPr>
          <w:rFonts w:eastAsia="Franklin Gothic Book"/>
        </w:rPr>
        <w:t xml:space="preserve"> gene </w:t>
      </w:r>
      <w:r w:rsidRPr="14395A71">
        <w:rPr>
          <w:rFonts w:eastAsia="Franklin Gothic Book"/>
        </w:rPr>
        <w:t>would be eligible to receive ERT whilst clinically asymptomatic and would potentially receive therapy for decades</w:t>
      </w:r>
      <w:r w:rsidR="00DF7E66">
        <w:rPr>
          <w:rFonts w:eastAsia="Franklin Gothic Book"/>
        </w:rPr>
        <w:t>,</w:t>
      </w:r>
      <w:r w:rsidRPr="14395A71">
        <w:rPr>
          <w:rFonts w:eastAsia="Franklin Gothic Book"/>
        </w:rPr>
        <w:t xml:space="preserve"> despite there being no </w:t>
      </w:r>
      <w:r w:rsidR="7290B0B2" w:rsidRPr="14395A71">
        <w:rPr>
          <w:rFonts w:eastAsia="Franklin Gothic Book"/>
        </w:rPr>
        <w:t xml:space="preserve">clinical </w:t>
      </w:r>
      <w:r w:rsidRPr="14395A71">
        <w:rPr>
          <w:rFonts w:eastAsia="Franklin Gothic Book"/>
        </w:rPr>
        <w:t xml:space="preserve">evidence of health benefits associated with early treatment for late-onset GSD II. </w:t>
      </w:r>
    </w:p>
    <w:p w14:paraId="52892597" w14:textId="736AFACF" w:rsidR="009B4AB3" w:rsidRPr="00453B31" w:rsidRDefault="63A3763C" w:rsidP="009B4AB3">
      <w:pPr>
        <w:rPr>
          <w:rFonts w:eastAsia="Franklin Gothic Book"/>
        </w:rPr>
      </w:pPr>
      <w:r w:rsidRPr="14395A71">
        <w:rPr>
          <w:rFonts w:eastAsia="Franklin Gothic Book"/>
        </w:rPr>
        <w:t>MSAC also considered that late-onset GSD II is predominantly adult-onset, and diagnosis of adult-onset conditions in the newborn period does not align with the NBS N</w:t>
      </w:r>
      <w:r w:rsidR="40224646" w:rsidRPr="14395A71">
        <w:rPr>
          <w:rFonts w:eastAsia="Franklin Gothic Book"/>
        </w:rPr>
        <w:t>PF.</w:t>
      </w:r>
      <w:r w:rsidRPr="14395A71">
        <w:rPr>
          <w:rFonts w:eastAsia="Franklin Gothic Book"/>
        </w:rPr>
        <w:t xml:space="preserve"> MSAC considered there are ethical issues related to diagnosing </w:t>
      </w:r>
      <w:r w:rsidR="373EE585" w:rsidRPr="14395A71">
        <w:rPr>
          <w:rFonts w:eastAsia="Franklin Gothic Book"/>
        </w:rPr>
        <w:t>newborns with a</w:t>
      </w:r>
      <w:r w:rsidRPr="14395A71">
        <w:rPr>
          <w:rFonts w:eastAsia="Franklin Gothic Book"/>
        </w:rPr>
        <w:t xml:space="preserve"> predominantly adult-onset condition, </w:t>
      </w:r>
      <w:r w:rsidR="373EE585" w:rsidRPr="14395A71">
        <w:rPr>
          <w:rFonts w:eastAsia="Franklin Gothic Book"/>
        </w:rPr>
        <w:t xml:space="preserve">where there is no effective early intervention in childhood </w:t>
      </w:r>
      <w:r w:rsidRPr="14395A71">
        <w:rPr>
          <w:rFonts w:eastAsia="Franklin Gothic Book"/>
        </w:rPr>
        <w:t xml:space="preserve">and </w:t>
      </w:r>
      <w:r w:rsidR="373EE585" w:rsidRPr="14395A71">
        <w:rPr>
          <w:rFonts w:eastAsia="Franklin Gothic Book"/>
        </w:rPr>
        <w:t xml:space="preserve">the </w:t>
      </w:r>
      <w:r w:rsidR="00DF7E66">
        <w:rPr>
          <w:rFonts w:eastAsia="Franklin Gothic Book"/>
        </w:rPr>
        <w:t xml:space="preserve">currently </w:t>
      </w:r>
      <w:r w:rsidR="373EE585" w:rsidRPr="14395A71">
        <w:rPr>
          <w:rFonts w:eastAsia="Franklin Gothic Book"/>
        </w:rPr>
        <w:t xml:space="preserve">available tests cannot </w:t>
      </w:r>
      <w:r w:rsidRPr="14395A71">
        <w:rPr>
          <w:rFonts w:eastAsia="Franklin Gothic Book"/>
        </w:rPr>
        <w:t>accurately determine the prognosis.</w:t>
      </w:r>
    </w:p>
    <w:p w14:paraId="645F5ABF" w14:textId="25FEF586" w:rsidR="009B4AB3" w:rsidRPr="00453B31" w:rsidRDefault="7F81E425" w:rsidP="009B4AB3">
      <w:pPr>
        <w:rPr>
          <w:rFonts w:eastAsia="Franklin Gothic Book"/>
        </w:rPr>
      </w:pPr>
      <w:r w:rsidRPr="14395A71">
        <w:rPr>
          <w:rFonts w:eastAsia="Franklin Gothic Book"/>
        </w:rPr>
        <w:t xml:space="preserve">On balance, MSAC considered there to be a greater potential for harm </w:t>
      </w:r>
      <w:r w:rsidR="00F20FA1">
        <w:rPr>
          <w:rFonts w:eastAsia="Franklin Gothic Book"/>
        </w:rPr>
        <w:t xml:space="preserve">than benefit </w:t>
      </w:r>
      <w:r w:rsidRPr="14395A71">
        <w:rPr>
          <w:rFonts w:eastAsia="Franklin Gothic Book"/>
        </w:rPr>
        <w:t>from NBS for GSD II as</w:t>
      </w:r>
      <w:r w:rsidR="38E487CD" w:rsidRPr="14395A71">
        <w:rPr>
          <w:rFonts w:eastAsia="Franklin Gothic Book"/>
        </w:rPr>
        <w:t>, while</w:t>
      </w:r>
      <w:r w:rsidRPr="14395A71">
        <w:rPr>
          <w:rFonts w:eastAsia="Franklin Gothic Book"/>
        </w:rPr>
        <w:t xml:space="preserve"> one newborn per year may benefit from a diagnosis of infantile-onset GSD</w:t>
      </w:r>
      <w:r w:rsidR="3E96D62E" w:rsidRPr="14395A71">
        <w:rPr>
          <w:rFonts w:eastAsia="Franklin Gothic Book"/>
        </w:rPr>
        <w:t>,</w:t>
      </w:r>
      <w:r w:rsidRPr="14395A71">
        <w:rPr>
          <w:rFonts w:eastAsia="Franklin Gothic Book"/>
        </w:rPr>
        <w:t xml:space="preserve"> a larger number of newborns will be recalled for testing, and newborns identified as at risk for late-onset disease may experience harms from screening such as: psychological harm </w:t>
      </w:r>
      <w:r w:rsidR="15DCAC6A" w:rsidRPr="14395A71">
        <w:rPr>
          <w:rFonts w:eastAsia="Franklin Gothic Book"/>
        </w:rPr>
        <w:t xml:space="preserve">(including anxiety) </w:t>
      </w:r>
      <w:r w:rsidRPr="14395A71">
        <w:rPr>
          <w:rFonts w:eastAsia="Franklin Gothic Book"/>
        </w:rPr>
        <w:t xml:space="preserve">from the diagnosis of late-onset disease, overmedicalisation and overtreatment with no evidence of benefit, parental hypervigilance and burden from monitoring and medical procedures that may be of no benefit. MSAC considered that newborn </w:t>
      </w:r>
      <w:r w:rsidR="00F20FA1">
        <w:rPr>
          <w:rFonts w:eastAsia="Franklin Gothic Book"/>
        </w:rPr>
        <w:t xml:space="preserve">bloodspot </w:t>
      </w:r>
      <w:r w:rsidRPr="14395A71">
        <w:rPr>
          <w:rFonts w:eastAsia="Franklin Gothic Book"/>
        </w:rPr>
        <w:t xml:space="preserve">screening for GSD II could </w:t>
      </w:r>
      <w:r w:rsidR="664EA1E0" w:rsidRPr="14395A71">
        <w:rPr>
          <w:rFonts w:eastAsia="Franklin Gothic Book"/>
        </w:rPr>
        <w:t>cause reputational damage</w:t>
      </w:r>
      <w:r w:rsidR="00570ABA">
        <w:rPr>
          <w:rFonts w:eastAsia="Franklin Gothic Book"/>
        </w:rPr>
        <w:t xml:space="preserve"> to the NBS program</w:t>
      </w:r>
      <w:r w:rsidR="664EA1E0" w:rsidRPr="14395A71">
        <w:rPr>
          <w:rFonts w:eastAsia="Franklin Gothic Book"/>
        </w:rPr>
        <w:t xml:space="preserve"> </w:t>
      </w:r>
      <w:r w:rsidR="00B169D3">
        <w:rPr>
          <w:rFonts w:eastAsia="Franklin Gothic Book"/>
        </w:rPr>
        <w:t xml:space="preserve">if children are diagnosed for </w:t>
      </w:r>
      <w:r w:rsidR="00C51B78">
        <w:rPr>
          <w:rFonts w:eastAsia="Franklin Gothic Book"/>
        </w:rPr>
        <w:t>adult-onset</w:t>
      </w:r>
      <w:r w:rsidR="00B169D3">
        <w:rPr>
          <w:rFonts w:eastAsia="Franklin Gothic Book"/>
        </w:rPr>
        <w:t xml:space="preserve"> condition</w:t>
      </w:r>
      <w:r w:rsidR="00570ABA">
        <w:rPr>
          <w:rFonts w:eastAsia="Franklin Gothic Book"/>
        </w:rPr>
        <w:t>s</w:t>
      </w:r>
      <w:r w:rsidR="00B169D3">
        <w:rPr>
          <w:rFonts w:eastAsia="Franklin Gothic Book"/>
        </w:rPr>
        <w:t xml:space="preserve"> without an effective intervention.</w:t>
      </w:r>
      <w:r w:rsidR="00982FD8">
        <w:rPr>
          <w:rFonts w:eastAsia="Franklin Gothic Book"/>
        </w:rPr>
        <w:t xml:space="preserve"> This may lead to </w:t>
      </w:r>
      <w:r w:rsidR="664EA1E0" w:rsidRPr="14395A71">
        <w:rPr>
          <w:rFonts w:eastAsia="Franklin Gothic Book"/>
        </w:rPr>
        <w:t xml:space="preserve">distrust in the NBS programs and reduce </w:t>
      </w:r>
      <w:r w:rsidRPr="14395A71">
        <w:rPr>
          <w:rFonts w:eastAsia="Franklin Gothic Book"/>
        </w:rPr>
        <w:t>overall participation</w:t>
      </w:r>
      <w:r w:rsidR="264F92D1" w:rsidRPr="14395A71">
        <w:rPr>
          <w:rFonts w:eastAsia="Franklin Gothic Book"/>
        </w:rPr>
        <w:t xml:space="preserve"> </w:t>
      </w:r>
      <w:r w:rsidR="00982FD8">
        <w:rPr>
          <w:rFonts w:eastAsia="Franklin Gothic Book"/>
        </w:rPr>
        <w:t xml:space="preserve">in the </w:t>
      </w:r>
      <w:r w:rsidR="264F92D1" w:rsidRPr="14395A71">
        <w:rPr>
          <w:rFonts w:eastAsia="Franklin Gothic Book"/>
        </w:rPr>
        <w:t>programs</w:t>
      </w:r>
      <w:r w:rsidRPr="14395A71">
        <w:rPr>
          <w:rFonts w:eastAsia="Franklin Gothic Book"/>
        </w:rPr>
        <w:t xml:space="preserve">. MSAC considered </w:t>
      </w:r>
      <w:r w:rsidR="664EA1E0" w:rsidRPr="14395A71">
        <w:rPr>
          <w:rFonts w:eastAsia="Franklin Gothic Book"/>
        </w:rPr>
        <w:t>lower participation in NBS programs would</w:t>
      </w:r>
      <w:r w:rsidRPr="14395A71">
        <w:rPr>
          <w:rFonts w:eastAsia="Franklin Gothic Book"/>
        </w:rPr>
        <w:t xml:space="preserve"> result in worse </w:t>
      </w:r>
      <w:r w:rsidR="664EA1E0" w:rsidRPr="14395A71">
        <w:rPr>
          <w:rFonts w:eastAsia="Franklin Gothic Book"/>
        </w:rPr>
        <w:t xml:space="preserve">health </w:t>
      </w:r>
      <w:r w:rsidRPr="14395A71">
        <w:rPr>
          <w:rFonts w:eastAsia="Franklin Gothic Book"/>
        </w:rPr>
        <w:t xml:space="preserve">outcomes at the population level because </w:t>
      </w:r>
      <w:r w:rsidR="00570ABA">
        <w:rPr>
          <w:rFonts w:eastAsia="Franklin Gothic Book"/>
        </w:rPr>
        <w:t>other</w:t>
      </w:r>
      <w:r w:rsidR="00570ABA" w:rsidRPr="14395A71">
        <w:rPr>
          <w:rFonts w:eastAsia="Franklin Gothic Book"/>
        </w:rPr>
        <w:t xml:space="preserve"> </w:t>
      </w:r>
      <w:r w:rsidR="664EA1E0" w:rsidRPr="14395A71">
        <w:rPr>
          <w:rFonts w:eastAsia="Franklin Gothic Book"/>
        </w:rPr>
        <w:t xml:space="preserve">screened </w:t>
      </w:r>
      <w:r w:rsidRPr="14395A71">
        <w:rPr>
          <w:rFonts w:eastAsia="Franklin Gothic Book"/>
        </w:rPr>
        <w:t xml:space="preserve">conditions </w:t>
      </w:r>
      <w:r w:rsidR="00570ABA">
        <w:rPr>
          <w:rFonts w:eastAsia="Franklin Gothic Book"/>
        </w:rPr>
        <w:t xml:space="preserve">that are more common and have </w:t>
      </w:r>
      <w:r w:rsidRPr="14395A71">
        <w:rPr>
          <w:rFonts w:eastAsia="Franklin Gothic Book"/>
        </w:rPr>
        <w:t xml:space="preserve">effective evidence-based therapies, </w:t>
      </w:r>
      <w:r w:rsidR="00051624">
        <w:rPr>
          <w:rFonts w:eastAsia="Franklin Gothic Book"/>
        </w:rPr>
        <w:t>such as</w:t>
      </w:r>
      <w:r w:rsidRPr="14395A71">
        <w:rPr>
          <w:rFonts w:eastAsia="Franklin Gothic Book"/>
        </w:rPr>
        <w:t xml:space="preserve"> </w:t>
      </w:r>
      <w:r w:rsidR="00DF7E66">
        <w:rPr>
          <w:rFonts w:eastAsia="Franklin Gothic Book"/>
        </w:rPr>
        <w:t>congenital hypothyroidism</w:t>
      </w:r>
      <w:r w:rsidR="00B36CD1">
        <w:rPr>
          <w:rFonts w:eastAsia="Franklin Gothic Book"/>
        </w:rPr>
        <w:t>, phenylketonuria</w:t>
      </w:r>
      <w:r w:rsidR="00DF7E66">
        <w:rPr>
          <w:rFonts w:eastAsia="Franklin Gothic Book"/>
        </w:rPr>
        <w:t xml:space="preserve"> and </w:t>
      </w:r>
      <w:r w:rsidRPr="14395A71">
        <w:rPr>
          <w:rFonts w:eastAsia="Franklin Gothic Book"/>
        </w:rPr>
        <w:t>cystic fibrosis would not be detected</w:t>
      </w:r>
      <w:r w:rsidR="641147D6" w:rsidRPr="14395A71">
        <w:rPr>
          <w:rFonts w:eastAsia="Franklin Gothic Book"/>
        </w:rPr>
        <w:t xml:space="preserve"> early</w:t>
      </w:r>
      <w:r w:rsidRPr="14395A71">
        <w:rPr>
          <w:rFonts w:eastAsia="Franklin Gothic Book"/>
        </w:rPr>
        <w:t xml:space="preserve">. </w:t>
      </w:r>
    </w:p>
    <w:p w14:paraId="0045E9E1" w14:textId="77777777" w:rsidR="009B4AB3" w:rsidRPr="00453B31" w:rsidRDefault="009B4AB3" w:rsidP="009B4AB3">
      <w:pPr>
        <w:rPr>
          <w:rFonts w:eastAsia="Franklin Gothic Book"/>
        </w:rPr>
      </w:pPr>
      <w:r w:rsidRPr="00453B31">
        <w:rPr>
          <w:rFonts w:eastAsia="Franklin Gothic Book"/>
        </w:rPr>
        <w:t>MSAC noted that the incremental cost per screen was comparable to previously accepted costs per screen for other NBS conditions it had previously considered</w:t>
      </w:r>
      <w:r>
        <w:rPr>
          <w:rFonts w:eastAsia="Franklin Gothic Book"/>
        </w:rPr>
        <w:t>.</w:t>
      </w:r>
      <w:r w:rsidRPr="00453B31">
        <w:rPr>
          <w:rFonts w:eastAsia="Franklin Gothic Book"/>
        </w:rPr>
        <w:t xml:space="preserve"> </w:t>
      </w:r>
      <w:r>
        <w:rPr>
          <w:rFonts w:eastAsia="Franklin Gothic Book"/>
        </w:rPr>
        <w:t>H</w:t>
      </w:r>
      <w:r w:rsidRPr="00453B31">
        <w:rPr>
          <w:rFonts w:eastAsia="Franklin Gothic Book"/>
        </w:rPr>
        <w:t xml:space="preserve">owever, </w:t>
      </w:r>
      <w:r>
        <w:rPr>
          <w:rFonts w:eastAsia="Franklin Gothic Book"/>
        </w:rPr>
        <w:t xml:space="preserve">MSAC considered </w:t>
      </w:r>
      <w:r w:rsidRPr="00453B31">
        <w:rPr>
          <w:rFonts w:eastAsia="Franklin Gothic Book"/>
        </w:rPr>
        <w:t xml:space="preserve">the incremental cost per quality-adjusted life year (QALY) of screening for GSD II was </w:t>
      </w:r>
      <w:r>
        <w:rPr>
          <w:rFonts w:eastAsia="Franklin Gothic Book"/>
        </w:rPr>
        <w:t xml:space="preserve">very high and </w:t>
      </w:r>
      <w:r w:rsidRPr="00453B31">
        <w:rPr>
          <w:rFonts w:eastAsia="Franklin Gothic Book"/>
        </w:rPr>
        <w:t xml:space="preserve">likely to be substantially underestimated. The economic model assumed that individuals diagnosed with late-onset disease would only be treated with ERT </w:t>
      </w:r>
      <w:r>
        <w:rPr>
          <w:rFonts w:eastAsia="Franklin Gothic Book"/>
        </w:rPr>
        <w:t>from</w:t>
      </w:r>
      <w:r w:rsidRPr="00453B31">
        <w:rPr>
          <w:rFonts w:eastAsia="Franklin Gothic Book"/>
        </w:rPr>
        <w:t xml:space="preserve"> symptom onset, however in clinical practice, a diagnosis would likely create expectation for </w:t>
      </w:r>
      <w:r>
        <w:rPr>
          <w:rFonts w:eastAsia="Franklin Gothic Book"/>
        </w:rPr>
        <w:t xml:space="preserve">earlier treatment with </w:t>
      </w:r>
      <w:r w:rsidRPr="00453B31">
        <w:rPr>
          <w:rFonts w:eastAsia="Franklin Gothic Book"/>
        </w:rPr>
        <w:t xml:space="preserve">ERT, despite the absence of evidence to support this approach. MSAC considered that this would result in a much higher incremental cost per QALY. </w:t>
      </w:r>
    </w:p>
    <w:p w14:paraId="7F006CD2" w14:textId="5BB5D97A" w:rsidR="009B4AB3" w:rsidRPr="00453B31" w:rsidRDefault="009B4AB3" w:rsidP="009B4AB3">
      <w:pPr>
        <w:rPr>
          <w:rFonts w:eastAsia="Franklin Gothic Book"/>
        </w:rPr>
      </w:pPr>
      <w:r w:rsidRPr="00453B31">
        <w:rPr>
          <w:rFonts w:eastAsia="Franklin Gothic Book"/>
        </w:rPr>
        <w:t>MSAC considered the financial impact from NBS for GSD II was highly uncertain and likely substantial. MSAC considered the cost of providing ERT (primarily to the LSDP) would be approximately $</w:t>
      </w:r>
      <w:r w:rsidR="00E025B8" w:rsidRPr="00E025B8">
        <w:rPr>
          <w:rFonts w:eastAsia="Franklin Gothic Book"/>
          <w:b/>
          <w:bCs/>
        </w:rPr>
        <w:t>REDACTED</w:t>
      </w:r>
      <w:r w:rsidRPr="00453B31">
        <w:rPr>
          <w:rFonts w:eastAsia="Franklin Gothic Book"/>
        </w:rPr>
        <w:t xml:space="preserve"> in the first 5 years of screening should ERT be commenced for all newborns diagnosed with GSD II at birth (</w:t>
      </w:r>
      <w:r w:rsidR="00F86AF8">
        <w:rPr>
          <w:rFonts w:eastAsia="Franklin Gothic Book"/>
        </w:rPr>
        <w:t xml:space="preserve">approximately </w:t>
      </w:r>
      <w:r w:rsidR="00F86AF8" w:rsidRPr="00453B31">
        <w:rPr>
          <w:rFonts w:eastAsia="Franklin Gothic Book"/>
        </w:rPr>
        <w:t>1</w:t>
      </w:r>
      <w:r w:rsidR="00972335">
        <w:rPr>
          <w:rFonts w:eastAsia="Franklin Gothic Book"/>
        </w:rPr>
        <w:t>1</w:t>
      </w:r>
      <w:r w:rsidR="00F86AF8" w:rsidRPr="00453B31">
        <w:rPr>
          <w:rFonts w:eastAsia="Franklin Gothic Book"/>
        </w:rPr>
        <w:t xml:space="preserve"> </w:t>
      </w:r>
      <w:r>
        <w:rPr>
          <w:rFonts w:eastAsia="Franklin Gothic Book"/>
        </w:rPr>
        <w:t>new</w:t>
      </w:r>
      <w:r w:rsidR="00F86AF8">
        <w:rPr>
          <w:rFonts w:eastAsia="Franklin Gothic Book"/>
        </w:rPr>
        <w:t>borns</w:t>
      </w:r>
      <w:r>
        <w:rPr>
          <w:rFonts w:eastAsia="Franklin Gothic Book"/>
        </w:rPr>
        <w:t xml:space="preserve"> </w:t>
      </w:r>
      <w:r w:rsidRPr="00453B31">
        <w:rPr>
          <w:rFonts w:eastAsia="Franklin Gothic Book"/>
        </w:rPr>
        <w:t>per year)</w:t>
      </w:r>
      <w:r w:rsidR="00F03718">
        <w:rPr>
          <w:rFonts w:eastAsia="Franklin Gothic Book"/>
        </w:rPr>
        <w:t>, irrespective of</w:t>
      </w:r>
      <w:r w:rsidR="00F86AF8">
        <w:rPr>
          <w:rFonts w:eastAsia="Franklin Gothic Book"/>
        </w:rPr>
        <w:t xml:space="preserve"> the type of GSD II</w:t>
      </w:r>
      <w:r w:rsidR="00D32490">
        <w:rPr>
          <w:rFonts w:eastAsia="Franklin Gothic Book"/>
        </w:rPr>
        <w:t>)</w:t>
      </w:r>
      <w:r w:rsidRPr="00453B31">
        <w:rPr>
          <w:rFonts w:eastAsia="Franklin Gothic Book"/>
        </w:rPr>
        <w:t xml:space="preserve">. MSAC advised the </w:t>
      </w:r>
      <w:r>
        <w:rPr>
          <w:rFonts w:eastAsia="Franklin Gothic Book"/>
        </w:rPr>
        <w:t xml:space="preserve">annual </w:t>
      </w:r>
      <w:r w:rsidRPr="00453B31">
        <w:rPr>
          <w:rFonts w:eastAsia="Franklin Gothic Book"/>
        </w:rPr>
        <w:t xml:space="preserve">costs of ERT would continue to increase as more newborns are diagnosed with GSD II. </w:t>
      </w:r>
      <w:r w:rsidR="00D32490">
        <w:rPr>
          <w:rFonts w:eastAsia="Franklin Gothic Book"/>
        </w:rPr>
        <w:t xml:space="preserve">MSAC noted that the financial impacts estimated in the DCAR also included the costs of first tier screening for the remaining 47 </w:t>
      </w:r>
      <w:r w:rsidR="00DD1018">
        <w:rPr>
          <w:rFonts w:eastAsia="Franklin Gothic Book"/>
        </w:rPr>
        <w:t xml:space="preserve">false </w:t>
      </w:r>
      <w:r w:rsidR="00D32490">
        <w:rPr>
          <w:rFonts w:eastAsia="Franklin Gothic Book"/>
        </w:rPr>
        <w:t>positive</w:t>
      </w:r>
      <w:r w:rsidR="00DD1018">
        <w:rPr>
          <w:rFonts w:eastAsia="Franklin Gothic Book"/>
        </w:rPr>
        <w:t xml:space="preserve"> screens. </w:t>
      </w:r>
      <w:r w:rsidR="00D32490">
        <w:rPr>
          <w:rFonts w:eastAsia="Franklin Gothic Book"/>
        </w:rPr>
        <w:t xml:space="preserve"> </w:t>
      </w:r>
    </w:p>
    <w:p w14:paraId="37AAFD0C" w14:textId="3FE7B476" w:rsidR="00D83830" w:rsidRPr="00453B31" w:rsidRDefault="63A3763C" w:rsidP="00D83830">
      <w:pPr>
        <w:rPr>
          <w:rFonts w:eastAsia="Franklin Gothic Book"/>
        </w:rPr>
      </w:pPr>
      <w:r w:rsidRPr="14395A71">
        <w:rPr>
          <w:rFonts w:eastAsia="Franklin Gothic Book"/>
        </w:rPr>
        <w:t xml:space="preserve">MSAC advised the addition of infantile-onset GSD II to newborn screening programs could be reconsidered when </w:t>
      </w:r>
      <w:proofErr w:type="spellStart"/>
      <w:r w:rsidRPr="14395A71">
        <w:rPr>
          <w:rFonts w:eastAsia="Franklin Gothic Book"/>
        </w:rPr>
        <w:t>i</w:t>
      </w:r>
      <w:proofErr w:type="spellEnd"/>
      <w:r w:rsidRPr="14395A71">
        <w:rPr>
          <w:rFonts w:eastAsia="Franklin Gothic Book"/>
        </w:rPr>
        <w:t xml:space="preserve">) new screening and diagnostic testing methodologies are developed that more accurately differentiate between infantile-onset GSD II versus late-onset GSD II; and ii) </w:t>
      </w:r>
      <w:r w:rsidR="00B169D3">
        <w:rPr>
          <w:rFonts w:eastAsia="Franklin Gothic Book"/>
        </w:rPr>
        <w:t xml:space="preserve">additional </w:t>
      </w:r>
      <w:r w:rsidRPr="14395A71">
        <w:rPr>
          <w:rFonts w:eastAsia="Franklin Gothic Book"/>
        </w:rPr>
        <w:t>higher quality evidence demonstrating that diagnosis following NBS and earlier treatment improves clinical outcomes compared with treatment following a symptomatic diagnosis</w:t>
      </w:r>
      <w:r w:rsidR="2FC4B53E" w:rsidRPr="14395A71">
        <w:rPr>
          <w:rFonts w:eastAsia="Franklin Gothic Book"/>
        </w:rPr>
        <w:t xml:space="preserve">. </w:t>
      </w:r>
    </w:p>
    <w:tbl>
      <w:tblPr>
        <w:tblStyle w:val="Section3-footnot1"/>
        <w:tblW w:w="0" w:type="auto"/>
        <w:tblLook w:val="04A0" w:firstRow="1" w:lastRow="0" w:firstColumn="1" w:lastColumn="0" w:noHBand="0" w:noVBand="1"/>
        <w:tblDescription w:val="Consumer summary of MSAC consideration"/>
      </w:tblPr>
      <w:tblGrid>
        <w:gridCol w:w="9016"/>
      </w:tblGrid>
      <w:tr w:rsidR="00ED5CB7" w:rsidRPr="00F91D6E" w14:paraId="171DC3A3" w14:textId="77777777" w:rsidTr="00175863">
        <w:trPr>
          <w:tblHeader/>
        </w:trPr>
        <w:tc>
          <w:tcPr>
            <w:tcW w:w="9016" w:type="dxa"/>
          </w:tcPr>
          <w:p w14:paraId="2794EB90" w14:textId="4F464791" w:rsidR="00ED5CB7" w:rsidRPr="00F91D6E" w:rsidRDefault="00ED5CB7" w:rsidP="00834258">
            <w:pPr>
              <w:keepNext/>
              <w:keepLines/>
              <w:spacing w:after="120" w:line="259" w:lineRule="auto"/>
              <w:rPr>
                <w:rFonts w:eastAsia="Calibri" w:cs="Times New Roman"/>
                <w:b/>
                <w:bCs/>
              </w:rPr>
            </w:pPr>
            <w:r w:rsidRPr="00F91D6E">
              <w:rPr>
                <w:rFonts w:eastAsia="Times New Roman" w:cs="Times New Roman"/>
                <w:b/>
                <w:bCs/>
                <w:szCs w:val="24"/>
              </w:rPr>
              <w:t>Consumer summary</w:t>
            </w:r>
          </w:p>
        </w:tc>
      </w:tr>
      <w:tr w:rsidR="00ED5CB7" w:rsidRPr="00F91D6E" w14:paraId="13CE646B" w14:textId="77777777" w:rsidTr="0DA216B7">
        <w:tc>
          <w:tcPr>
            <w:tcW w:w="9016" w:type="dxa"/>
          </w:tcPr>
          <w:p w14:paraId="271F558E" w14:textId="5A12B78E" w:rsidR="00AF28E3" w:rsidRDefault="0057632A" w:rsidP="00AF28E3">
            <w:r>
              <w:t xml:space="preserve">This application from the Department of Health and Aged Care </w:t>
            </w:r>
            <w:r w:rsidR="00484D1E">
              <w:t xml:space="preserve">(the </w:t>
            </w:r>
            <w:r w:rsidR="008443C5">
              <w:t>department</w:t>
            </w:r>
            <w:r w:rsidR="00484D1E">
              <w:t xml:space="preserve">) </w:t>
            </w:r>
            <w:r w:rsidR="004C18C5">
              <w:t xml:space="preserve">requested </w:t>
            </w:r>
            <w:r>
              <w:t xml:space="preserve">advice about </w:t>
            </w:r>
            <w:r w:rsidR="00AE1E92">
              <w:t xml:space="preserve">adding a screening test for </w:t>
            </w:r>
            <w:r>
              <w:t>glycogen storage disease type II (</w:t>
            </w:r>
            <w:r w:rsidR="00A3225D">
              <w:t xml:space="preserve">GSD II, </w:t>
            </w:r>
            <w:r w:rsidR="00634BD0">
              <w:t xml:space="preserve">also known as </w:t>
            </w:r>
            <w:r>
              <w:t>Pompe disease</w:t>
            </w:r>
            <w:r w:rsidR="00A3225D">
              <w:t xml:space="preserve"> and Acid Maltase disease</w:t>
            </w:r>
            <w:r>
              <w:t xml:space="preserve">) </w:t>
            </w:r>
            <w:r w:rsidR="00AE1E92">
              <w:t xml:space="preserve">to </w:t>
            </w:r>
            <w:r>
              <w:t>the Newborn Bloodspot Screening (NBS) program</w:t>
            </w:r>
            <w:r w:rsidR="004C18C5">
              <w:t>s</w:t>
            </w:r>
            <w:r>
              <w:t xml:space="preserve">. </w:t>
            </w:r>
            <w:r w:rsidR="00484D1E">
              <w:t>N</w:t>
            </w:r>
            <w:r w:rsidR="00484D1E" w:rsidRPr="00AE5F4D">
              <w:t>ewborn bloodspot screening programs</w:t>
            </w:r>
            <w:r w:rsidR="00484D1E">
              <w:t xml:space="preserve"> are delivered by state and territory governments</w:t>
            </w:r>
            <w:r w:rsidR="00484D1E" w:rsidRPr="00AE5F4D">
              <w:t>.</w:t>
            </w:r>
            <w:r w:rsidR="00484D1E">
              <w:t xml:space="preserve"> </w:t>
            </w:r>
            <w:r w:rsidR="00A065E6">
              <w:t xml:space="preserve">The </w:t>
            </w:r>
            <w:r w:rsidR="00F72045">
              <w:t>d</w:t>
            </w:r>
            <w:r w:rsidR="00A065E6">
              <w:t xml:space="preserve">epartment is working with </w:t>
            </w:r>
            <w:r w:rsidR="00A065E6" w:rsidRPr="00A065E6">
              <w:t>state and territor</w:t>
            </w:r>
            <w:r w:rsidR="00A065E6">
              <w:t xml:space="preserve">y governments to increase </w:t>
            </w:r>
            <w:r w:rsidR="00A065E6" w:rsidRPr="00A065E6">
              <w:t>the number and consistency of conditions screen</w:t>
            </w:r>
            <w:r w:rsidR="00484D1E">
              <w:t>ed</w:t>
            </w:r>
            <w:r w:rsidR="00A065E6">
              <w:t xml:space="preserve">. </w:t>
            </w:r>
            <w:r>
              <w:t xml:space="preserve">MSAC’s advice </w:t>
            </w:r>
            <w:r w:rsidR="00DF7E66">
              <w:t>provides input to the</w:t>
            </w:r>
            <w:r w:rsidR="00AF28E3">
              <w:t xml:space="preserve"> Health Ministers </w:t>
            </w:r>
            <w:r w:rsidR="00DF7E66">
              <w:t xml:space="preserve">who </w:t>
            </w:r>
            <w:proofErr w:type="gramStart"/>
            <w:r w:rsidR="00AF28E3">
              <w:t>make a decision</w:t>
            </w:r>
            <w:proofErr w:type="gramEnd"/>
            <w:r w:rsidR="00AF28E3">
              <w:t xml:space="preserve"> at the Health Ministers</w:t>
            </w:r>
            <w:r w:rsidR="00F72045">
              <w:t>’</w:t>
            </w:r>
            <w:r w:rsidR="00AF28E3">
              <w:t xml:space="preserve"> Meeting (HMM) on whether to implement </w:t>
            </w:r>
            <w:r w:rsidR="00DF7E66">
              <w:t xml:space="preserve">new </w:t>
            </w:r>
            <w:r w:rsidR="00AF28E3">
              <w:t xml:space="preserve">screening </w:t>
            </w:r>
            <w:r w:rsidR="00DF7E66">
              <w:t>programs</w:t>
            </w:r>
            <w:r w:rsidR="00DF7E66">
              <w:rPr>
                <w:rStyle w:val="FootnoteReference"/>
              </w:rPr>
              <w:footnoteReference w:id="2"/>
            </w:r>
            <w:r w:rsidR="00AF28E3">
              <w:t xml:space="preserve">. </w:t>
            </w:r>
          </w:p>
          <w:p w14:paraId="0DA28B30" w14:textId="008E8949" w:rsidR="008A2983" w:rsidRDefault="00944244" w:rsidP="008A2983">
            <w:r>
              <w:t xml:space="preserve">NBS programs </w:t>
            </w:r>
            <w:r w:rsidR="00DF7E66">
              <w:t>involve collecting</w:t>
            </w:r>
            <w:r>
              <w:t xml:space="preserve"> a</w:t>
            </w:r>
            <w:r w:rsidR="008A2983">
              <w:t xml:space="preserve"> </w:t>
            </w:r>
            <w:r>
              <w:t xml:space="preserve">tiny sample of blood </w:t>
            </w:r>
            <w:r w:rsidR="008A2983">
              <w:t xml:space="preserve">from the heel of </w:t>
            </w:r>
            <w:r>
              <w:t xml:space="preserve">each </w:t>
            </w:r>
            <w:r w:rsidR="008A2983">
              <w:t>newborn bab</w:t>
            </w:r>
            <w:r>
              <w:t>y</w:t>
            </w:r>
            <w:r w:rsidR="008A2983">
              <w:t xml:space="preserve"> </w:t>
            </w:r>
            <w:r w:rsidR="00DF7E66">
              <w:t xml:space="preserve">and using that sample </w:t>
            </w:r>
            <w:r w:rsidR="008D177E">
              <w:t xml:space="preserve">placed on to special filter paper </w:t>
            </w:r>
            <w:r w:rsidR="006804E5">
              <w:t xml:space="preserve">(also called dried bloodspot) </w:t>
            </w:r>
            <w:r w:rsidR="008A2983">
              <w:t xml:space="preserve">to test for several severe childhood conditions, so that the </w:t>
            </w:r>
            <w:r>
              <w:t xml:space="preserve">baby </w:t>
            </w:r>
            <w:r w:rsidR="008A2983">
              <w:t xml:space="preserve">may access treatment earlier. Although the NBS programs are optional, it has </w:t>
            </w:r>
            <w:r w:rsidR="00DF7E66">
              <w:t>over</w:t>
            </w:r>
            <w:r w:rsidR="008A2983">
              <w:t xml:space="preserve"> </w:t>
            </w:r>
            <w:r w:rsidR="00DF7E66">
              <w:t xml:space="preserve">99% </w:t>
            </w:r>
            <w:r w:rsidR="008A2983">
              <w:t>uptake across Australia</w:t>
            </w:r>
            <w:r w:rsidR="00DF7E66">
              <w:t xml:space="preserve">. </w:t>
            </w:r>
            <w:r w:rsidR="008A2983">
              <w:t xml:space="preserve"> </w:t>
            </w:r>
            <w:r w:rsidR="00DF7E66">
              <w:t>A positive</w:t>
            </w:r>
            <w:r w:rsidR="008A2983">
              <w:t xml:space="preserve"> initial screening test</w:t>
            </w:r>
            <w:r w:rsidR="00051624">
              <w:t xml:space="preserve"> result</w:t>
            </w:r>
            <w:r w:rsidR="00DF7E66">
              <w:t>,</w:t>
            </w:r>
            <w:r w:rsidR="008A2983">
              <w:t xml:space="preserve"> which identifies </w:t>
            </w:r>
            <w:r w:rsidR="00585CFC">
              <w:t xml:space="preserve">babies </w:t>
            </w:r>
            <w:r w:rsidR="008A2983">
              <w:t>at risk for the condition of interest</w:t>
            </w:r>
            <w:r w:rsidR="00DF7E66">
              <w:t>,</w:t>
            </w:r>
            <w:r w:rsidR="008A2983">
              <w:t xml:space="preserve"> does not make a diagnosis</w:t>
            </w:r>
            <w:r w:rsidR="00DF7E66">
              <w:t xml:space="preserve">, but the baby </w:t>
            </w:r>
            <w:r w:rsidR="00CA0545">
              <w:t xml:space="preserve">is </w:t>
            </w:r>
            <w:r w:rsidR="008A2983">
              <w:t xml:space="preserve">recalled for further clinical assessment and a separate diagnostic test. The diagnosis </w:t>
            </w:r>
            <w:r w:rsidR="00DF7E66">
              <w:t>may be made</w:t>
            </w:r>
            <w:r w:rsidR="008A2983">
              <w:t xml:space="preserve"> before any detectable signs and symptoms of disease.</w:t>
            </w:r>
          </w:p>
          <w:p w14:paraId="653CEDFB" w14:textId="271E9643" w:rsidR="0003464B" w:rsidRDefault="0041743F" w:rsidP="0057632A">
            <w:r>
              <w:t>GSD II</w:t>
            </w:r>
            <w:r w:rsidR="0057632A">
              <w:t xml:space="preserve"> is </w:t>
            </w:r>
            <w:r w:rsidR="00634BD0">
              <w:t xml:space="preserve">a rare genetic </w:t>
            </w:r>
            <w:r w:rsidR="00DF7E66">
              <w:t xml:space="preserve">(inherited) </w:t>
            </w:r>
            <w:r w:rsidR="00634BD0">
              <w:t xml:space="preserve">condition </w:t>
            </w:r>
            <w:r w:rsidR="0057632A">
              <w:t xml:space="preserve">caused by </w:t>
            </w:r>
            <w:r w:rsidR="69739728">
              <w:t xml:space="preserve">very low levels </w:t>
            </w:r>
            <w:r w:rsidR="0057632A">
              <w:t>of an enzyme</w:t>
            </w:r>
            <w:r w:rsidR="008A51CF">
              <w:t xml:space="preserve"> </w:t>
            </w:r>
            <w:r w:rsidR="0057632A">
              <w:t>called alpha</w:t>
            </w:r>
            <w:r w:rsidR="00A3225D">
              <w:t xml:space="preserve"> </w:t>
            </w:r>
            <w:r w:rsidR="0057632A">
              <w:t>glucosidase</w:t>
            </w:r>
            <w:r w:rsidR="6499256A">
              <w:t xml:space="preserve">. This </w:t>
            </w:r>
            <w:r w:rsidR="008D177E">
              <w:t>enzyme</w:t>
            </w:r>
            <w:r w:rsidR="0057632A">
              <w:t xml:space="preserve"> break</w:t>
            </w:r>
            <w:r w:rsidR="008D177E">
              <w:t>s</w:t>
            </w:r>
            <w:r w:rsidR="0057632A">
              <w:t xml:space="preserve"> down </w:t>
            </w:r>
            <w:r w:rsidR="00A3225D">
              <w:t xml:space="preserve">glycogen, a </w:t>
            </w:r>
            <w:r w:rsidR="00DF7E66">
              <w:t xml:space="preserve">complex </w:t>
            </w:r>
            <w:r w:rsidR="0057632A">
              <w:t>sugar</w:t>
            </w:r>
            <w:r w:rsidR="00A3225D">
              <w:t>,</w:t>
            </w:r>
            <w:r w:rsidR="0057632A">
              <w:t xml:space="preserve"> </w:t>
            </w:r>
            <w:r w:rsidR="0D00CDEA">
              <w:t>in the body</w:t>
            </w:r>
            <w:r w:rsidR="0057632A" w:rsidRPr="1173959B">
              <w:rPr>
                <w:color w:val="5B9BD5" w:themeColor="accent1"/>
              </w:rPr>
              <w:t>.</w:t>
            </w:r>
            <w:r w:rsidR="0057632A" w:rsidRPr="0DA216B7">
              <w:rPr>
                <w:color w:val="5B9BD5" w:themeColor="accent1"/>
              </w:rPr>
              <w:t xml:space="preserve"> </w:t>
            </w:r>
            <w:r w:rsidR="0057632A">
              <w:t>There are 2 forms</w:t>
            </w:r>
            <w:r w:rsidR="00484D1E">
              <w:t xml:space="preserve"> of</w:t>
            </w:r>
            <w:r w:rsidR="7D9A8047">
              <w:t xml:space="preserve"> GSD II</w:t>
            </w:r>
            <w:r w:rsidR="008D177E">
              <w:t xml:space="preserve">; one </w:t>
            </w:r>
            <w:r w:rsidR="00634BD0">
              <w:t xml:space="preserve">form </w:t>
            </w:r>
            <w:r w:rsidR="00484D1E">
              <w:t xml:space="preserve">is called </w:t>
            </w:r>
            <w:r w:rsidR="0057632A">
              <w:t xml:space="preserve">infantile-onset </w:t>
            </w:r>
            <w:r>
              <w:t>GSD II</w:t>
            </w:r>
            <w:r w:rsidR="00A3225D">
              <w:t xml:space="preserve">, </w:t>
            </w:r>
            <w:r w:rsidR="00484D1E">
              <w:t xml:space="preserve">a life-threatening condition </w:t>
            </w:r>
            <w:r w:rsidR="00A3225D">
              <w:t xml:space="preserve">where </w:t>
            </w:r>
            <w:r w:rsidR="00484D1E">
              <w:t>affected babies can die without treatment</w:t>
            </w:r>
            <w:r w:rsidR="008D177E">
              <w:t>, because of</w:t>
            </w:r>
            <w:r w:rsidR="00484D1E">
              <w:t xml:space="preserve"> heart and breathing problems, </w:t>
            </w:r>
            <w:r w:rsidR="008D177E">
              <w:t>due to weak muscles</w:t>
            </w:r>
            <w:r w:rsidR="00726ABE">
              <w:t>.</w:t>
            </w:r>
            <w:r w:rsidR="00484D1E">
              <w:t xml:space="preserve"> </w:t>
            </w:r>
            <w:r w:rsidR="00E71A74">
              <w:t>Late</w:t>
            </w:r>
            <w:r w:rsidR="00726ABE">
              <w:t xml:space="preserve">-onset </w:t>
            </w:r>
            <w:r>
              <w:t>GSD II</w:t>
            </w:r>
            <w:r w:rsidR="00726ABE">
              <w:t xml:space="preserve"> is mostly diagnosed in adults</w:t>
            </w:r>
            <w:r w:rsidR="00A62A9F">
              <w:t xml:space="preserve">. </w:t>
            </w:r>
            <w:r w:rsidR="00EE3FAE">
              <w:t xml:space="preserve">In Australia, people with late-onset GSD II typically develop symptoms aged 40 years or older. </w:t>
            </w:r>
            <w:r w:rsidR="00A62A9F">
              <w:t>People</w:t>
            </w:r>
            <w:r w:rsidR="00726ABE">
              <w:t xml:space="preserve"> with late-onset </w:t>
            </w:r>
            <w:r>
              <w:t>GSD II</w:t>
            </w:r>
            <w:r w:rsidR="00726ABE">
              <w:t xml:space="preserve"> can have trouble walking</w:t>
            </w:r>
            <w:r w:rsidR="00C731D2">
              <w:t>, breathing</w:t>
            </w:r>
            <w:r w:rsidR="00726ABE">
              <w:t xml:space="preserve"> and </w:t>
            </w:r>
            <w:r w:rsidR="00C731D2">
              <w:t>experience severe disability</w:t>
            </w:r>
            <w:r w:rsidR="00726ABE">
              <w:t xml:space="preserve">. </w:t>
            </w:r>
            <w:r w:rsidR="00C731D2">
              <w:t xml:space="preserve">Late-onset </w:t>
            </w:r>
            <w:r>
              <w:t>GSD II</w:t>
            </w:r>
            <w:r w:rsidR="00C731D2">
              <w:t xml:space="preserve"> progresses </w:t>
            </w:r>
            <w:r w:rsidR="00027B3A">
              <w:t xml:space="preserve">at slower rate than infantile-onset </w:t>
            </w:r>
            <w:r>
              <w:t>GSD II</w:t>
            </w:r>
            <w:r w:rsidR="00027B3A">
              <w:t xml:space="preserve">. </w:t>
            </w:r>
            <w:r w:rsidR="00726ABE">
              <w:t xml:space="preserve">Late-onset </w:t>
            </w:r>
            <w:r>
              <w:t>GSD II</w:t>
            </w:r>
            <w:r w:rsidR="00726ABE">
              <w:t xml:space="preserve"> is </w:t>
            </w:r>
            <w:r w:rsidR="00A3225D">
              <w:t xml:space="preserve">much </w:t>
            </w:r>
            <w:r w:rsidR="00726ABE">
              <w:t xml:space="preserve">more common (80–90% of all cases) than infantile-onset </w:t>
            </w:r>
            <w:r w:rsidR="001F1786">
              <w:t>GSD II</w:t>
            </w:r>
            <w:r w:rsidR="00E71A74">
              <w:t xml:space="preserve"> </w:t>
            </w:r>
            <w:r w:rsidR="00726ABE">
              <w:t>(10–20% of all cases).</w:t>
            </w:r>
            <w:r w:rsidR="00523838">
              <w:t xml:space="preserve"> People with </w:t>
            </w:r>
            <w:r>
              <w:t>GSD II</w:t>
            </w:r>
            <w:r w:rsidR="00523838">
              <w:t xml:space="preserve"> </w:t>
            </w:r>
            <w:r w:rsidR="00A3225D">
              <w:t xml:space="preserve">who meet treatment guidelines </w:t>
            </w:r>
            <w:r w:rsidR="00523838">
              <w:t xml:space="preserve">can be treated with </w:t>
            </w:r>
            <w:proofErr w:type="spellStart"/>
            <w:r w:rsidR="00523838">
              <w:t>alglucosidase</w:t>
            </w:r>
            <w:proofErr w:type="spellEnd"/>
            <w:r w:rsidR="00523838">
              <w:t xml:space="preserve"> alfa or </w:t>
            </w:r>
            <w:proofErr w:type="spellStart"/>
            <w:r w:rsidR="00523838">
              <w:t>avalglucosidase</w:t>
            </w:r>
            <w:proofErr w:type="spellEnd"/>
            <w:r w:rsidR="00523838">
              <w:t xml:space="preserve"> alfa </w:t>
            </w:r>
            <w:r w:rsidR="00A3225D">
              <w:t xml:space="preserve">intravenous </w:t>
            </w:r>
            <w:r w:rsidR="00523838">
              <w:t xml:space="preserve">enzyme replacement therapies </w:t>
            </w:r>
            <w:r w:rsidR="00CA0545">
              <w:t xml:space="preserve">available </w:t>
            </w:r>
            <w:r w:rsidR="00F72045">
              <w:t>in Australia</w:t>
            </w:r>
            <w:r w:rsidR="00523838">
              <w:t xml:space="preserve"> through the Life Saving Drugs Program (LSDP).</w:t>
            </w:r>
          </w:p>
          <w:p w14:paraId="59480DEB" w14:textId="7DC63EC6" w:rsidR="004260B9" w:rsidRDefault="0057632A" w:rsidP="0057632A">
            <w:r>
              <w:t xml:space="preserve">The </w:t>
            </w:r>
            <w:r w:rsidR="007D4558">
              <w:t xml:space="preserve">suggested </w:t>
            </w:r>
            <w:r w:rsidR="00DD416A">
              <w:t>screening</w:t>
            </w:r>
            <w:r>
              <w:t xml:space="preserve"> test </w:t>
            </w:r>
            <w:r w:rsidR="007D4558">
              <w:t xml:space="preserve">for </w:t>
            </w:r>
            <w:r w:rsidR="0041743F">
              <w:t>GSD II</w:t>
            </w:r>
            <w:r w:rsidR="007D4558">
              <w:t xml:space="preserve"> </w:t>
            </w:r>
            <w:r>
              <w:t xml:space="preserve">would take place in 2 stages (tiers). The </w:t>
            </w:r>
            <w:proofErr w:type="gramStart"/>
            <w:r>
              <w:t>first</w:t>
            </w:r>
            <w:r w:rsidR="00563303">
              <w:t>-</w:t>
            </w:r>
            <w:r>
              <w:t>tier</w:t>
            </w:r>
            <w:proofErr w:type="gramEnd"/>
            <w:r>
              <w:t xml:space="preserve"> would be an enzyme activity test on the dried bloodspot</w:t>
            </w:r>
            <w:r w:rsidRPr="00C0125C">
              <w:t xml:space="preserve">. </w:t>
            </w:r>
            <w:r w:rsidR="008A2983">
              <w:t xml:space="preserve">Babies with </w:t>
            </w:r>
            <w:r w:rsidR="00A3225D">
              <w:t xml:space="preserve">low enzyme levels </w:t>
            </w:r>
            <w:r w:rsidRPr="00C0125C">
              <w:t xml:space="preserve">would go on to </w:t>
            </w:r>
            <w:r w:rsidR="00A3225D">
              <w:t xml:space="preserve">have </w:t>
            </w:r>
            <w:r>
              <w:t xml:space="preserve">genetic </w:t>
            </w:r>
            <w:r w:rsidRPr="00405FCF">
              <w:t xml:space="preserve">testing </w:t>
            </w:r>
            <w:r>
              <w:t xml:space="preserve">to look for </w:t>
            </w:r>
            <w:r w:rsidR="008A2983">
              <w:t xml:space="preserve">some </w:t>
            </w:r>
            <w:r w:rsidR="00A3225D">
              <w:t xml:space="preserve">alfa glucosidase </w:t>
            </w:r>
            <w:r w:rsidR="005211AA">
              <w:t>ge</w:t>
            </w:r>
            <w:r w:rsidR="002557F0">
              <w:t>netic</w:t>
            </w:r>
            <w:r w:rsidR="005211AA">
              <w:t xml:space="preserve"> </w:t>
            </w:r>
            <w:r>
              <w:t>variants</w:t>
            </w:r>
            <w:r w:rsidR="005211AA">
              <w:t xml:space="preserve"> </w:t>
            </w:r>
            <w:r w:rsidR="005211AA" w:rsidRPr="005211AA">
              <w:t xml:space="preserve">that </w:t>
            </w:r>
            <w:r w:rsidR="00A3225D">
              <w:t>are associated with a</w:t>
            </w:r>
            <w:r w:rsidR="005211AA" w:rsidRPr="005211AA">
              <w:t xml:space="preserve"> risk of developing </w:t>
            </w:r>
            <w:r w:rsidR="0041743F">
              <w:t>GSD II</w:t>
            </w:r>
            <w:r>
              <w:t>.</w:t>
            </w:r>
            <w:r w:rsidR="007D4558">
              <w:t xml:space="preserve"> </w:t>
            </w:r>
          </w:p>
          <w:p w14:paraId="03EBA17B" w14:textId="423A9653" w:rsidR="007B3618" w:rsidRDefault="00053D8F" w:rsidP="00D07236">
            <w:r>
              <w:t xml:space="preserve">If </w:t>
            </w:r>
            <w:r w:rsidR="0041743F">
              <w:t>GSD II</w:t>
            </w:r>
            <w:r>
              <w:t xml:space="preserve"> was included in Australia’s newborn screening programs, </w:t>
            </w:r>
            <w:r w:rsidR="00015B4E">
              <w:t>approximately</w:t>
            </w:r>
            <w:r w:rsidR="00C87517">
              <w:t xml:space="preserve"> </w:t>
            </w:r>
            <w:r w:rsidR="00EC2AFF">
              <w:t xml:space="preserve">58 </w:t>
            </w:r>
            <w:r w:rsidR="00EE4A82">
              <w:t xml:space="preserve">babies </w:t>
            </w:r>
            <w:r w:rsidR="008D177E">
              <w:t xml:space="preserve">each year would </w:t>
            </w:r>
            <w:r w:rsidR="00EE4A82">
              <w:t xml:space="preserve">have abnormal screening test results and need </w:t>
            </w:r>
            <w:r w:rsidR="00A3225D">
              <w:t xml:space="preserve">clinical review and </w:t>
            </w:r>
            <w:r w:rsidR="00EE4A82">
              <w:t xml:space="preserve">more testing. Most of these babies will </w:t>
            </w:r>
            <w:r w:rsidR="008D177E">
              <w:t xml:space="preserve">not have GSD II but </w:t>
            </w:r>
            <w:r w:rsidR="007B3618">
              <w:t>have</w:t>
            </w:r>
            <w:r w:rsidR="00EE4A82">
              <w:t xml:space="preserve"> </w:t>
            </w:r>
            <w:r w:rsidR="008D177E">
              <w:t xml:space="preserve">a </w:t>
            </w:r>
            <w:r w:rsidR="00EE4A82">
              <w:t>false positive test result</w:t>
            </w:r>
            <w:r w:rsidR="008D177E">
              <w:t>. T</w:t>
            </w:r>
            <w:r w:rsidR="007B3618">
              <w:t>his</w:t>
            </w:r>
            <w:r w:rsidR="00EE4A82">
              <w:t xml:space="preserve"> may cause </w:t>
            </w:r>
            <w:r w:rsidR="00C87517">
              <w:t xml:space="preserve">unnecessary </w:t>
            </w:r>
            <w:r w:rsidR="00EE4A82">
              <w:t xml:space="preserve">anxiety for </w:t>
            </w:r>
            <w:r w:rsidR="00C87517">
              <w:t xml:space="preserve">many </w:t>
            </w:r>
            <w:r w:rsidR="00EE4A82">
              <w:t>families. Of the babies with abnormal screening test results, approximately o</w:t>
            </w:r>
            <w:r>
              <w:t xml:space="preserve">ne baby </w:t>
            </w:r>
            <w:r w:rsidR="007B3618">
              <w:t xml:space="preserve">per year </w:t>
            </w:r>
            <w:r w:rsidR="000E23E5">
              <w:t>will</w:t>
            </w:r>
            <w:r>
              <w:t xml:space="preserve"> </w:t>
            </w:r>
            <w:r w:rsidR="00EE4A82">
              <w:t>have</w:t>
            </w:r>
            <w:r>
              <w:t xml:space="preserve"> an early diagnosis of infantile-onset </w:t>
            </w:r>
            <w:r w:rsidR="0041743F">
              <w:t>GSD II</w:t>
            </w:r>
            <w:r>
              <w:t xml:space="preserve"> </w:t>
            </w:r>
            <w:r w:rsidR="008856D0">
              <w:t>and may benefit from early treatment</w:t>
            </w:r>
            <w:r>
              <w:t xml:space="preserve">. </w:t>
            </w:r>
            <w:r w:rsidR="007B3618">
              <w:t>An additional</w:t>
            </w:r>
            <w:r>
              <w:t xml:space="preserve"> </w:t>
            </w:r>
            <w:r w:rsidR="00925CB0">
              <w:t>10</w:t>
            </w:r>
            <w:r>
              <w:t xml:space="preserve"> babies </w:t>
            </w:r>
            <w:r w:rsidR="00ED23F0">
              <w:t xml:space="preserve">will </w:t>
            </w:r>
            <w:r w:rsidR="00C87517">
              <w:t>be</w:t>
            </w:r>
            <w:r w:rsidR="00EE4A82">
              <w:t xml:space="preserve"> diagnos</w:t>
            </w:r>
            <w:r w:rsidR="00C87517">
              <w:t xml:space="preserve">ed as having a </w:t>
            </w:r>
            <w:r w:rsidR="00ED23F0" w:rsidRPr="00ED23F0">
              <w:t xml:space="preserve">late-onset </w:t>
            </w:r>
            <w:r w:rsidR="00EE4A82">
              <w:t xml:space="preserve">version of </w:t>
            </w:r>
            <w:r w:rsidR="0041743F">
              <w:t>GSD II</w:t>
            </w:r>
            <w:r w:rsidR="00E2033A">
              <w:t xml:space="preserve">. </w:t>
            </w:r>
            <w:r w:rsidR="00E21285">
              <w:t xml:space="preserve">For these </w:t>
            </w:r>
            <w:r w:rsidR="00BB4458">
              <w:t>10</w:t>
            </w:r>
            <w:r w:rsidR="00E21285">
              <w:t xml:space="preserve"> babies, doctors and families will not know </w:t>
            </w:r>
            <w:r w:rsidR="008856D0">
              <w:t xml:space="preserve">if, or when a child may </w:t>
            </w:r>
            <w:r w:rsidR="00E21285">
              <w:t xml:space="preserve">develop symptoms, </w:t>
            </w:r>
            <w:r w:rsidR="008856D0">
              <w:t xml:space="preserve">or </w:t>
            </w:r>
            <w:r w:rsidR="00E21285">
              <w:t xml:space="preserve">how severe </w:t>
            </w:r>
            <w:r w:rsidR="008856D0">
              <w:t>it</w:t>
            </w:r>
            <w:r w:rsidR="00E21285">
              <w:t xml:space="preserve"> will be</w:t>
            </w:r>
            <w:r w:rsidR="008856D0">
              <w:t xml:space="preserve">. This is because the </w:t>
            </w:r>
            <w:r w:rsidR="007B3618">
              <w:t xml:space="preserve">genetic tests and other tests used to diagnose </w:t>
            </w:r>
            <w:r w:rsidR="0041743F">
              <w:t>GSD II</w:t>
            </w:r>
            <w:r w:rsidR="007B3618">
              <w:t xml:space="preserve"> cannot predict how the disease might develop in these children. </w:t>
            </w:r>
            <w:r w:rsidR="00EE3FAE">
              <w:t xml:space="preserve">MSAC noted that people in the same family with the same genetic variants </w:t>
            </w:r>
            <w:r w:rsidR="00466FF9">
              <w:t xml:space="preserve">can be affected differently, and some people do not </w:t>
            </w:r>
            <w:r w:rsidR="00A3225D">
              <w:t xml:space="preserve">ever </w:t>
            </w:r>
            <w:r w:rsidR="00466FF9">
              <w:t xml:space="preserve">develop symptoms. </w:t>
            </w:r>
          </w:p>
          <w:p w14:paraId="52C92CF5" w14:textId="441658E4" w:rsidR="003342C9" w:rsidRDefault="00E2033A" w:rsidP="00D07236">
            <w:r>
              <w:t xml:space="preserve">MSAC considered that there is very little evidence that an early diagnosis of late-onset </w:t>
            </w:r>
            <w:r w:rsidR="0041743F">
              <w:t>GSD II</w:t>
            </w:r>
            <w:r>
              <w:t xml:space="preserve"> </w:t>
            </w:r>
            <w:r w:rsidR="00825E21">
              <w:t xml:space="preserve">from newborn screening </w:t>
            </w:r>
            <w:r>
              <w:t>would improve health outcomes</w:t>
            </w:r>
            <w:r w:rsidR="00EE3FAE">
              <w:t xml:space="preserve"> for these babies</w:t>
            </w:r>
            <w:r>
              <w:t>.</w:t>
            </w:r>
            <w:r w:rsidR="00EE3FAE">
              <w:t xml:space="preserve"> </w:t>
            </w:r>
            <w:r w:rsidR="003342C9">
              <w:t xml:space="preserve">In countries that already screen for </w:t>
            </w:r>
            <w:r w:rsidR="0041743F">
              <w:t>GSD II</w:t>
            </w:r>
            <w:r w:rsidR="003342C9">
              <w:t xml:space="preserve">, </w:t>
            </w:r>
            <w:r w:rsidR="008C1704">
              <w:t xml:space="preserve">most </w:t>
            </w:r>
            <w:r w:rsidR="003342C9">
              <w:t xml:space="preserve">children diagnosed with late-onset </w:t>
            </w:r>
            <w:r w:rsidR="0041743F">
              <w:t>GSD II</w:t>
            </w:r>
            <w:r w:rsidR="003342C9">
              <w:t xml:space="preserve"> </w:t>
            </w:r>
            <w:r w:rsidR="00466FF9">
              <w:t xml:space="preserve">do not have </w:t>
            </w:r>
            <w:r w:rsidR="003342C9">
              <w:t>treatment with enzyme replacement therapy</w:t>
            </w:r>
            <w:r w:rsidR="008C1704">
              <w:t xml:space="preserve">. </w:t>
            </w:r>
            <w:r w:rsidR="008E3FFF">
              <w:t>Instead,</w:t>
            </w:r>
            <w:r w:rsidR="008C1704">
              <w:t xml:space="preserve"> they are monitored</w:t>
            </w:r>
            <w:r w:rsidR="003342C9">
              <w:t xml:space="preserve"> </w:t>
            </w:r>
            <w:r w:rsidR="008C1704">
              <w:t>to see if they develop</w:t>
            </w:r>
            <w:r w:rsidR="003342C9">
              <w:t xml:space="preserve"> symptoms</w:t>
            </w:r>
            <w:r w:rsidR="008C1704">
              <w:t xml:space="preserve"> of GSD II</w:t>
            </w:r>
            <w:r w:rsidR="003342C9">
              <w:t xml:space="preserve">. MSAC considered that the evidence available does not show that </w:t>
            </w:r>
            <w:r w:rsidR="00466FF9">
              <w:t>children will have better health</w:t>
            </w:r>
            <w:r w:rsidR="003342C9">
              <w:t xml:space="preserve"> outcomes </w:t>
            </w:r>
            <w:r w:rsidR="00466FF9">
              <w:t>if they have an early</w:t>
            </w:r>
            <w:r w:rsidR="003342C9">
              <w:t xml:space="preserve"> diagnos</w:t>
            </w:r>
            <w:r w:rsidR="42AF24AA">
              <w:t>is</w:t>
            </w:r>
            <w:r w:rsidR="003342C9">
              <w:t xml:space="preserve"> with late-onset </w:t>
            </w:r>
            <w:r w:rsidR="0041743F">
              <w:t>GSD II</w:t>
            </w:r>
            <w:r w:rsidR="00466FF9">
              <w:t xml:space="preserve"> through newborn screening. </w:t>
            </w:r>
            <w:r w:rsidR="003342C9">
              <w:t xml:space="preserve">MSAC considered that </w:t>
            </w:r>
            <w:r w:rsidR="008845A9">
              <w:t>10</w:t>
            </w:r>
            <w:r w:rsidR="003342C9">
              <w:t xml:space="preserve"> babies diagnosed as having a late-onset version of </w:t>
            </w:r>
            <w:r w:rsidR="0041743F">
              <w:t>GSD II</w:t>
            </w:r>
            <w:r w:rsidR="003342C9">
              <w:t xml:space="preserve"> could have ongoing monitoring for decades. MSAC </w:t>
            </w:r>
            <w:r w:rsidR="008D177E">
              <w:t xml:space="preserve">also </w:t>
            </w:r>
            <w:r w:rsidR="003342C9">
              <w:t xml:space="preserve">considered that families would expect that conditions diagnosed through newborn screening would have an early treatment. </w:t>
            </w:r>
          </w:p>
          <w:p w14:paraId="4A72B052" w14:textId="74B2F423" w:rsidR="000E23E5" w:rsidRDefault="00D07236" w:rsidP="00D07236">
            <w:r>
              <w:t xml:space="preserve">MSAC considered that diagnosing </w:t>
            </w:r>
            <w:r w:rsidR="000E23E5">
              <w:t>babies</w:t>
            </w:r>
            <w:r>
              <w:t xml:space="preserve"> with late-onset </w:t>
            </w:r>
            <w:r w:rsidR="0041743F">
              <w:t>GSD II</w:t>
            </w:r>
            <w:r>
              <w:t xml:space="preserve"> may cause greater harm </w:t>
            </w:r>
            <w:r w:rsidR="008856D0">
              <w:t>for babies and their families. MSAC considered having a diagnosis of a potentially serious illness may cause psychological harms for the child and their family because accurate information about if, or when they will develop the condition, or how severe it might be</w:t>
            </w:r>
            <w:r w:rsidR="00A3225D">
              <w:t xml:space="preserve">, </w:t>
            </w:r>
            <w:r w:rsidR="003173CD">
              <w:t>may</w:t>
            </w:r>
            <w:r w:rsidR="00A3225D">
              <w:t xml:space="preserve"> not </w:t>
            </w:r>
            <w:r w:rsidR="003173CD">
              <w:t xml:space="preserve">be </w:t>
            </w:r>
            <w:r w:rsidR="00A3225D">
              <w:t>known</w:t>
            </w:r>
            <w:r w:rsidR="008856D0">
              <w:t xml:space="preserve">. </w:t>
            </w:r>
            <w:r w:rsidR="003342C9">
              <w:t>MSAC considered children diagnosed with late-onset</w:t>
            </w:r>
            <w:r w:rsidR="703D9CE7">
              <w:t xml:space="preserve"> GSD II</w:t>
            </w:r>
            <w:r w:rsidR="003342C9">
              <w:t xml:space="preserve"> could be harmed from medical procedures that may not improve their health.  MSAC </w:t>
            </w:r>
            <w:r>
              <w:t xml:space="preserve">considered </w:t>
            </w:r>
            <w:r w:rsidR="000E23E5">
              <w:t xml:space="preserve">doctors usually do not test healthy children for medical conditions that cause problems in adulthood. This is because it takes away the child’s ability to make their own </w:t>
            </w:r>
            <w:r w:rsidR="007048F3">
              <w:t xml:space="preserve">informed </w:t>
            </w:r>
            <w:r w:rsidR="000E23E5">
              <w:t xml:space="preserve">decision. </w:t>
            </w:r>
            <w:r w:rsidR="00B10437">
              <w:t>MSAC considered that many adults decide not to have genetic testing for conditions where th</w:t>
            </w:r>
            <w:r w:rsidR="00570ABA">
              <w:t>ere</w:t>
            </w:r>
            <w:r w:rsidR="00B10437">
              <w:t xml:space="preserve"> is no early treatment such as Huntington’s disease. </w:t>
            </w:r>
            <w:r w:rsidR="00B005CE">
              <w:t xml:space="preserve">MSAC noted that most of the medical organisations </w:t>
            </w:r>
            <w:r w:rsidR="00570ABA">
              <w:t xml:space="preserve">who provided feedback </w:t>
            </w:r>
            <w:r w:rsidR="00B005CE">
              <w:t xml:space="preserve">also raised concerns about diagnosing late-onset </w:t>
            </w:r>
            <w:r w:rsidR="0041743F">
              <w:t>GSD II</w:t>
            </w:r>
            <w:r w:rsidR="007048F3">
              <w:t xml:space="preserve"> in babies</w:t>
            </w:r>
            <w:r w:rsidR="00B005CE">
              <w:t xml:space="preserve">. </w:t>
            </w:r>
          </w:p>
          <w:p w14:paraId="6878D3F2" w14:textId="62DBDAB8" w:rsidR="003E5404" w:rsidRDefault="000215DD" w:rsidP="003E5404">
            <w:r>
              <w:t xml:space="preserve">Therefore, </w:t>
            </w:r>
            <w:r w:rsidR="00AA5481">
              <w:t xml:space="preserve">MSAC did not support </w:t>
            </w:r>
            <w:r w:rsidR="00F0368F">
              <w:t xml:space="preserve">newborn screening for </w:t>
            </w:r>
            <w:r w:rsidR="0041743F">
              <w:t>GSD II</w:t>
            </w:r>
            <w:r w:rsidR="00F0368F">
              <w:t xml:space="preserve"> because it may cause great</w:t>
            </w:r>
            <w:r w:rsidR="00B005CE">
              <w:t>er</w:t>
            </w:r>
            <w:r w:rsidR="00F0368F">
              <w:t xml:space="preserve"> harms than benefit</w:t>
            </w:r>
            <w:r w:rsidR="008A4CF6">
              <w:t>s</w:t>
            </w:r>
            <w:r w:rsidR="00F0368F">
              <w:t>.</w:t>
            </w:r>
            <w:r w:rsidR="003E5404">
              <w:t xml:space="preserve"> </w:t>
            </w:r>
            <w:r>
              <w:t>MSAC considered t</w:t>
            </w:r>
            <w:r w:rsidR="003E5404">
              <w:t xml:space="preserve">here is no effective early treatment for babies </w:t>
            </w:r>
            <w:r w:rsidR="005F57E0">
              <w:t xml:space="preserve">who are </w:t>
            </w:r>
            <w:r w:rsidR="00E52374">
              <w:t>at risk of developing late-onset GSD II</w:t>
            </w:r>
            <w:r w:rsidR="00063282">
              <w:t xml:space="preserve">. MSAC further noted </w:t>
            </w:r>
            <w:r w:rsidR="003E5404">
              <w:t>many</w:t>
            </w:r>
            <w:r w:rsidR="00063282">
              <w:t xml:space="preserve"> of</w:t>
            </w:r>
            <w:r w:rsidR="003E5404">
              <w:t xml:space="preserve"> </w:t>
            </w:r>
            <w:r w:rsidR="00063282">
              <w:t xml:space="preserve">these babies </w:t>
            </w:r>
            <w:r w:rsidR="007F1919">
              <w:t>may</w:t>
            </w:r>
            <w:r w:rsidR="003E5404">
              <w:t xml:space="preserve"> </w:t>
            </w:r>
            <w:r w:rsidR="003342C9">
              <w:t xml:space="preserve">not </w:t>
            </w:r>
            <w:r w:rsidR="003E5404">
              <w:t xml:space="preserve">develop </w:t>
            </w:r>
            <w:r w:rsidR="005F57E0">
              <w:t xml:space="preserve">signs and symptoms of </w:t>
            </w:r>
            <w:r w:rsidR="0041743F">
              <w:t>GSD II</w:t>
            </w:r>
            <w:r w:rsidR="003E5404">
              <w:t xml:space="preserve"> </w:t>
            </w:r>
            <w:r w:rsidR="00063282">
              <w:t>in adulthood</w:t>
            </w:r>
            <w:r w:rsidR="003E5404">
              <w:t xml:space="preserve">. </w:t>
            </w:r>
          </w:p>
          <w:p w14:paraId="66422668" w14:textId="51E92A2E" w:rsidR="00B10437" w:rsidRDefault="00B10437" w:rsidP="0057632A">
            <w:r>
              <w:t xml:space="preserve">The Newborn Bloodspot Screening Policy Framework criteria require that there is a </w:t>
            </w:r>
            <w:r w:rsidRPr="00AA5481">
              <w:t xml:space="preserve">benefit to </w:t>
            </w:r>
            <w:r>
              <w:t xml:space="preserve">the baby by </w:t>
            </w:r>
            <w:r w:rsidRPr="00AA5481">
              <w:t>screening</w:t>
            </w:r>
            <w:r>
              <w:t xml:space="preserve"> for the condition</w:t>
            </w:r>
            <w:r w:rsidRPr="00AA5481">
              <w:t xml:space="preserve"> in the newborn period</w:t>
            </w:r>
            <w:r w:rsidR="003E5404">
              <w:t xml:space="preserve"> and an accepted early intervention</w:t>
            </w:r>
            <w:r>
              <w:t xml:space="preserve">. </w:t>
            </w:r>
            <w:r w:rsidR="00AA5481">
              <w:t>MSAC considered t</w:t>
            </w:r>
            <w:r w:rsidR="00AA5481" w:rsidRPr="00AA5481">
              <w:t xml:space="preserve">esting </w:t>
            </w:r>
            <w:r w:rsidR="006A7E4F">
              <w:t>babies</w:t>
            </w:r>
            <w:r w:rsidR="00AA5481" w:rsidRPr="00AA5481">
              <w:t xml:space="preserve"> for a disease that </w:t>
            </w:r>
            <w:r w:rsidR="003E5404">
              <w:t xml:space="preserve">may develop </w:t>
            </w:r>
            <w:r w:rsidR="00AA5481">
              <w:t>in adulthood</w:t>
            </w:r>
            <w:r w:rsidR="00AA5481" w:rsidRPr="00AA5481">
              <w:t xml:space="preserve"> doe</w:t>
            </w:r>
            <w:r w:rsidR="00AA5481">
              <w:t xml:space="preserve">s not </w:t>
            </w:r>
            <w:r w:rsidR="003E5404">
              <w:t>benefit the newborn or their family</w:t>
            </w:r>
            <w:r w:rsidR="00AA5481">
              <w:t xml:space="preserve">. </w:t>
            </w:r>
            <w:r w:rsidR="00D96931">
              <w:t xml:space="preserve">MSAC also considered that there is no accepted, effective early intervention for those diagnosed with late-onset </w:t>
            </w:r>
            <w:r w:rsidR="0041743F">
              <w:t>GSD II</w:t>
            </w:r>
            <w:r w:rsidR="00D96931">
              <w:t xml:space="preserve">. </w:t>
            </w:r>
          </w:p>
          <w:p w14:paraId="5655CEA3" w14:textId="36B699F5" w:rsidR="00B10437" w:rsidRDefault="00B10437" w:rsidP="0057632A">
            <w:r>
              <w:t xml:space="preserve">MSAC considered adding </w:t>
            </w:r>
            <w:r w:rsidR="0041743F">
              <w:t>GSD II</w:t>
            </w:r>
            <w:r>
              <w:t xml:space="preserve"> to newborn screening programs could reduce trust in the newborn screening </w:t>
            </w:r>
            <w:r w:rsidR="008D177E">
              <w:t xml:space="preserve">programs </w:t>
            </w:r>
            <w:r>
              <w:t xml:space="preserve">and </w:t>
            </w:r>
            <w:r w:rsidR="00D96931">
              <w:t xml:space="preserve">lead to </w:t>
            </w:r>
            <w:r>
              <w:t xml:space="preserve">fewer babies having newborn screening. </w:t>
            </w:r>
            <w:r w:rsidR="00D96931">
              <w:t xml:space="preserve">MSAC considered this </w:t>
            </w:r>
            <w:r w:rsidR="00630861">
              <w:t>may result in harm</w:t>
            </w:r>
            <w:r w:rsidR="008D177E">
              <w:t>,</w:t>
            </w:r>
            <w:r w:rsidR="00630861">
              <w:t xml:space="preserve"> as </w:t>
            </w:r>
            <w:r w:rsidR="00D96931">
              <w:t>babies</w:t>
            </w:r>
            <w:r w:rsidR="00630861">
              <w:t xml:space="preserve"> with other, more common conditions that are detected in screening</w:t>
            </w:r>
            <w:r w:rsidR="008D177E">
              <w:t>,</w:t>
            </w:r>
            <w:r w:rsidR="00630861">
              <w:t xml:space="preserve"> such as cystic fibrosis </w:t>
            </w:r>
            <w:r w:rsidR="008D177E">
              <w:t xml:space="preserve">and congenital hypothyroidism </w:t>
            </w:r>
            <w:r w:rsidR="00630861">
              <w:t xml:space="preserve">would not be </w:t>
            </w:r>
            <w:r w:rsidR="00B22A44">
              <w:t>diagnosed</w:t>
            </w:r>
            <w:r w:rsidR="00630861">
              <w:t xml:space="preserve"> at the earliest stage, where treatment is effective.</w:t>
            </w:r>
            <w:r w:rsidR="00D96931">
              <w:t xml:space="preserve"> </w:t>
            </w:r>
          </w:p>
          <w:p w14:paraId="6BE71343" w14:textId="3E7DE59C" w:rsidR="00ED5CB7" w:rsidRDefault="0057632A" w:rsidP="0057632A">
            <w:r>
              <w:t xml:space="preserve">MSAC advised that </w:t>
            </w:r>
            <w:r w:rsidR="00B005CE">
              <w:t>n</w:t>
            </w:r>
            <w:r w:rsidR="00B005CE" w:rsidRPr="00B005CE">
              <w:t xml:space="preserve">ewborn screening for infantile-onset </w:t>
            </w:r>
            <w:r w:rsidR="0041743F">
              <w:t>GSD II</w:t>
            </w:r>
            <w:r w:rsidR="00B005CE" w:rsidRPr="00B005CE">
              <w:t xml:space="preserve"> should be considered when more accurate</w:t>
            </w:r>
            <w:r w:rsidR="007F1919">
              <w:t xml:space="preserve"> screening and diagnostic</w:t>
            </w:r>
            <w:r w:rsidR="00B005CE" w:rsidRPr="00B005CE">
              <w:t xml:space="preserve"> test</w:t>
            </w:r>
            <w:r w:rsidR="007F1919">
              <w:t>s are</w:t>
            </w:r>
            <w:r w:rsidR="00B005CE" w:rsidRPr="00B005CE">
              <w:t xml:space="preserve"> available</w:t>
            </w:r>
            <w:r w:rsidR="00730C6B">
              <w:t>. Th</w:t>
            </w:r>
            <w:r w:rsidR="007C0CC1">
              <w:t xml:space="preserve">ese </w:t>
            </w:r>
            <w:r w:rsidR="00730C6B">
              <w:t>test</w:t>
            </w:r>
            <w:r w:rsidR="007C0CC1">
              <w:t>s</w:t>
            </w:r>
            <w:r w:rsidR="00730C6B">
              <w:t xml:space="preserve"> should </w:t>
            </w:r>
            <w:r w:rsidR="00B005CE" w:rsidRPr="00B005CE">
              <w:t>clearly identify babies</w:t>
            </w:r>
            <w:r w:rsidR="00B005CE">
              <w:t xml:space="preserve"> who have </w:t>
            </w:r>
            <w:r w:rsidR="00B005CE" w:rsidRPr="00B005CE">
              <w:t xml:space="preserve">infantile-onset </w:t>
            </w:r>
            <w:proofErr w:type="gramStart"/>
            <w:r w:rsidR="0041743F">
              <w:t>GSD II</w:t>
            </w:r>
            <w:r w:rsidR="00630861">
              <w:t>, but</w:t>
            </w:r>
            <w:proofErr w:type="gramEnd"/>
            <w:r w:rsidR="00730C6B">
              <w:t xml:space="preserve"> avoid identifying late-onset </w:t>
            </w:r>
            <w:r w:rsidR="0041743F">
              <w:t>GSD II</w:t>
            </w:r>
            <w:r w:rsidR="00B005CE">
              <w:t xml:space="preserve">. </w:t>
            </w:r>
          </w:p>
          <w:p w14:paraId="1ADAE362" w14:textId="77777777" w:rsidR="00ED5CB7" w:rsidRPr="00F91D6E" w:rsidRDefault="00ED5CB7" w:rsidP="00834258">
            <w:pPr>
              <w:keepNext/>
              <w:keepLines/>
              <w:spacing w:after="120" w:line="259" w:lineRule="auto"/>
              <w:rPr>
                <w:rFonts w:eastAsia="Times New Roman" w:cs="Times New Roman"/>
                <w:b/>
                <w:bCs/>
                <w:szCs w:val="24"/>
              </w:rPr>
            </w:pPr>
            <w:r w:rsidRPr="00F91D6E">
              <w:rPr>
                <w:rFonts w:eastAsia="Times New Roman" w:cs="Times New Roman"/>
                <w:b/>
                <w:bCs/>
                <w:szCs w:val="24"/>
              </w:rPr>
              <w:t xml:space="preserve">MSAC’s advice to the </w:t>
            </w:r>
            <w:proofErr w:type="gramStart"/>
            <w:r w:rsidRPr="00F91D6E">
              <w:rPr>
                <w:rFonts w:eastAsia="Times New Roman" w:cs="Times New Roman"/>
                <w:b/>
                <w:bCs/>
                <w:szCs w:val="24"/>
              </w:rPr>
              <w:t>Commonwealth Minister</w:t>
            </w:r>
            <w:proofErr w:type="gramEnd"/>
            <w:r w:rsidRPr="00F91D6E">
              <w:rPr>
                <w:rFonts w:eastAsia="Times New Roman" w:cs="Times New Roman"/>
                <w:b/>
                <w:bCs/>
                <w:szCs w:val="24"/>
              </w:rPr>
              <w:t xml:space="preserve"> for Health and Aged Care</w:t>
            </w:r>
          </w:p>
          <w:p w14:paraId="5A51EBC2" w14:textId="7CF5E379" w:rsidR="00ED5CB7" w:rsidRPr="00F91D6E" w:rsidRDefault="0057632A" w:rsidP="00730C6B">
            <w:pPr>
              <w:spacing w:after="120" w:line="259" w:lineRule="auto"/>
            </w:pPr>
            <w:r>
              <w:t xml:space="preserve">MSAC did not support </w:t>
            </w:r>
            <w:r w:rsidR="00B005CE">
              <w:t xml:space="preserve">newborn screening of </w:t>
            </w:r>
            <w:r w:rsidR="0041743F">
              <w:t>GSD II</w:t>
            </w:r>
            <w:r w:rsidR="00B005CE">
              <w:t xml:space="preserve"> because it may cause greater harms than health benefits</w:t>
            </w:r>
            <w:r>
              <w:t xml:space="preserve">. </w:t>
            </w:r>
            <w:r w:rsidR="008B49DF">
              <w:t xml:space="preserve">This </w:t>
            </w:r>
            <w:r w:rsidR="00E45385">
              <w:t>wa</w:t>
            </w:r>
            <w:r w:rsidR="008B49DF">
              <w:t>s because t</w:t>
            </w:r>
            <w:r>
              <w:t xml:space="preserve">he </w:t>
            </w:r>
            <w:r w:rsidR="00B005CE">
              <w:t xml:space="preserve">current </w:t>
            </w:r>
            <w:r w:rsidR="009F347F">
              <w:t xml:space="preserve">screening </w:t>
            </w:r>
            <w:r>
              <w:t xml:space="preserve">tests </w:t>
            </w:r>
            <w:r w:rsidR="007D4558">
              <w:t>and diagnostic tests (including genetic tests)</w:t>
            </w:r>
            <w:r>
              <w:t xml:space="preserve"> </w:t>
            </w:r>
            <w:r w:rsidR="00D96931">
              <w:t xml:space="preserve">will mostly identify babies who may develop the </w:t>
            </w:r>
            <w:r w:rsidR="008B49DF">
              <w:t>adult-onset (</w:t>
            </w:r>
            <w:r w:rsidR="009F347F">
              <w:t>late-onset</w:t>
            </w:r>
            <w:r w:rsidR="008B49DF">
              <w:t>)</w:t>
            </w:r>
            <w:r w:rsidR="009F347F">
              <w:t xml:space="preserve"> form</w:t>
            </w:r>
            <w:r w:rsidR="00B44D4C">
              <w:t xml:space="preserve"> </w:t>
            </w:r>
            <w:r w:rsidR="00D96931">
              <w:t xml:space="preserve">of </w:t>
            </w:r>
            <w:r w:rsidR="0041743F">
              <w:t>GSD II</w:t>
            </w:r>
            <w:r w:rsidR="00D96931">
              <w:t xml:space="preserve">. </w:t>
            </w:r>
            <w:r w:rsidR="00B005CE">
              <w:t xml:space="preserve">These children will not benefit from an early diagnosis because there is no effective early treatment. However, they may have psychological harms from </w:t>
            </w:r>
            <w:r w:rsidR="3DF6FEDA">
              <w:t xml:space="preserve">being </w:t>
            </w:r>
            <w:r w:rsidR="00B005CE">
              <w:t xml:space="preserve">diagnosed with a </w:t>
            </w:r>
            <w:r w:rsidR="00075C00">
              <w:t xml:space="preserve">potentially </w:t>
            </w:r>
            <w:r w:rsidR="00B005CE">
              <w:t xml:space="preserve">serious disease they might </w:t>
            </w:r>
            <w:r w:rsidR="00630861">
              <w:t xml:space="preserve">or might not </w:t>
            </w:r>
            <w:r w:rsidR="00B005CE">
              <w:t xml:space="preserve">develop in the future. </w:t>
            </w:r>
            <w:r w:rsidR="00730C6B">
              <w:t xml:space="preserve">MSAC advised that newborn screening for infantile-onset </w:t>
            </w:r>
            <w:r w:rsidR="0041743F">
              <w:t>GSD II</w:t>
            </w:r>
            <w:r w:rsidR="00730C6B">
              <w:t xml:space="preserve"> </w:t>
            </w:r>
            <w:r w:rsidR="00630861">
              <w:t>could</w:t>
            </w:r>
            <w:r w:rsidR="000215DD">
              <w:t xml:space="preserve"> </w:t>
            </w:r>
            <w:r w:rsidR="00730C6B">
              <w:t xml:space="preserve">be </w:t>
            </w:r>
            <w:r w:rsidR="00630861">
              <w:t>re-</w:t>
            </w:r>
            <w:r w:rsidR="00730C6B">
              <w:t xml:space="preserve">considered when a </w:t>
            </w:r>
            <w:r w:rsidR="00422BF8">
              <w:t xml:space="preserve">test is available that is able to </w:t>
            </w:r>
            <w:r w:rsidR="00630861">
              <w:t xml:space="preserve">accurately </w:t>
            </w:r>
            <w:r w:rsidR="00422BF8">
              <w:t>predict the type of GSD II</w:t>
            </w:r>
            <w:r w:rsidR="00730C6B">
              <w:t xml:space="preserve">. </w:t>
            </w:r>
          </w:p>
        </w:tc>
      </w:tr>
    </w:tbl>
    <w:p w14:paraId="6FEF28C5" w14:textId="3EB0614D" w:rsidR="00ED5CB7" w:rsidRPr="00ED5CB7" w:rsidRDefault="00ED5CB7" w:rsidP="00ED5CB7">
      <w:pPr>
        <w:pStyle w:val="Heading2"/>
        <w:numPr>
          <w:ilvl w:val="0"/>
          <w:numId w:val="36"/>
        </w:numPr>
        <w:ind w:hanging="720"/>
      </w:pPr>
      <w:r w:rsidRPr="003A793E">
        <w:t>Summary of consideration and rationale for MSAC’s advice</w:t>
      </w:r>
    </w:p>
    <w:bookmarkEnd w:id="2"/>
    <w:p w14:paraId="64D884FF" w14:textId="0539D8E9" w:rsidR="00A62A9F" w:rsidRDefault="0057632A" w:rsidP="0057632A">
      <w:pPr>
        <w:rPr>
          <w:rFonts w:eastAsia="Franklin Gothic Book"/>
        </w:rPr>
      </w:pPr>
      <w:r w:rsidRPr="0057632A">
        <w:t xml:space="preserve">MSAC noted that this application from the Department of Health and Aged Care was </w:t>
      </w:r>
      <w:r w:rsidR="00E90303">
        <w:t>to consider</w:t>
      </w:r>
      <w:r w:rsidRPr="0057632A">
        <w:t xml:space="preserve"> </w:t>
      </w:r>
      <w:r w:rsidR="00B44D4C" w:rsidRPr="00BD6247">
        <w:rPr>
          <w:rFonts w:eastAsia="Franklin Gothic Book"/>
        </w:rPr>
        <w:t>the addition of glycogen storage disease, Type II (GSD II, Pompe disease) to the list of conditions screened as part of Australia’s newborn bloodspot screening (NBS) programs</w:t>
      </w:r>
      <w:r w:rsidR="00B44D4C">
        <w:rPr>
          <w:rFonts w:eastAsia="Franklin Gothic Book"/>
        </w:rPr>
        <w:t xml:space="preserve">. </w:t>
      </w:r>
      <w:r w:rsidR="00D523FB" w:rsidRPr="00BD6247">
        <w:rPr>
          <w:rFonts w:eastAsia="Franklin Gothic Book"/>
        </w:rPr>
        <w:t>MSAC considered both its own Terms of Reference and the Newborn Bloodspot Screening National Policy Framework (NBS NPF)</w:t>
      </w:r>
      <w:r w:rsidR="004F5A9E">
        <w:rPr>
          <w:rStyle w:val="FootnoteReference"/>
          <w:rFonts w:eastAsia="Franklin Gothic Book"/>
        </w:rPr>
        <w:footnoteReference w:id="3"/>
      </w:r>
      <w:r w:rsidR="00D523FB" w:rsidRPr="00BD6247">
        <w:rPr>
          <w:rFonts w:eastAsia="Franklin Gothic Book"/>
        </w:rPr>
        <w:t xml:space="preserve"> in providing its advice. </w:t>
      </w:r>
      <w:r w:rsidR="00A62A9F" w:rsidRPr="00A62A9F">
        <w:rPr>
          <w:rFonts w:eastAsia="Franklin Gothic Book"/>
        </w:rPr>
        <w:t>MSAC noted that its advice would be considered at the Health Ministers Meeting, alongside advice from the Cancer and Population Screening Committee, the Health Chief Executives Forum and the NBS Program Management Committee</w:t>
      </w:r>
      <w:r w:rsidR="00A62A9F">
        <w:rPr>
          <w:rFonts w:eastAsia="Franklin Gothic Book"/>
        </w:rPr>
        <w:t>.</w:t>
      </w:r>
    </w:p>
    <w:p w14:paraId="2FF33B98" w14:textId="405900D2" w:rsidR="0057632A" w:rsidRPr="0057632A" w:rsidRDefault="0057632A" w:rsidP="0057632A">
      <w:r w:rsidRPr="0057632A">
        <w:t>MSAC noted that the NBS program</w:t>
      </w:r>
      <w:r w:rsidR="00AD1B72">
        <w:t>s</w:t>
      </w:r>
      <w:r w:rsidRPr="0057632A">
        <w:t xml:space="preserve"> </w:t>
      </w:r>
      <w:r w:rsidR="00AD1B72">
        <w:t>are</w:t>
      </w:r>
      <w:r w:rsidR="00AD1B72" w:rsidRPr="0057632A">
        <w:t xml:space="preserve"> </w:t>
      </w:r>
      <w:r w:rsidRPr="0057632A">
        <w:t xml:space="preserve">underpinned by the NBS NPF, and implementation remains jurisdiction based, with screening provided by 5 NBS laboratories across Australia. </w:t>
      </w:r>
      <w:r w:rsidR="00A62A9F" w:rsidRPr="00A62A9F">
        <w:t>For a condition to be included in Australia’s NBS programs</w:t>
      </w:r>
      <w:r w:rsidRPr="0057632A">
        <w:t>, it needs to align</w:t>
      </w:r>
      <w:r w:rsidR="004F5A9E">
        <w:t xml:space="preserve"> broadly</w:t>
      </w:r>
      <w:r w:rsidRPr="0057632A">
        <w:t xml:space="preserve"> with the NBS NPF, which outlines several criteria </w:t>
      </w:r>
      <w:r w:rsidR="00AD1B72">
        <w:t>to be</w:t>
      </w:r>
      <w:r w:rsidRPr="0057632A">
        <w:t xml:space="preserve"> met</w:t>
      </w:r>
      <w:r w:rsidR="00AD1B72">
        <w:t xml:space="preserve"> </w:t>
      </w:r>
      <w:r w:rsidRPr="0057632A">
        <w:t>includ</w:t>
      </w:r>
      <w:r w:rsidR="00AD1B72">
        <w:t>ing</w:t>
      </w:r>
      <w:r w:rsidR="00D523FB">
        <w:t xml:space="preserve"> the following</w:t>
      </w:r>
      <w:r w:rsidRPr="0057632A">
        <w:t>:</w:t>
      </w:r>
    </w:p>
    <w:p w14:paraId="0F566555" w14:textId="2C05A434" w:rsidR="00AD1B72" w:rsidRDefault="002A4A63" w:rsidP="0057632A">
      <w:pPr>
        <w:pStyle w:val="Bullet"/>
        <w:numPr>
          <w:ilvl w:val="0"/>
          <w:numId w:val="23"/>
        </w:numPr>
        <w:spacing w:before="0"/>
        <w:ind w:left="720"/>
        <w:rPr>
          <w:rFonts w:ascii="Franklin Gothic Book" w:hAnsi="Franklin Gothic Book"/>
        </w:rPr>
      </w:pPr>
      <w:r>
        <w:rPr>
          <w:rFonts w:ascii="Franklin Gothic Book" w:hAnsi="Franklin Gothic Book"/>
        </w:rPr>
        <w:t>T</w:t>
      </w:r>
      <w:r w:rsidR="0057632A" w:rsidRPr="0057632A">
        <w:rPr>
          <w:rFonts w:ascii="Franklin Gothic Book" w:hAnsi="Franklin Gothic Book"/>
        </w:rPr>
        <w:t xml:space="preserve">he condition </w:t>
      </w:r>
      <w:r w:rsidR="00AD1B72" w:rsidRPr="00AD1B72">
        <w:rPr>
          <w:rFonts w:ascii="Franklin Gothic Book" w:hAnsi="Franklin Gothic Book"/>
        </w:rPr>
        <w:t>should be a serious health problem that leads to significant morbidity or mortality</w:t>
      </w:r>
      <w:r>
        <w:rPr>
          <w:rFonts w:ascii="Franklin Gothic Book" w:hAnsi="Franklin Gothic Book"/>
        </w:rPr>
        <w:t>.</w:t>
      </w:r>
      <w:r w:rsidR="00AD1B72" w:rsidRPr="00AD1B72" w:rsidDel="00AD1B72">
        <w:rPr>
          <w:rFonts w:ascii="Franklin Gothic Book" w:hAnsi="Franklin Gothic Book"/>
        </w:rPr>
        <w:t xml:space="preserve"> </w:t>
      </w:r>
    </w:p>
    <w:p w14:paraId="21420CC3" w14:textId="6F791F1A" w:rsidR="0057632A" w:rsidRPr="0057632A" w:rsidRDefault="002A4A63" w:rsidP="0057632A">
      <w:pPr>
        <w:pStyle w:val="Bullet"/>
        <w:numPr>
          <w:ilvl w:val="0"/>
          <w:numId w:val="23"/>
        </w:numPr>
        <w:spacing w:before="0"/>
        <w:ind w:left="720"/>
        <w:rPr>
          <w:rFonts w:ascii="Franklin Gothic Book" w:hAnsi="Franklin Gothic Book"/>
        </w:rPr>
      </w:pPr>
      <w:r>
        <w:rPr>
          <w:rFonts w:ascii="Franklin Gothic Book" w:hAnsi="Franklin Gothic Book"/>
        </w:rPr>
        <w:t>T</w:t>
      </w:r>
      <w:r w:rsidR="00AD1B72" w:rsidRPr="00AD1B72">
        <w:rPr>
          <w:rFonts w:ascii="Franklin Gothic Book" w:hAnsi="Franklin Gothic Book"/>
        </w:rPr>
        <w:t>here should be a benefit to conducting screening in the newborn period</w:t>
      </w:r>
      <w:r>
        <w:rPr>
          <w:rFonts w:ascii="Franklin Gothic Book" w:hAnsi="Franklin Gothic Book"/>
        </w:rPr>
        <w:t>.</w:t>
      </w:r>
      <w:r w:rsidR="00AD1B72" w:rsidRPr="00AD1B72">
        <w:rPr>
          <w:rFonts w:ascii="Franklin Gothic Book" w:hAnsi="Franklin Gothic Book"/>
        </w:rPr>
        <w:t xml:space="preserve"> </w:t>
      </w:r>
    </w:p>
    <w:p w14:paraId="4B1DB4F7" w14:textId="14AB1BD6" w:rsidR="00AD1B72" w:rsidRDefault="002A4A63" w:rsidP="00AD1B72">
      <w:pPr>
        <w:pStyle w:val="Bullet"/>
        <w:numPr>
          <w:ilvl w:val="0"/>
          <w:numId w:val="23"/>
        </w:numPr>
        <w:spacing w:before="0"/>
        <w:ind w:left="720"/>
        <w:rPr>
          <w:rFonts w:ascii="Franklin Gothic Book" w:hAnsi="Franklin Gothic Book"/>
        </w:rPr>
      </w:pPr>
      <w:r>
        <w:rPr>
          <w:rFonts w:ascii="Franklin Gothic Book" w:hAnsi="Franklin Gothic Book"/>
        </w:rPr>
        <w:t>T</w:t>
      </w:r>
      <w:r w:rsidR="00AD1B72" w:rsidRPr="00AD1B72">
        <w:rPr>
          <w:rFonts w:ascii="Franklin Gothic Book" w:hAnsi="Franklin Gothic Book"/>
        </w:rPr>
        <w:t>he natural history of the condition, including development from latent to declared disease, should be adequately understood</w:t>
      </w:r>
      <w:r>
        <w:rPr>
          <w:rFonts w:ascii="Franklin Gothic Book" w:hAnsi="Franklin Gothic Book"/>
        </w:rPr>
        <w:t>.</w:t>
      </w:r>
      <w:r w:rsidR="00AD1B72" w:rsidRPr="00AD1B72">
        <w:rPr>
          <w:rFonts w:ascii="Franklin Gothic Book" w:hAnsi="Franklin Gothic Book"/>
        </w:rPr>
        <w:t xml:space="preserve"> </w:t>
      </w:r>
    </w:p>
    <w:p w14:paraId="29A304C1" w14:textId="77777777" w:rsidR="003609A4" w:rsidRDefault="002A4A63" w:rsidP="0057632A">
      <w:pPr>
        <w:pStyle w:val="Bullet"/>
        <w:numPr>
          <w:ilvl w:val="0"/>
          <w:numId w:val="23"/>
        </w:numPr>
        <w:spacing w:before="0"/>
        <w:ind w:left="720"/>
        <w:rPr>
          <w:rFonts w:ascii="Franklin Gothic Book" w:hAnsi="Franklin Gothic Book"/>
        </w:rPr>
      </w:pPr>
      <w:r>
        <w:rPr>
          <w:rFonts w:ascii="Franklin Gothic Book" w:hAnsi="Franklin Gothic Book"/>
        </w:rPr>
        <w:t>T</w:t>
      </w:r>
      <w:r w:rsidR="00AD1B72" w:rsidRPr="00AD1B72">
        <w:rPr>
          <w:rFonts w:ascii="Franklin Gothic Book" w:hAnsi="Franklin Gothic Book"/>
        </w:rPr>
        <w:t>here should be a suitable test protocol to identify the presence of the condition</w:t>
      </w:r>
    </w:p>
    <w:p w14:paraId="0AA50877" w14:textId="5CD2C9BC" w:rsidR="0057632A" w:rsidRDefault="003609A4" w:rsidP="0057632A">
      <w:pPr>
        <w:pStyle w:val="Bullet"/>
        <w:numPr>
          <w:ilvl w:val="0"/>
          <w:numId w:val="23"/>
        </w:numPr>
        <w:spacing w:before="0"/>
        <w:ind w:left="720"/>
        <w:rPr>
          <w:rFonts w:ascii="Franklin Gothic Book" w:hAnsi="Franklin Gothic Book"/>
        </w:rPr>
      </w:pPr>
      <w:r>
        <w:rPr>
          <w:rFonts w:ascii="Franklin Gothic Book" w:hAnsi="Franklin Gothic Book"/>
        </w:rPr>
        <w:t>T</w:t>
      </w:r>
      <w:r w:rsidR="00D523FB" w:rsidRPr="00D523FB">
        <w:rPr>
          <w:rFonts w:ascii="Franklin Gothic Book" w:hAnsi="Franklin Gothic Book"/>
        </w:rPr>
        <w:t>he protocol should, on balance, be socially and ethically acceptable to health professionals and the public</w:t>
      </w:r>
      <w:r w:rsidR="002A4A63">
        <w:rPr>
          <w:rFonts w:ascii="Franklin Gothic Book" w:hAnsi="Franklin Gothic Book"/>
        </w:rPr>
        <w:t>.</w:t>
      </w:r>
    </w:p>
    <w:p w14:paraId="6A530947" w14:textId="146C5452" w:rsidR="00D523FB" w:rsidRPr="003609A4" w:rsidRDefault="002A4A63" w:rsidP="003609A4">
      <w:pPr>
        <w:pStyle w:val="Bullet"/>
        <w:numPr>
          <w:ilvl w:val="0"/>
          <w:numId w:val="23"/>
        </w:numPr>
        <w:spacing w:before="0"/>
        <w:ind w:left="720"/>
        <w:rPr>
          <w:rFonts w:ascii="Franklin Gothic Book" w:hAnsi="Franklin Gothic Book"/>
        </w:rPr>
      </w:pPr>
      <w:r w:rsidRPr="003609A4">
        <w:rPr>
          <w:rFonts w:ascii="Franklin Gothic Book" w:hAnsi="Franklin Gothic Book"/>
        </w:rPr>
        <w:t>H</w:t>
      </w:r>
      <w:r w:rsidR="00D523FB" w:rsidRPr="003609A4">
        <w:rPr>
          <w:rFonts w:ascii="Franklin Gothic Book" w:hAnsi="Franklin Gothic Book"/>
        </w:rPr>
        <w:t>ealth care services for diagnosis and management should be available so that these services can be offered if there is an abnormal screening result</w:t>
      </w:r>
      <w:r w:rsidRPr="003609A4">
        <w:rPr>
          <w:rFonts w:ascii="Franklin Gothic Book" w:hAnsi="Franklin Gothic Book"/>
        </w:rPr>
        <w:t>.</w:t>
      </w:r>
      <w:r w:rsidR="003609A4" w:rsidRPr="003609A4">
        <w:rPr>
          <w:rFonts w:ascii="Franklin Gothic Book" w:hAnsi="Franklin Gothic Book"/>
        </w:rPr>
        <w:t xml:space="preserve"> </w:t>
      </w:r>
      <w:r w:rsidRPr="003609A4">
        <w:rPr>
          <w:rFonts w:ascii="Franklin Gothic Book" w:hAnsi="Franklin Gothic Book"/>
        </w:rPr>
        <w:t>T</w:t>
      </w:r>
      <w:r w:rsidR="00D523FB" w:rsidRPr="003609A4">
        <w:rPr>
          <w:rFonts w:ascii="Franklin Gothic Book" w:hAnsi="Franklin Gothic Book"/>
        </w:rPr>
        <w:t>here should be an accepted intervention for those diagnosed with the condition</w:t>
      </w:r>
      <w:r w:rsidRPr="003609A4">
        <w:rPr>
          <w:rFonts w:ascii="Franklin Gothic Book" w:hAnsi="Franklin Gothic Book"/>
        </w:rPr>
        <w:t>.</w:t>
      </w:r>
    </w:p>
    <w:p w14:paraId="2BB858EA" w14:textId="03AA0A41" w:rsidR="00D523FB" w:rsidRPr="0057632A" w:rsidRDefault="002A4A63" w:rsidP="0057632A">
      <w:pPr>
        <w:pStyle w:val="Bullet"/>
        <w:numPr>
          <w:ilvl w:val="0"/>
          <w:numId w:val="23"/>
        </w:numPr>
        <w:spacing w:before="0"/>
        <w:ind w:left="720"/>
        <w:rPr>
          <w:rFonts w:ascii="Franklin Gothic Book" w:hAnsi="Franklin Gothic Book"/>
        </w:rPr>
      </w:pPr>
      <w:r>
        <w:rPr>
          <w:rFonts w:ascii="Franklin Gothic Book" w:hAnsi="Franklin Gothic Book"/>
        </w:rPr>
        <w:t>T</w:t>
      </w:r>
      <w:r w:rsidR="00D523FB" w:rsidRPr="00D523FB">
        <w:rPr>
          <w:rFonts w:ascii="Franklin Gothic Book" w:hAnsi="Franklin Gothic Book"/>
        </w:rPr>
        <w:t xml:space="preserve">he benefit of screening a condition must be weighed against its impact on the </w:t>
      </w:r>
      <w:proofErr w:type="gramStart"/>
      <w:r w:rsidR="00D523FB" w:rsidRPr="00D523FB">
        <w:rPr>
          <w:rFonts w:ascii="Franklin Gothic Book" w:hAnsi="Franklin Gothic Book"/>
        </w:rPr>
        <w:t>program as a whole</w:t>
      </w:r>
      <w:proofErr w:type="gramEnd"/>
      <w:r w:rsidR="00064FA9">
        <w:rPr>
          <w:rFonts w:ascii="Franklin Gothic Book" w:hAnsi="Franklin Gothic Book"/>
        </w:rPr>
        <w:t>.</w:t>
      </w:r>
    </w:p>
    <w:p w14:paraId="4A1B88B5" w14:textId="39FF8DF7" w:rsidR="009E5090" w:rsidRDefault="009E5090" w:rsidP="00EA7C9B">
      <w:pPr>
        <w:pStyle w:val="BulletBeforeDash"/>
        <w:numPr>
          <w:ilvl w:val="0"/>
          <w:numId w:val="0"/>
        </w:numPr>
      </w:pPr>
      <w:r w:rsidRPr="0057632A">
        <w:t xml:space="preserve">MSAC noted the </w:t>
      </w:r>
      <w:r>
        <w:t>consultation input received for this application</w:t>
      </w:r>
      <w:r w:rsidR="00006AD2">
        <w:t>, including from individuals with lived experience of having GSD II</w:t>
      </w:r>
      <w:r w:rsidR="00BF28B9">
        <w:t xml:space="preserve"> or having a family member with GSD II</w:t>
      </w:r>
      <w:r>
        <w:t xml:space="preserve">. </w:t>
      </w:r>
      <w:r w:rsidR="001F6103">
        <w:t xml:space="preserve">MSAC noted individuals with GSD II experienced </w:t>
      </w:r>
      <w:r w:rsidR="008A1230">
        <w:t xml:space="preserve">an extended </w:t>
      </w:r>
      <w:proofErr w:type="gramStart"/>
      <w:r w:rsidR="008A1230">
        <w:t>period of time</w:t>
      </w:r>
      <w:proofErr w:type="gramEnd"/>
      <w:r w:rsidR="008A1230">
        <w:t xml:space="preserve"> before diagnosis</w:t>
      </w:r>
      <w:r w:rsidR="00DD15A1">
        <w:t>,</w:t>
      </w:r>
      <w:r w:rsidR="00630861" w:rsidRPr="00B124BC">
        <w:t xml:space="preserve"> </w:t>
      </w:r>
      <w:r w:rsidR="00630861">
        <w:t>and</w:t>
      </w:r>
      <w:r w:rsidR="00DD15A1" w:rsidRPr="00DD15A1">
        <w:rPr>
          <w:rFonts w:ascii="Calibri" w:eastAsia="Calibri" w:hAnsi="Calibri" w:cs="Calibri"/>
          <w:color w:val="000000" w:themeColor="text1"/>
          <w:szCs w:val="22"/>
          <w:lang w:eastAsia="en-US"/>
        </w:rPr>
        <w:t xml:space="preserve"> </w:t>
      </w:r>
      <w:r w:rsidR="00DD15A1" w:rsidRPr="00DD15A1">
        <w:t>distress from the uncertainty about their health and dismissal of symptoms</w:t>
      </w:r>
      <w:r w:rsidR="00692325">
        <w:t xml:space="preserve">. MSAC further noted </w:t>
      </w:r>
      <w:r w:rsidR="00692325" w:rsidRPr="00692325">
        <w:t xml:space="preserve">the </w:t>
      </w:r>
      <w:r w:rsidR="00692325">
        <w:t>p</w:t>
      </w:r>
      <w:r w:rsidR="00692325" w:rsidRPr="00692325">
        <w:t>sychosocial</w:t>
      </w:r>
      <w:r w:rsidR="00692325">
        <w:t xml:space="preserve"> and p</w:t>
      </w:r>
      <w:r w:rsidR="00692325" w:rsidRPr="00692325">
        <w:t>hysical burdens</w:t>
      </w:r>
      <w:r w:rsidR="00692325">
        <w:t xml:space="preserve"> of disease</w:t>
      </w:r>
      <w:r w:rsidR="00692325" w:rsidRPr="00692325">
        <w:t xml:space="preserve"> impacted </w:t>
      </w:r>
      <w:r w:rsidR="008A1230">
        <w:t>individuals’</w:t>
      </w:r>
      <w:r w:rsidR="008A1230" w:rsidRPr="00692325">
        <w:t xml:space="preserve"> </w:t>
      </w:r>
      <w:r w:rsidR="00692325" w:rsidRPr="00692325">
        <w:t>health or quality of life</w:t>
      </w:r>
      <w:r w:rsidR="00692325">
        <w:t>,</w:t>
      </w:r>
      <w:r w:rsidR="00692325" w:rsidRPr="00692325">
        <w:t xml:space="preserve"> ability to work and their ability to participate in hobbies or social activities</w:t>
      </w:r>
      <w:r w:rsidR="00692325">
        <w:t>.</w:t>
      </w:r>
      <w:r w:rsidR="00B71A23">
        <w:t xml:space="preserve"> </w:t>
      </w:r>
      <w:r w:rsidR="00BF28B9">
        <w:t xml:space="preserve">MSAC also acknowledged the devastating impact of having a child die </w:t>
      </w:r>
      <w:r w:rsidR="00422BF8">
        <w:t>from</w:t>
      </w:r>
      <w:r w:rsidR="00BF28B9">
        <w:t xml:space="preserve"> infantile-onset GSD II. </w:t>
      </w:r>
      <w:r w:rsidR="00B71A23">
        <w:t xml:space="preserve">MSAC noted that input from some medical organisations raised concerns about diagnosing late-onset </w:t>
      </w:r>
      <w:r w:rsidR="0041743F">
        <w:t>GSD II</w:t>
      </w:r>
      <w:r w:rsidR="00B71A23">
        <w:t xml:space="preserve"> in newborns. </w:t>
      </w:r>
    </w:p>
    <w:p w14:paraId="2B7553B4" w14:textId="6F144CF3" w:rsidR="00020C57" w:rsidRDefault="0057632A" w:rsidP="0057632A">
      <w:r w:rsidRPr="0057632A">
        <w:t xml:space="preserve">MSAC noted that </w:t>
      </w:r>
      <w:r>
        <w:t>GSD</w:t>
      </w:r>
      <w:r w:rsidRPr="704C33E5">
        <w:rPr>
          <w:rFonts w:ascii="Arial" w:hAnsi="Arial" w:cs="Arial"/>
        </w:rPr>
        <w:t> </w:t>
      </w:r>
      <w:r>
        <w:t>II</w:t>
      </w:r>
      <w:r w:rsidRPr="0057632A">
        <w:t xml:space="preserve"> is an autosomal recessive lysosomal storage disorder, caused by a deficiency of alpha</w:t>
      </w:r>
      <w:r w:rsidR="00422BF8">
        <w:t xml:space="preserve"> </w:t>
      </w:r>
      <w:r w:rsidRPr="0057632A">
        <w:t xml:space="preserve">glucosidase (GAA), a lysosomal enzyme that is required to break down glycogen. </w:t>
      </w:r>
      <w:r w:rsidR="00E06C9E">
        <w:rPr>
          <w:rFonts w:cs="Arial"/>
        </w:rPr>
        <w:t xml:space="preserve">GSD II is an </w:t>
      </w:r>
      <w:r w:rsidR="00E06C9E" w:rsidRPr="003C66C5">
        <w:rPr>
          <w:rFonts w:cs="Arial"/>
        </w:rPr>
        <w:t>inherited genetic condition</w:t>
      </w:r>
      <w:r w:rsidR="00E06C9E">
        <w:rPr>
          <w:rFonts w:cs="Arial"/>
        </w:rPr>
        <w:t xml:space="preserve"> caused by genetic variations in the </w:t>
      </w:r>
      <w:r w:rsidR="00E06C9E" w:rsidRPr="00C57D1E">
        <w:rPr>
          <w:rFonts w:cs="Arial"/>
          <w:i/>
          <w:iCs/>
        </w:rPr>
        <w:t>GAA</w:t>
      </w:r>
      <w:r w:rsidR="00E06C9E">
        <w:rPr>
          <w:rFonts w:cs="Arial"/>
        </w:rPr>
        <w:t xml:space="preserve"> gene. </w:t>
      </w:r>
      <w:r w:rsidRPr="0057632A">
        <w:t xml:space="preserve">The </w:t>
      </w:r>
      <w:r w:rsidR="00BF28B9">
        <w:t>two</w:t>
      </w:r>
      <w:r w:rsidR="00BF28B9" w:rsidRPr="704C33E5">
        <w:rPr>
          <w:rFonts w:ascii="Arial" w:hAnsi="Arial" w:cs="Arial"/>
        </w:rPr>
        <w:t> </w:t>
      </w:r>
      <w:r w:rsidR="00BF28B9">
        <w:t>main</w:t>
      </w:r>
      <w:r w:rsidR="00BF28B9" w:rsidRPr="0057632A">
        <w:t xml:space="preserve"> </w:t>
      </w:r>
      <w:r w:rsidRPr="0057632A">
        <w:t xml:space="preserve">categories of clinically </w:t>
      </w:r>
      <w:r w:rsidR="00BF28B9">
        <w:t>diagnosed</w:t>
      </w:r>
      <w:r w:rsidR="00BF28B9" w:rsidRPr="0057632A">
        <w:t xml:space="preserve"> </w:t>
      </w:r>
      <w:r w:rsidRPr="0057632A">
        <w:t>GSD II are infantile-onset (IOGSD II)</w:t>
      </w:r>
      <w:r w:rsidR="00020C57">
        <w:t xml:space="preserve"> </w:t>
      </w:r>
      <w:r w:rsidRPr="0057632A">
        <w:t>and late-onset (LOGSD II). IOGSD II</w:t>
      </w:r>
      <w:r w:rsidR="00841888">
        <w:t xml:space="preserve"> </w:t>
      </w:r>
      <w:r w:rsidRPr="0057632A">
        <w:t>is the most severe form of the disease and is associated with very low or no GAA activity. IOGSD II</w:t>
      </w:r>
      <w:r w:rsidR="00841888">
        <w:t xml:space="preserve"> </w:t>
      </w:r>
      <w:r w:rsidRPr="0057632A">
        <w:t xml:space="preserve">is characterised by symptoms </w:t>
      </w:r>
      <w:r w:rsidR="00422BF8">
        <w:t xml:space="preserve">that appear </w:t>
      </w:r>
      <w:r w:rsidRPr="0057632A">
        <w:t xml:space="preserve">at birth or </w:t>
      </w:r>
      <w:r w:rsidR="00F570EA" w:rsidRPr="0057632A">
        <w:t xml:space="preserve">within the first few months of life. </w:t>
      </w:r>
      <w:r w:rsidR="00BB069F">
        <w:t>S</w:t>
      </w:r>
      <w:r w:rsidR="00BB069F" w:rsidRPr="0057632A">
        <w:t>ymptoms</w:t>
      </w:r>
      <w:r w:rsidR="00BB069F">
        <w:t xml:space="preserve"> of IOGSD II </w:t>
      </w:r>
      <w:r w:rsidRPr="0057632A">
        <w:t>includ</w:t>
      </w:r>
      <w:r w:rsidR="00BB069F">
        <w:t xml:space="preserve">e </w:t>
      </w:r>
      <w:r w:rsidR="00422BF8" w:rsidRPr="0057632A">
        <w:t xml:space="preserve">hypotonia (low muscle tone), </w:t>
      </w:r>
      <w:r w:rsidR="00422BF8">
        <w:t xml:space="preserve">feeding and </w:t>
      </w:r>
      <w:r w:rsidR="00422BF8" w:rsidRPr="0057632A">
        <w:t xml:space="preserve">respiratory problems </w:t>
      </w:r>
      <w:r w:rsidR="00422BF8">
        <w:t>and</w:t>
      </w:r>
      <w:r w:rsidRPr="0057632A">
        <w:t xml:space="preserve"> cardiomyopathy (thickening of the heart muscle), that eventually require a ventilator</w:t>
      </w:r>
      <w:r w:rsidR="00F570EA">
        <w:t>.</w:t>
      </w:r>
      <w:r w:rsidR="00BB069F">
        <w:t xml:space="preserve"> </w:t>
      </w:r>
      <w:r w:rsidRPr="0057632A">
        <w:t>Without treatment, most individuals</w:t>
      </w:r>
      <w:r w:rsidR="00020C57">
        <w:t xml:space="preserve"> with IOGSD II</w:t>
      </w:r>
      <w:r w:rsidRPr="0057632A">
        <w:t xml:space="preserve"> have unremitting deterioration and die within the first year of life. </w:t>
      </w:r>
      <w:r w:rsidR="00020C57">
        <w:t xml:space="preserve">MSAC noted LOGSD II </w:t>
      </w:r>
      <w:r w:rsidR="005C31C1">
        <w:t>is typically asymptomatic</w:t>
      </w:r>
      <w:r w:rsidR="00020C57" w:rsidRPr="00020C57">
        <w:t xml:space="preserve"> </w:t>
      </w:r>
      <w:r w:rsidR="0072071A">
        <w:t>at the time of newborn screening</w:t>
      </w:r>
      <w:r w:rsidR="005C31C1">
        <w:t xml:space="preserve">, with symptoms such as </w:t>
      </w:r>
      <w:r w:rsidR="00020C57" w:rsidRPr="00020C57">
        <w:t xml:space="preserve">skeletal muscle weakness, respiratory problems, and </w:t>
      </w:r>
      <w:r w:rsidR="005C31C1" w:rsidRPr="00020C57">
        <w:t>exercis</w:t>
      </w:r>
      <w:r w:rsidR="005C31C1">
        <w:t>e intolerance usually developing in</w:t>
      </w:r>
      <w:r w:rsidR="00895CC0">
        <w:t xml:space="preserve"> adulthood. However, </w:t>
      </w:r>
      <w:r w:rsidR="005C31C1">
        <w:t>some individuals may be diagnosed before 18 years of age</w:t>
      </w:r>
      <w:r w:rsidR="00020C57" w:rsidRPr="00020C57">
        <w:t xml:space="preserve">. </w:t>
      </w:r>
      <w:r w:rsidR="004C5B1F">
        <w:t>MSAC noted the symptoms</w:t>
      </w:r>
      <w:r w:rsidR="001E48D2">
        <w:t>,</w:t>
      </w:r>
      <w:r w:rsidR="004C5B1F">
        <w:t xml:space="preserve"> severity</w:t>
      </w:r>
      <w:r w:rsidR="001E48D2">
        <w:t xml:space="preserve"> and specific clinical features</w:t>
      </w:r>
      <w:r w:rsidR="004C5B1F">
        <w:t xml:space="preserve"> of LOGSD II can vary widely between individuals even if they have the same</w:t>
      </w:r>
      <w:r w:rsidR="00020C57" w:rsidRPr="00020C57">
        <w:t xml:space="preserve"> genetic variant</w:t>
      </w:r>
      <w:r w:rsidR="004C5B1F">
        <w:t>.</w:t>
      </w:r>
    </w:p>
    <w:p w14:paraId="1F972C69" w14:textId="23FAB471" w:rsidR="00BC1B81" w:rsidRPr="0057632A" w:rsidRDefault="00B17032" w:rsidP="00BC1B81">
      <w:r>
        <w:t xml:space="preserve">MSAC noted </w:t>
      </w:r>
      <w:r w:rsidR="00056E78">
        <w:t xml:space="preserve">that </w:t>
      </w:r>
      <w:r w:rsidR="00B34922">
        <w:t xml:space="preserve">currently without </w:t>
      </w:r>
      <w:r w:rsidR="00056E78">
        <w:t xml:space="preserve">the </w:t>
      </w:r>
      <w:r>
        <w:t xml:space="preserve">NBS, </w:t>
      </w:r>
      <w:r w:rsidR="00F12F62" w:rsidRPr="00F12F62">
        <w:t xml:space="preserve">the timing of diagnosis for GSD II varies significantly depending on the disease form. Infantile-onset GSD II is typically diagnosed around 3 months of age </w:t>
      </w:r>
      <w:r w:rsidR="00F12F62">
        <w:t>(</w:t>
      </w:r>
      <w:r>
        <w:t>Pompe registry</w:t>
      </w:r>
      <w:r w:rsidR="00D1226C">
        <w:rPr>
          <w:rStyle w:val="FootnoteReference"/>
        </w:rPr>
        <w:footnoteReference w:id="4"/>
      </w:r>
      <w:r w:rsidR="00F12F62">
        <w:t>)</w:t>
      </w:r>
      <w:r>
        <w:t xml:space="preserve"> </w:t>
      </w:r>
      <w:r w:rsidR="00F12F62">
        <w:t>whereas</w:t>
      </w:r>
      <w:r>
        <w:t xml:space="preserve"> </w:t>
      </w:r>
      <w:r w:rsidR="0057632A" w:rsidRPr="0057632A">
        <w:t xml:space="preserve">LOGSD II </w:t>
      </w:r>
      <w:r w:rsidR="00422BF8">
        <w:t xml:space="preserve">is </w:t>
      </w:r>
      <w:r w:rsidR="00F12F62">
        <w:t>usually identified in adulthood</w:t>
      </w:r>
      <w:r w:rsidR="00380E24">
        <w:t xml:space="preserve">. The most common type of GSD II is the late-onset form. </w:t>
      </w:r>
      <w:r w:rsidR="01E002CC">
        <w:t>MS</w:t>
      </w:r>
      <w:r w:rsidR="7CE54FC1">
        <w:t xml:space="preserve">AC considered </w:t>
      </w:r>
      <w:r w:rsidR="1AF67E3A">
        <w:t>Australian</w:t>
      </w:r>
      <w:r w:rsidR="7C90F239">
        <w:t xml:space="preserve"> data </w:t>
      </w:r>
      <w:r w:rsidR="67679A6F">
        <w:t xml:space="preserve">showed </w:t>
      </w:r>
      <w:r w:rsidR="7C90F239">
        <w:t xml:space="preserve">that </w:t>
      </w:r>
      <w:r w:rsidR="7BD645CB">
        <w:t xml:space="preserve">most </w:t>
      </w:r>
      <w:r w:rsidR="00890F9D">
        <w:t xml:space="preserve">people </w:t>
      </w:r>
      <w:r w:rsidR="7BD645CB">
        <w:t xml:space="preserve">with LOGSD II develop symptoms </w:t>
      </w:r>
      <w:r w:rsidR="36B7E8C9">
        <w:t xml:space="preserve">in adulthood </w:t>
      </w:r>
      <w:r w:rsidR="7BD645CB">
        <w:t xml:space="preserve">and are diagnosed </w:t>
      </w:r>
      <w:r w:rsidR="7E922C58">
        <w:t xml:space="preserve">when they are over </w:t>
      </w:r>
      <w:r w:rsidR="7E922C58" w:rsidRPr="008659D6">
        <w:t>40</w:t>
      </w:r>
      <w:r w:rsidR="7E922C58">
        <w:t xml:space="preserve"> years of age. </w:t>
      </w:r>
      <w:r w:rsidR="33DB85C8">
        <w:t>In</w:t>
      </w:r>
      <w:r w:rsidR="00380E24">
        <w:t xml:space="preserve"> Australia, the </w:t>
      </w:r>
      <w:r w:rsidR="0057632A" w:rsidRPr="0057632A">
        <w:t xml:space="preserve">median age of </w:t>
      </w:r>
      <w:r w:rsidR="00380E24">
        <w:t xml:space="preserve">diagnosis with </w:t>
      </w:r>
      <w:r w:rsidR="002621C0">
        <w:t xml:space="preserve">of any form of </w:t>
      </w:r>
      <w:r w:rsidR="00591082">
        <w:t>GSD II is</w:t>
      </w:r>
      <w:r w:rsidR="00380E24">
        <w:t xml:space="preserve"> </w:t>
      </w:r>
      <w:r w:rsidR="0057632A" w:rsidRPr="0057632A">
        <w:t>36</w:t>
      </w:r>
      <w:r w:rsidR="0057632A" w:rsidRPr="0057632A">
        <w:rPr>
          <w:rFonts w:ascii="Arial" w:hAnsi="Arial" w:cs="Arial"/>
        </w:rPr>
        <w:t> </w:t>
      </w:r>
      <w:r w:rsidR="0057632A" w:rsidRPr="0057632A">
        <w:t>years</w:t>
      </w:r>
      <w:r w:rsidR="00380E24">
        <w:t xml:space="preserve">, </w:t>
      </w:r>
      <w:r w:rsidR="0057632A" w:rsidRPr="0057632A">
        <w:t>rang</w:t>
      </w:r>
      <w:r w:rsidR="00380E24">
        <w:t>ing from</w:t>
      </w:r>
      <w:r w:rsidR="0057632A" w:rsidRPr="0057632A">
        <w:t xml:space="preserve"> 10</w:t>
      </w:r>
      <w:r w:rsidR="0057632A" w:rsidRPr="0057632A">
        <w:rPr>
          <w:rFonts w:ascii="Arial" w:hAnsi="Arial" w:cs="Arial"/>
        </w:rPr>
        <w:t> </w:t>
      </w:r>
      <w:r w:rsidR="0057632A" w:rsidRPr="0057632A">
        <w:t>weeks to 69.7</w:t>
      </w:r>
      <w:r w:rsidR="0057632A" w:rsidRPr="0057632A">
        <w:rPr>
          <w:rFonts w:ascii="Arial" w:hAnsi="Arial" w:cs="Arial"/>
        </w:rPr>
        <w:t> </w:t>
      </w:r>
      <w:r w:rsidR="0057632A" w:rsidRPr="0057632A">
        <w:t>years</w:t>
      </w:r>
      <w:bookmarkStart w:id="3" w:name="_Ref208328945"/>
      <w:r w:rsidR="004F5A9E">
        <w:rPr>
          <w:rStyle w:val="FootnoteReference"/>
        </w:rPr>
        <w:footnoteReference w:id="5"/>
      </w:r>
      <w:bookmarkEnd w:id="3"/>
      <w:r w:rsidR="0057632A" w:rsidRPr="0057632A">
        <w:t>.</w:t>
      </w:r>
      <w:r>
        <w:t xml:space="preserve"> </w:t>
      </w:r>
      <w:r w:rsidR="004F5A9E">
        <w:t xml:space="preserve">MSAC further noted </w:t>
      </w:r>
      <w:r w:rsidR="004F5A9E" w:rsidRPr="00310C82">
        <w:rPr>
          <w:rFonts w:eastAsia="Franklin Gothic Book"/>
        </w:rPr>
        <w:t xml:space="preserve">data from the LSDP (2014-2024) indicated that for those with late onset </w:t>
      </w:r>
      <w:r w:rsidR="00E1157B">
        <w:rPr>
          <w:rFonts w:eastAsia="Franklin Gothic Book"/>
        </w:rPr>
        <w:t xml:space="preserve">disease </w:t>
      </w:r>
      <w:r w:rsidR="004F5A9E" w:rsidRPr="00310C82">
        <w:rPr>
          <w:rFonts w:eastAsia="Franklin Gothic Book"/>
        </w:rPr>
        <w:t xml:space="preserve">who received ERT, the median age of </w:t>
      </w:r>
      <w:r w:rsidR="002621C0">
        <w:rPr>
          <w:rFonts w:eastAsia="Franklin Gothic Book"/>
        </w:rPr>
        <w:t>symptom onset</w:t>
      </w:r>
      <w:r w:rsidR="002621C0" w:rsidRPr="00310C82">
        <w:rPr>
          <w:rFonts w:eastAsia="Franklin Gothic Book"/>
        </w:rPr>
        <w:t xml:space="preserve"> </w:t>
      </w:r>
      <w:r w:rsidR="004F5A9E" w:rsidRPr="00310C82">
        <w:rPr>
          <w:rFonts w:eastAsia="Franklin Gothic Book"/>
        </w:rPr>
        <w:t xml:space="preserve">was </w:t>
      </w:r>
      <w:r w:rsidR="00591082">
        <w:rPr>
          <w:rFonts w:eastAsia="Franklin Gothic Book"/>
        </w:rPr>
        <w:t xml:space="preserve">over </w:t>
      </w:r>
      <w:r w:rsidR="00E025B8" w:rsidRPr="00E025B8">
        <w:rPr>
          <w:rFonts w:eastAsia="Franklin Gothic Book"/>
          <w:b/>
          <w:bCs/>
        </w:rPr>
        <w:t>REDACTED</w:t>
      </w:r>
      <w:r w:rsidR="004F5A9E" w:rsidRPr="00310C82">
        <w:rPr>
          <w:rFonts w:eastAsia="Franklin Gothic Book"/>
        </w:rPr>
        <w:t xml:space="preserve"> of age and </w:t>
      </w:r>
      <w:r w:rsidR="00591082">
        <w:rPr>
          <w:rFonts w:eastAsia="Franklin Gothic Book"/>
        </w:rPr>
        <w:t xml:space="preserve">over </w:t>
      </w:r>
      <w:r w:rsidR="00E025B8" w:rsidRPr="00E025B8">
        <w:rPr>
          <w:rFonts w:eastAsia="Franklin Gothic Book"/>
          <w:b/>
          <w:bCs/>
        </w:rPr>
        <w:t>REDACTED</w:t>
      </w:r>
      <w:r w:rsidR="004F5A9E" w:rsidRPr="00310C82">
        <w:rPr>
          <w:rFonts w:eastAsia="Franklin Gothic Book"/>
        </w:rPr>
        <w:t xml:space="preserve"> were adults (18 years or older).</w:t>
      </w:r>
      <w:r w:rsidR="004F5A9E" w:rsidRPr="0057632A">
        <w:t xml:space="preserve"> </w:t>
      </w:r>
      <w:r w:rsidR="002621C0">
        <w:t>MSAC noted that people diagnosed with GSD II at a younger age have worse clinical outcomes</w:t>
      </w:r>
      <w:r w:rsidR="00422BF8">
        <w:t>.</w:t>
      </w:r>
      <w:r w:rsidR="00763BD5">
        <w:t xml:space="preserve"> </w:t>
      </w:r>
    </w:p>
    <w:p w14:paraId="405AE405" w14:textId="0A59634F" w:rsidR="00E06C9E" w:rsidRDefault="001815BF" w:rsidP="00B046A6">
      <w:r>
        <w:t>Regarding the key health technology assessment (HTA) question</w:t>
      </w:r>
      <w:r w:rsidR="00B53FEA">
        <w:t>s</w:t>
      </w:r>
      <w:r>
        <w:t xml:space="preserve"> </w:t>
      </w:r>
      <w:r w:rsidR="008A4CF6">
        <w:t xml:space="preserve">(Including </w:t>
      </w:r>
      <w:r w:rsidR="00F50553">
        <w:t>the</w:t>
      </w:r>
      <w:r>
        <w:t xml:space="preserve"> </w:t>
      </w:r>
      <w:r w:rsidRPr="00EA7C9B">
        <w:rPr>
          <w:b/>
          <w:bCs/>
        </w:rPr>
        <w:t>availability of </w:t>
      </w:r>
      <w:r w:rsidR="008A1230">
        <w:rPr>
          <w:b/>
          <w:bCs/>
        </w:rPr>
        <w:t xml:space="preserve">a </w:t>
      </w:r>
      <w:r w:rsidRPr="00EA7C9B">
        <w:rPr>
          <w:b/>
          <w:bCs/>
        </w:rPr>
        <w:t>suitable screening test (or tests) to accurately identify all newborns at risk for the proposed</w:t>
      </w:r>
      <w:r w:rsidR="000876A1">
        <w:rPr>
          <w:b/>
          <w:bCs/>
        </w:rPr>
        <w:t xml:space="preserve"> c</w:t>
      </w:r>
      <w:r w:rsidRPr="00EA7C9B">
        <w:rPr>
          <w:b/>
          <w:bCs/>
        </w:rPr>
        <w:t>ondition (with acceptable clinical sensitivity and specificity according to consensus thresholds for what is considered positive)</w:t>
      </w:r>
      <w:r w:rsidR="00B53FEA">
        <w:rPr>
          <w:b/>
          <w:bCs/>
        </w:rPr>
        <w:t xml:space="preserve"> and </w:t>
      </w:r>
      <w:r w:rsidR="00B53FEA">
        <w:rPr>
          <w:b/>
          <w:bCs/>
          <w:lang w:val="en-US"/>
        </w:rPr>
        <w:t xml:space="preserve">whether </w:t>
      </w:r>
      <w:r w:rsidR="00B53FEA" w:rsidRPr="00B53FEA">
        <w:rPr>
          <w:b/>
          <w:bCs/>
          <w:lang w:val="en-US"/>
        </w:rPr>
        <w:t>disease subtype and prognosis can be determined from the screening and confirmatory tests to determine need for earlier treatment</w:t>
      </w:r>
      <w:r w:rsidR="008A4CF6">
        <w:rPr>
          <w:b/>
          <w:bCs/>
          <w:lang w:val="en-US"/>
        </w:rPr>
        <w:t>)</w:t>
      </w:r>
      <w:r>
        <w:t xml:space="preserve">, </w:t>
      </w:r>
      <w:r w:rsidR="0057632A" w:rsidRPr="0057632A">
        <w:t xml:space="preserve">MSAC noted that </w:t>
      </w:r>
      <w:r w:rsidR="00467A61">
        <w:t>proposed</w:t>
      </w:r>
      <w:r w:rsidR="00467A61" w:rsidRPr="0057632A">
        <w:t xml:space="preserve"> </w:t>
      </w:r>
      <w:r w:rsidR="0057632A" w:rsidRPr="0057632A">
        <w:t xml:space="preserve">first-tier testing using a </w:t>
      </w:r>
      <w:r w:rsidR="006722A4" w:rsidRPr="02E2EE7D">
        <w:t xml:space="preserve">tandem mass spectrometry (MS/MS) </w:t>
      </w:r>
      <w:r w:rsidR="006722A4" w:rsidRPr="006722A4">
        <w:rPr>
          <w:lang w:val="en-US"/>
        </w:rPr>
        <w:t xml:space="preserve">or fluorometric assay on dried blood spot for GAA </w:t>
      </w:r>
      <w:r w:rsidR="0057632A" w:rsidRPr="0057632A">
        <w:t xml:space="preserve">enzyme </w:t>
      </w:r>
      <w:r w:rsidR="006722A4">
        <w:t>activity</w:t>
      </w:r>
      <w:r w:rsidR="0057632A" w:rsidRPr="0057632A">
        <w:t xml:space="preserve"> is unable to </w:t>
      </w:r>
      <w:r w:rsidR="008B0902">
        <w:t xml:space="preserve">fully </w:t>
      </w:r>
      <w:r w:rsidR="0057632A" w:rsidRPr="0057632A">
        <w:t>discriminate between IOGSD</w:t>
      </w:r>
      <w:r w:rsidR="0057632A" w:rsidRPr="0057632A">
        <w:rPr>
          <w:rFonts w:cs="Arial"/>
        </w:rPr>
        <w:t> </w:t>
      </w:r>
      <w:r w:rsidR="0057632A" w:rsidRPr="0057632A">
        <w:t xml:space="preserve">II (representing 10–20% of </w:t>
      </w:r>
      <w:r w:rsidR="0095669A">
        <w:t>infants</w:t>
      </w:r>
      <w:r w:rsidR="0057632A" w:rsidRPr="0057632A">
        <w:t>) and LOGSD II (</w:t>
      </w:r>
      <w:r w:rsidR="0095669A">
        <w:t xml:space="preserve">affecting </w:t>
      </w:r>
      <w:r w:rsidR="0057632A" w:rsidRPr="0057632A">
        <w:t xml:space="preserve">80–90% of </w:t>
      </w:r>
      <w:r w:rsidR="0095669A">
        <w:t>cases</w:t>
      </w:r>
      <w:r w:rsidR="0057632A" w:rsidRPr="0057632A">
        <w:t>).</w:t>
      </w:r>
      <w:r w:rsidR="00C160B2">
        <w:t xml:space="preserve"> </w:t>
      </w:r>
      <w:r w:rsidR="00211607">
        <w:rPr>
          <w:rFonts w:cs="Arial"/>
        </w:rPr>
        <w:t xml:space="preserve">MSAC noted that the levels of </w:t>
      </w:r>
      <w:r w:rsidR="00211607" w:rsidRPr="00B510BA">
        <w:rPr>
          <w:rFonts w:cs="Arial"/>
        </w:rPr>
        <w:t>GAA enzyme activity</w:t>
      </w:r>
      <w:r w:rsidR="00211607">
        <w:rPr>
          <w:rFonts w:cs="Arial"/>
        </w:rPr>
        <w:t xml:space="preserve"> in newborns overlap</w:t>
      </w:r>
      <w:r w:rsidR="008A1230">
        <w:rPr>
          <w:rFonts w:cs="Arial"/>
        </w:rPr>
        <w:t>s</w:t>
      </w:r>
      <w:r w:rsidR="00211607">
        <w:rPr>
          <w:rFonts w:cs="Arial"/>
        </w:rPr>
        <w:t xml:space="preserve"> for the infantile-onset and late onset forms of GSD II. </w:t>
      </w:r>
      <w:r w:rsidR="0057632A" w:rsidRPr="0057632A">
        <w:t xml:space="preserve">The proposed second-tier </w:t>
      </w:r>
      <w:r w:rsidR="0095669A">
        <w:t xml:space="preserve">rapid </w:t>
      </w:r>
      <w:r w:rsidR="0057632A" w:rsidRPr="0057632A">
        <w:t xml:space="preserve">molecular </w:t>
      </w:r>
      <w:r w:rsidR="0095669A">
        <w:t>(</w:t>
      </w:r>
      <w:r w:rsidR="0057632A" w:rsidRPr="0057632A">
        <w:t>genetic</w:t>
      </w:r>
      <w:r w:rsidR="0095669A">
        <w:t>)</w:t>
      </w:r>
      <w:r w:rsidR="0057632A" w:rsidRPr="0057632A">
        <w:t xml:space="preserve"> testing for common </w:t>
      </w:r>
      <w:r w:rsidR="0057632A" w:rsidRPr="00C57D1E">
        <w:rPr>
          <w:i/>
          <w:iCs/>
        </w:rPr>
        <w:t>GAA</w:t>
      </w:r>
      <w:r w:rsidR="0057632A" w:rsidRPr="0057632A">
        <w:t xml:space="preserve"> variants is expected to diagnose </w:t>
      </w:r>
      <w:r w:rsidR="00F21F7B">
        <w:t>most</w:t>
      </w:r>
      <w:r w:rsidR="0095669A" w:rsidRPr="0057632A">
        <w:t xml:space="preserve"> </w:t>
      </w:r>
      <w:r w:rsidR="0057632A" w:rsidRPr="0057632A">
        <w:t>but not all IOGSD</w:t>
      </w:r>
      <w:r w:rsidR="0057632A" w:rsidRPr="0057632A">
        <w:rPr>
          <w:rFonts w:cs="Arial"/>
        </w:rPr>
        <w:t> </w:t>
      </w:r>
      <w:r w:rsidR="0057632A" w:rsidRPr="0057632A">
        <w:t xml:space="preserve">II infants and </w:t>
      </w:r>
      <w:r w:rsidR="0057632A" w:rsidRPr="00EA7C9B">
        <w:t>may</w:t>
      </w:r>
      <w:r w:rsidR="0057632A" w:rsidRPr="0057632A">
        <w:t xml:space="preserve"> help to exclude </w:t>
      </w:r>
      <w:r w:rsidR="00591082">
        <w:t xml:space="preserve">some </w:t>
      </w:r>
      <w:proofErr w:type="spellStart"/>
      <w:r w:rsidR="0057632A" w:rsidRPr="0057632A">
        <w:t>pseudodeficiencies</w:t>
      </w:r>
      <w:proofErr w:type="spellEnd"/>
      <w:r w:rsidR="005641F9">
        <w:rPr>
          <w:rStyle w:val="FootnoteReference"/>
        </w:rPr>
        <w:footnoteReference w:id="6"/>
      </w:r>
      <w:r w:rsidR="002621C0">
        <w:t xml:space="preserve"> (a type of false positive result)</w:t>
      </w:r>
      <w:r w:rsidR="00E32A31">
        <w:rPr>
          <w:rFonts w:cs="Arial"/>
        </w:rPr>
        <w:t>.</w:t>
      </w:r>
      <w:r w:rsidR="005641F9" w:rsidRPr="005641F9">
        <w:t xml:space="preserve"> </w:t>
      </w:r>
    </w:p>
    <w:p w14:paraId="30F41705" w14:textId="5A655CD7" w:rsidR="00E06C9E" w:rsidRDefault="00E06C9E" w:rsidP="001919F4">
      <w:pPr>
        <w:rPr>
          <w:rFonts w:cs="Arial"/>
        </w:rPr>
      </w:pPr>
      <w:r>
        <w:rPr>
          <w:rFonts w:cs="Arial"/>
        </w:rPr>
        <w:t xml:space="preserve">MSAC noted that this </w:t>
      </w:r>
      <w:r w:rsidR="00211607">
        <w:rPr>
          <w:rFonts w:cs="Arial"/>
        </w:rPr>
        <w:t xml:space="preserve">specific </w:t>
      </w:r>
      <w:r w:rsidR="00C06429">
        <w:rPr>
          <w:rFonts w:cs="Arial"/>
        </w:rPr>
        <w:t>2</w:t>
      </w:r>
      <w:r w:rsidR="00CB11D4">
        <w:rPr>
          <w:rFonts w:cs="Arial"/>
        </w:rPr>
        <w:t>-</w:t>
      </w:r>
      <w:r>
        <w:rPr>
          <w:rFonts w:cs="Arial"/>
        </w:rPr>
        <w:t xml:space="preserve">tiered </w:t>
      </w:r>
      <w:r w:rsidR="00763BD5">
        <w:rPr>
          <w:rFonts w:cs="Arial"/>
        </w:rPr>
        <w:t>screening method</w:t>
      </w:r>
      <w:r w:rsidR="00763BD5" w:rsidRPr="704C33E5">
        <w:rPr>
          <w:rFonts w:cs="Arial"/>
        </w:rPr>
        <w:t xml:space="preserve"> </w:t>
      </w:r>
      <w:r w:rsidRPr="00F50553">
        <w:rPr>
          <w:rFonts w:cs="Arial"/>
        </w:rPr>
        <w:t>has not been studied in international NBS programs</w:t>
      </w:r>
      <w:r>
        <w:rPr>
          <w:rFonts w:cs="Arial"/>
        </w:rPr>
        <w:t xml:space="preserve"> and has no </w:t>
      </w:r>
      <w:r w:rsidR="00211607">
        <w:rPr>
          <w:rFonts w:cs="Arial"/>
        </w:rPr>
        <w:t xml:space="preserve">direct </w:t>
      </w:r>
      <w:r>
        <w:rPr>
          <w:rFonts w:cs="Arial"/>
        </w:rPr>
        <w:t>evidence</w:t>
      </w:r>
      <w:r w:rsidR="00211607">
        <w:rPr>
          <w:rFonts w:cs="Arial"/>
        </w:rPr>
        <w:t xml:space="preserve"> to estimate how it would perform</w:t>
      </w:r>
      <w:r w:rsidR="00EC65F0">
        <w:rPr>
          <w:rFonts w:cs="Arial"/>
        </w:rPr>
        <w:t xml:space="preserve"> in practice</w:t>
      </w:r>
      <w:r>
        <w:rPr>
          <w:rFonts w:cs="Arial"/>
        </w:rPr>
        <w:t>. MSAC noted in many international jurisdictions, t</w:t>
      </w:r>
      <w:r w:rsidRPr="00B510BA">
        <w:rPr>
          <w:rFonts w:cs="Arial"/>
        </w:rPr>
        <w:t>he first-tier screen</w:t>
      </w:r>
      <w:r>
        <w:rPr>
          <w:rFonts w:cs="Arial"/>
        </w:rPr>
        <w:t>ing method used</w:t>
      </w:r>
      <w:r w:rsidRPr="00B510BA">
        <w:rPr>
          <w:rFonts w:cs="Arial"/>
        </w:rPr>
        <w:t xml:space="preserve"> to assess GAA enzyme activity</w:t>
      </w:r>
      <w:r>
        <w:rPr>
          <w:rFonts w:cs="Arial"/>
        </w:rPr>
        <w:t xml:space="preserve"> </w:t>
      </w:r>
      <w:r w:rsidRPr="00B510BA">
        <w:rPr>
          <w:rFonts w:cs="Arial"/>
        </w:rPr>
        <w:t xml:space="preserve">is most commonly MS/MS. </w:t>
      </w:r>
      <w:proofErr w:type="gramStart"/>
      <w:r w:rsidRPr="00B510BA">
        <w:rPr>
          <w:rFonts w:cs="Arial"/>
        </w:rPr>
        <w:t>The majority of</w:t>
      </w:r>
      <w:proofErr w:type="gramEnd"/>
      <w:r w:rsidRPr="00B510BA">
        <w:rPr>
          <w:rFonts w:cs="Arial"/>
        </w:rPr>
        <w:t xml:space="preserve"> programs </w:t>
      </w:r>
      <w:r>
        <w:rPr>
          <w:rFonts w:cs="Arial"/>
        </w:rPr>
        <w:t xml:space="preserve">either </w:t>
      </w:r>
      <w:r w:rsidRPr="00B510BA">
        <w:rPr>
          <w:rFonts w:cs="Arial"/>
        </w:rPr>
        <w:t xml:space="preserve">do not have a </w:t>
      </w:r>
      <w:proofErr w:type="gramStart"/>
      <w:r w:rsidRPr="00B510BA">
        <w:rPr>
          <w:rFonts w:cs="Arial"/>
        </w:rPr>
        <w:t>second-tier</w:t>
      </w:r>
      <w:proofErr w:type="gramEnd"/>
      <w:r w:rsidRPr="00B510BA">
        <w:rPr>
          <w:rFonts w:cs="Arial"/>
        </w:rPr>
        <w:t xml:space="preserve"> </w:t>
      </w:r>
      <w:proofErr w:type="gramStart"/>
      <w:r w:rsidRPr="00B510BA">
        <w:rPr>
          <w:rFonts w:cs="Arial"/>
        </w:rPr>
        <w:t>screen, or</w:t>
      </w:r>
      <w:proofErr w:type="gramEnd"/>
      <w:r w:rsidRPr="00B510BA">
        <w:rPr>
          <w:rFonts w:cs="Arial"/>
        </w:rPr>
        <w:t xml:space="preserve"> </w:t>
      </w:r>
      <w:r>
        <w:rPr>
          <w:rFonts w:cs="Arial"/>
        </w:rPr>
        <w:t xml:space="preserve">use </w:t>
      </w:r>
      <w:r w:rsidRPr="00B510BA">
        <w:rPr>
          <w:rFonts w:cs="Arial"/>
        </w:rPr>
        <w:t xml:space="preserve">genetic </w:t>
      </w:r>
      <w:r>
        <w:rPr>
          <w:rFonts w:cs="Arial"/>
        </w:rPr>
        <w:t>testing</w:t>
      </w:r>
      <w:r w:rsidRPr="00B510BA">
        <w:rPr>
          <w:rFonts w:cs="Arial"/>
        </w:rPr>
        <w:t xml:space="preserve"> as </w:t>
      </w:r>
      <w:r>
        <w:rPr>
          <w:rFonts w:cs="Arial"/>
        </w:rPr>
        <w:t xml:space="preserve">the </w:t>
      </w:r>
      <w:r w:rsidRPr="00B510BA">
        <w:rPr>
          <w:rFonts w:cs="Arial"/>
        </w:rPr>
        <w:t xml:space="preserve">second-tier screen or </w:t>
      </w:r>
      <w:r>
        <w:rPr>
          <w:rFonts w:cs="Arial"/>
        </w:rPr>
        <w:t xml:space="preserve">as part of </w:t>
      </w:r>
      <w:r w:rsidRPr="00B510BA">
        <w:rPr>
          <w:rFonts w:cs="Arial"/>
        </w:rPr>
        <w:t>confirmatory testing</w:t>
      </w:r>
      <w:r>
        <w:rPr>
          <w:rFonts w:cs="Arial"/>
        </w:rPr>
        <w:t>. MSAC noted that e</w:t>
      </w:r>
      <w:r w:rsidRPr="0095669A">
        <w:rPr>
          <w:rFonts w:cs="Arial"/>
        </w:rPr>
        <w:t xml:space="preserve">xpert advice from </w:t>
      </w:r>
      <w:r w:rsidRPr="00685234">
        <w:rPr>
          <w:rFonts w:cs="Arial"/>
        </w:rPr>
        <w:t xml:space="preserve">South Australian NBS laboratory/National Referral Laboratory and NSW NBS laboratory </w:t>
      </w:r>
      <w:r>
        <w:rPr>
          <w:rFonts w:cs="Arial"/>
        </w:rPr>
        <w:t xml:space="preserve">indicated </w:t>
      </w:r>
      <w:r w:rsidRPr="0095669A">
        <w:rPr>
          <w:rFonts w:cs="Arial"/>
        </w:rPr>
        <w:t xml:space="preserve">that </w:t>
      </w:r>
      <w:r>
        <w:rPr>
          <w:rFonts w:cs="Arial"/>
        </w:rPr>
        <w:t xml:space="preserve">currently </w:t>
      </w:r>
      <w:r w:rsidRPr="0095669A">
        <w:rPr>
          <w:rFonts w:cs="Arial"/>
        </w:rPr>
        <w:t xml:space="preserve">there is no optimal </w:t>
      </w:r>
      <w:r w:rsidR="00EC65F0">
        <w:rPr>
          <w:rFonts w:cs="Arial"/>
        </w:rPr>
        <w:t xml:space="preserve">screening </w:t>
      </w:r>
      <w:r w:rsidRPr="0095669A">
        <w:rPr>
          <w:rFonts w:cs="Arial"/>
        </w:rPr>
        <w:t xml:space="preserve">protocol </w:t>
      </w:r>
      <w:r w:rsidR="00EC65F0">
        <w:rPr>
          <w:rFonts w:cs="Arial"/>
        </w:rPr>
        <w:t>that could</w:t>
      </w:r>
      <w:r>
        <w:rPr>
          <w:rFonts w:cs="Arial"/>
        </w:rPr>
        <w:t xml:space="preserve"> be used in Australia and that the </w:t>
      </w:r>
      <w:r w:rsidRPr="0095669A">
        <w:rPr>
          <w:rFonts w:cs="Arial"/>
        </w:rPr>
        <w:t xml:space="preserve">number of </w:t>
      </w:r>
      <w:proofErr w:type="spellStart"/>
      <w:r w:rsidRPr="0095669A">
        <w:rPr>
          <w:rFonts w:cs="Arial"/>
        </w:rPr>
        <w:t>pseudodeficiencies</w:t>
      </w:r>
      <w:proofErr w:type="spellEnd"/>
      <w:r w:rsidR="00211607">
        <w:rPr>
          <w:rFonts w:cs="Arial"/>
        </w:rPr>
        <w:t xml:space="preserve"> </w:t>
      </w:r>
      <w:r>
        <w:rPr>
          <w:rFonts w:cs="Arial"/>
        </w:rPr>
        <w:t>were high.</w:t>
      </w:r>
      <w:r w:rsidRPr="0095669A">
        <w:rPr>
          <w:rFonts w:cs="Arial"/>
        </w:rPr>
        <w:t xml:space="preserve"> </w:t>
      </w:r>
      <w:r w:rsidR="001919F4">
        <w:rPr>
          <w:rFonts w:cs="Arial"/>
        </w:rPr>
        <w:t xml:space="preserve">MSAC considered there is no </w:t>
      </w:r>
      <w:r w:rsidR="001919F4" w:rsidRPr="001919F4">
        <w:rPr>
          <w:rFonts w:cs="Arial"/>
        </w:rPr>
        <w:t>consensus on</w:t>
      </w:r>
      <w:r w:rsidR="001919F4">
        <w:rPr>
          <w:rFonts w:cs="Arial"/>
        </w:rPr>
        <w:t xml:space="preserve"> </w:t>
      </w:r>
      <w:r w:rsidR="001919F4" w:rsidRPr="001919F4">
        <w:rPr>
          <w:rFonts w:cs="Arial"/>
        </w:rPr>
        <w:t xml:space="preserve">the most appropriate </w:t>
      </w:r>
      <w:r w:rsidR="001919F4">
        <w:rPr>
          <w:rFonts w:cs="Arial"/>
        </w:rPr>
        <w:t xml:space="preserve">screening </w:t>
      </w:r>
      <w:r w:rsidR="001919F4" w:rsidRPr="001919F4">
        <w:rPr>
          <w:rFonts w:cs="Arial"/>
        </w:rPr>
        <w:t xml:space="preserve">test </w:t>
      </w:r>
      <w:r w:rsidR="001919F4">
        <w:rPr>
          <w:rFonts w:cs="Arial"/>
        </w:rPr>
        <w:t xml:space="preserve">protocol. </w:t>
      </w:r>
    </w:p>
    <w:p w14:paraId="213C7E1A" w14:textId="1666067F" w:rsidR="003F7DD4" w:rsidRDefault="00FC7A9C" w:rsidP="00FC7A9C">
      <w:r w:rsidRPr="0057632A">
        <w:t xml:space="preserve">MSAC </w:t>
      </w:r>
      <w:r>
        <w:t>estimated</w:t>
      </w:r>
      <w:r w:rsidRPr="0057632A">
        <w:t xml:space="preserve"> that </w:t>
      </w:r>
      <w:r w:rsidR="00FD2849">
        <w:t>approximately</w:t>
      </w:r>
      <w:r w:rsidR="00FE7D7E">
        <w:t xml:space="preserve"> 58</w:t>
      </w:r>
      <w:r w:rsidRPr="0057632A">
        <w:t xml:space="preserve"> </w:t>
      </w:r>
      <w:r w:rsidR="00FD2849">
        <w:t>newborns</w:t>
      </w:r>
      <w:r w:rsidRPr="0057632A">
        <w:t xml:space="preserve"> </w:t>
      </w:r>
      <w:r w:rsidR="00B1747E">
        <w:t xml:space="preserve">would </w:t>
      </w:r>
      <w:r w:rsidRPr="0057632A">
        <w:t xml:space="preserve">be recalled </w:t>
      </w:r>
      <w:r>
        <w:t xml:space="preserve">for further testing </w:t>
      </w:r>
      <w:r w:rsidR="003F7DD4" w:rsidRPr="00591082">
        <w:t xml:space="preserve">in </w:t>
      </w:r>
      <w:r w:rsidR="003F7DD4" w:rsidRPr="007476D0">
        <w:rPr>
          <w:color w:val="000000" w:themeColor="text1"/>
        </w:rPr>
        <w:t>2025</w:t>
      </w:r>
      <w:r w:rsidR="008A4CF6">
        <w:rPr>
          <w:color w:val="000000" w:themeColor="text1"/>
        </w:rPr>
        <w:t>—</w:t>
      </w:r>
      <w:r w:rsidR="003F7DD4" w:rsidRPr="007476D0">
        <w:rPr>
          <w:color w:val="000000" w:themeColor="text1"/>
        </w:rPr>
        <w:t>26</w:t>
      </w:r>
      <w:r w:rsidR="008A4CF6">
        <w:rPr>
          <w:color w:val="000000" w:themeColor="text1"/>
        </w:rPr>
        <w:t xml:space="preserve"> should NBS be commenced</w:t>
      </w:r>
      <w:r w:rsidR="003F7DD4">
        <w:t>. This was</w:t>
      </w:r>
      <w:r w:rsidR="00B1747E">
        <w:t xml:space="preserve"> based on a screen positive rate of 0.019%</w:t>
      </w:r>
      <w:r w:rsidR="00FD2849">
        <w:t xml:space="preserve"> from the NBS program in California</w:t>
      </w:r>
      <w:r w:rsidR="003F7DD4">
        <w:t xml:space="preserve"> where some newborns ha</w:t>
      </w:r>
      <w:r w:rsidR="002621C0">
        <w:t>d</w:t>
      </w:r>
      <w:r w:rsidR="003F7DD4">
        <w:t xml:space="preserve"> genetic testing before they are recalled </w:t>
      </w:r>
      <w:bookmarkStart w:id="4" w:name="_Ref201842369"/>
      <w:r w:rsidR="00FD2849">
        <w:rPr>
          <w:rStyle w:val="FootnoteReference"/>
        </w:rPr>
        <w:footnoteReference w:id="7"/>
      </w:r>
      <w:bookmarkEnd w:id="4"/>
      <w:r w:rsidR="00FD2849">
        <w:t xml:space="preserve">. MSAC noted there </w:t>
      </w:r>
      <w:r w:rsidR="0068193D">
        <w:t xml:space="preserve">were </w:t>
      </w:r>
      <w:r w:rsidR="00FD2849">
        <w:t xml:space="preserve">no </w:t>
      </w:r>
      <w:r w:rsidR="008A4CF6">
        <w:t xml:space="preserve">reliable </w:t>
      </w:r>
      <w:r w:rsidR="00FD2849">
        <w:t xml:space="preserve">data for second-tier screening </w:t>
      </w:r>
      <w:r w:rsidR="003F7DD4">
        <w:t xml:space="preserve">test </w:t>
      </w:r>
      <w:r w:rsidR="00FD2849">
        <w:t>proposed for Australia</w:t>
      </w:r>
      <w:r w:rsidR="00F13E50">
        <w:t xml:space="preserve"> </w:t>
      </w:r>
      <w:r w:rsidR="005E07DF">
        <w:t>as</w:t>
      </w:r>
      <w:r w:rsidR="00F13E50">
        <w:t xml:space="preserve"> at the time</w:t>
      </w:r>
      <w:r w:rsidR="005E07DF" w:rsidRPr="005E07DF">
        <w:t xml:space="preserve"> no established consensus </w:t>
      </w:r>
      <w:r w:rsidR="00F13E50">
        <w:t xml:space="preserve">existed </w:t>
      </w:r>
      <w:r w:rsidR="005E07DF" w:rsidRPr="005E07DF">
        <w:t xml:space="preserve">on which </w:t>
      </w:r>
      <w:r w:rsidR="00004CCB" w:rsidRPr="005022D9">
        <w:rPr>
          <w:i/>
          <w:iCs/>
        </w:rPr>
        <w:t>GAA</w:t>
      </w:r>
      <w:r w:rsidR="00004CCB">
        <w:t xml:space="preserve"> </w:t>
      </w:r>
      <w:r w:rsidR="005E07DF" w:rsidRPr="005E07DF">
        <w:t>variants should be included for the Australian population</w:t>
      </w:r>
      <w:r w:rsidR="00FD2849">
        <w:t xml:space="preserve">. MSAC considered the number of newborns recalled </w:t>
      </w:r>
      <w:r w:rsidR="003F7DD4">
        <w:t xml:space="preserve">in Australia </w:t>
      </w:r>
      <w:r w:rsidR="00FD2849">
        <w:t xml:space="preserve">could be substantially higher </w:t>
      </w:r>
      <w:r w:rsidR="003F7DD4">
        <w:t xml:space="preserve">because higher screen positive rates have been reported in other NBS programs in the </w:t>
      </w:r>
      <w:r w:rsidR="00FD2849">
        <w:t>United States (</w:t>
      </w:r>
      <w:r w:rsidR="00FD2849" w:rsidRPr="0057632A">
        <w:t>0.02</w:t>
      </w:r>
      <w:r w:rsidR="00FD2849">
        <w:t>2</w:t>
      </w:r>
      <w:r w:rsidR="00FD2849" w:rsidRPr="0057632A">
        <w:t>%</w:t>
      </w:r>
      <w:r w:rsidR="00FD2849">
        <w:t xml:space="preserve"> in </w:t>
      </w:r>
      <w:r w:rsidR="00FD2849" w:rsidRPr="0057632A">
        <w:t>Pennsylvania</w:t>
      </w:r>
      <w:bookmarkStart w:id="5" w:name="_Ref201842372"/>
      <w:r w:rsidR="00FD2849">
        <w:rPr>
          <w:rStyle w:val="FootnoteReference"/>
        </w:rPr>
        <w:footnoteReference w:id="8"/>
      </w:r>
      <w:bookmarkEnd w:id="5"/>
      <w:r w:rsidR="00FD2849">
        <w:t xml:space="preserve"> and </w:t>
      </w:r>
      <w:r w:rsidR="00FD2849" w:rsidRPr="0057632A">
        <w:t>0.0</w:t>
      </w:r>
      <w:r w:rsidR="00B1477A">
        <w:t>6</w:t>
      </w:r>
      <w:r w:rsidR="00FD2849" w:rsidRPr="0057632A">
        <w:t>%</w:t>
      </w:r>
      <w:r w:rsidR="00FD2849">
        <w:t xml:space="preserve"> </w:t>
      </w:r>
      <w:r w:rsidR="00FD2849" w:rsidRPr="0057632A">
        <w:t>Illinois</w:t>
      </w:r>
      <w:bookmarkStart w:id="6" w:name="_Ref201842374"/>
      <w:r w:rsidR="00FD2849">
        <w:rPr>
          <w:rStyle w:val="FootnoteReference"/>
        </w:rPr>
        <w:footnoteReference w:id="9"/>
      </w:r>
      <w:bookmarkEnd w:id="6"/>
      <w:r w:rsidR="00FD2849">
        <w:t>)</w:t>
      </w:r>
      <w:r w:rsidR="00FD2849" w:rsidRPr="0057632A">
        <w:t>.</w:t>
      </w:r>
      <w:r w:rsidR="003F7DD4">
        <w:t xml:space="preserve"> </w:t>
      </w:r>
      <w:r w:rsidR="0007255F">
        <w:t xml:space="preserve">MSAC considered that this was a relatively large number of newborns being recalled for </w:t>
      </w:r>
      <w:r w:rsidR="00972E71">
        <w:t>further</w:t>
      </w:r>
      <w:r w:rsidR="0007255F">
        <w:t xml:space="preserve"> testing</w:t>
      </w:r>
      <w:r w:rsidR="008A4CF6">
        <w:t xml:space="preserve"> and </w:t>
      </w:r>
      <w:r w:rsidR="45769918">
        <w:t>will result in</w:t>
      </w:r>
      <w:r w:rsidR="0007255F">
        <w:t xml:space="preserve"> only one newborn per year be</w:t>
      </w:r>
      <w:r w:rsidR="50A23832">
        <w:t>ing</w:t>
      </w:r>
      <w:r w:rsidR="0007255F">
        <w:t xml:space="preserve"> diagnosed with IOGSD II</w:t>
      </w:r>
      <w:r w:rsidR="003F7DD4">
        <w:t xml:space="preserve">. </w:t>
      </w:r>
    </w:p>
    <w:p w14:paraId="65FA8415" w14:textId="32D065AA" w:rsidR="00F82507" w:rsidRDefault="00BD2010" w:rsidP="00FC7A9C">
      <w:r>
        <w:t xml:space="preserve">Screen positive newborns would be </w:t>
      </w:r>
      <w:r w:rsidR="008E3FFF">
        <w:t>referred for</w:t>
      </w:r>
      <w:r>
        <w:t xml:space="preserve"> further testing at </w:t>
      </w:r>
      <w:r w:rsidR="00422BF8">
        <w:t xml:space="preserve">the </w:t>
      </w:r>
      <w:r w:rsidR="0007255F" w:rsidRPr="00C160B2">
        <w:t xml:space="preserve">specialised </w:t>
      </w:r>
      <w:r w:rsidR="00F82507">
        <w:t xml:space="preserve">paediatric </w:t>
      </w:r>
      <w:r w:rsidR="0007255F" w:rsidRPr="00C160B2">
        <w:t>metabolic clinics</w:t>
      </w:r>
      <w:r w:rsidR="00F82507">
        <w:t xml:space="preserve"> </w:t>
      </w:r>
      <w:r w:rsidR="0007255F" w:rsidRPr="00C160B2">
        <w:t>located in major capital cities</w:t>
      </w:r>
      <w:r w:rsidR="0007255F">
        <w:t xml:space="preserve">. </w:t>
      </w:r>
      <w:r w:rsidR="00F82507">
        <w:t xml:space="preserve">MSAC considered being recalled for further testing would cause undue stress and anxiety for </w:t>
      </w:r>
      <w:r w:rsidR="009B3891">
        <w:t>many</w:t>
      </w:r>
      <w:r>
        <w:t xml:space="preserve"> </w:t>
      </w:r>
      <w:r w:rsidR="00F82507">
        <w:t xml:space="preserve">families </w:t>
      </w:r>
      <w:r>
        <w:t xml:space="preserve">as most </w:t>
      </w:r>
      <w:r w:rsidR="009B3891">
        <w:t xml:space="preserve">newborns recalled </w:t>
      </w:r>
      <w:r>
        <w:t xml:space="preserve">will have </w:t>
      </w:r>
      <w:r w:rsidR="00422BF8">
        <w:t xml:space="preserve">a </w:t>
      </w:r>
      <w:r w:rsidR="00F82507">
        <w:t xml:space="preserve">false positive screening test result. </w:t>
      </w:r>
      <w:r w:rsidR="00836C44">
        <w:t xml:space="preserve">MSAC considered ensuring timely assessment of screen-positive newborns may be burdensome for </w:t>
      </w:r>
      <w:r w:rsidR="00836C44" w:rsidRPr="00836C44">
        <w:t>paediatric metabolic clinics</w:t>
      </w:r>
      <w:r w:rsidR="00836C44">
        <w:t xml:space="preserve"> as </w:t>
      </w:r>
      <w:r w:rsidR="009B3891">
        <w:t xml:space="preserve">they will need to examine many </w:t>
      </w:r>
      <w:r w:rsidR="00422BF8">
        <w:t>screen-</w:t>
      </w:r>
      <w:r w:rsidR="00836C44">
        <w:t>positive</w:t>
      </w:r>
      <w:r w:rsidR="009B3891">
        <w:t>, otherwise healthy</w:t>
      </w:r>
      <w:r w:rsidR="00836C44">
        <w:t xml:space="preserve"> newborns. </w:t>
      </w:r>
    </w:p>
    <w:p w14:paraId="4D9D1679" w14:textId="04FD5A11" w:rsidR="00A754FF" w:rsidRDefault="008763A5" w:rsidP="00E06C9E">
      <w:r>
        <w:t xml:space="preserve">MSAC noted that newborns recalled for further testing would have </w:t>
      </w:r>
      <w:r w:rsidR="00495F4F">
        <w:t xml:space="preserve">a range of tests including </w:t>
      </w:r>
      <w:r w:rsidR="00CC73E7">
        <w:t>molecular (genetic) testing</w:t>
      </w:r>
      <w:r w:rsidR="00495F4F">
        <w:t xml:space="preserve"> and</w:t>
      </w:r>
      <w:r w:rsidR="00CC73E7">
        <w:t xml:space="preserve"> </w:t>
      </w:r>
      <w:r w:rsidR="00495F4F">
        <w:t>tests for cardiac and muscle function</w:t>
      </w:r>
      <w:r w:rsidR="00B86686">
        <w:t>.</w:t>
      </w:r>
      <w:r w:rsidR="00CC73E7">
        <w:t xml:space="preserve"> MSAC </w:t>
      </w:r>
      <w:r w:rsidR="00A612F9">
        <w:t>considered</w:t>
      </w:r>
      <w:r w:rsidR="00CC73E7">
        <w:t xml:space="preserve"> that </w:t>
      </w:r>
      <w:r w:rsidR="007D4D80">
        <w:t xml:space="preserve">the results of </w:t>
      </w:r>
      <w:r w:rsidR="00CC73E7">
        <w:t>genetic testing</w:t>
      </w:r>
      <w:r w:rsidR="003B0077">
        <w:t xml:space="preserve"> </w:t>
      </w:r>
      <w:r w:rsidR="005319FA">
        <w:t>or</w:t>
      </w:r>
      <w:r w:rsidR="003B0077">
        <w:t xml:space="preserve"> </w:t>
      </w:r>
      <w:r w:rsidR="007D4D80">
        <w:t>normal GAA enzyme activity</w:t>
      </w:r>
      <w:r w:rsidR="005319FA">
        <w:t xml:space="preserve"> on repeat testing</w:t>
      </w:r>
      <w:r w:rsidR="007D4D80">
        <w:t xml:space="preserve"> would confirm that some newborns do not have GSD II (false positive). </w:t>
      </w:r>
      <w:r w:rsidR="00C740F9">
        <w:t xml:space="preserve">This could be due to having a </w:t>
      </w:r>
      <w:r w:rsidR="00A612F9">
        <w:t xml:space="preserve">low enzyme level for a variety of reasons. These include having a </w:t>
      </w:r>
      <w:proofErr w:type="spellStart"/>
      <w:r w:rsidR="00C740F9">
        <w:t>pseudodeficiency</w:t>
      </w:r>
      <w:proofErr w:type="spellEnd"/>
      <w:r w:rsidR="00C740F9">
        <w:t xml:space="preserve"> variant (a </w:t>
      </w:r>
      <w:r w:rsidR="00253152">
        <w:t xml:space="preserve">known </w:t>
      </w:r>
      <w:r w:rsidR="00C50F88">
        <w:t xml:space="preserve">genetic </w:t>
      </w:r>
      <w:r w:rsidR="00C740F9">
        <w:t xml:space="preserve">variant that does not cause </w:t>
      </w:r>
      <w:r w:rsidR="00C50F88">
        <w:t>disease</w:t>
      </w:r>
      <w:r w:rsidR="00C740F9">
        <w:t xml:space="preserve"> but causes low enzyme levels)</w:t>
      </w:r>
      <w:r w:rsidR="0008628F">
        <w:t xml:space="preserve"> or being an unaffected carrier (one pathogenic/likely pathogenic variant and one benign/likely benign</w:t>
      </w:r>
      <w:r w:rsidR="00C50F88">
        <w:t xml:space="preserve"> variant</w:t>
      </w:r>
      <w:r w:rsidR="0008628F">
        <w:t xml:space="preserve">). </w:t>
      </w:r>
      <w:r w:rsidR="00A754FF">
        <w:t xml:space="preserve">MSAC considered that newborns with evidence of cardiac involvement or hypotonia (low muscle tone) on clinical examination </w:t>
      </w:r>
      <w:r w:rsidR="00585B53">
        <w:t>(including subsequent examination</w:t>
      </w:r>
      <w:r w:rsidR="009B3891">
        <w:t>s</w:t>
      </w:r>
      <w:r w:rsidR="00585B53">
        <w:t xml:space="preserve">) </w:t>
      </w:r>
      <w:r w:rsidR="00A754FF">
        <w:t xml:space="preserve">would be diagnosed as having </w:t>
      </w:r>
      <w:r w:rsidR="00585B53">
        <w:t>IOGSD II.</w:t>
      </w:r>
      <w:r w:rsidR="0008628F">
        <w:t xml:space="preserve"> </w:t>
      </w:r>
    </w:p>
    <w:p w14:paraId="54AEBF42" w14:textId="264077DA" w:rsidR="00A754FF" w:rsidRDefault="00585B53" w:rsidP="00776AB3">
      <w:pPr>
        <w:rPr>
          <w:rFonts w:cs="Arial"/>
        </w:rPr>
      </w:pPr>
      <w:r>
        <w:t xml:space="preserve">MSAC considered that newborns with low enzyme levels and </w:t>
      </w:r>
      <w:r>
        <w:rPr>
          <w:i/>
          <w:iCs/>
        </w:rPr>
        <w:t xml:space="preserve">GAA </w:t>
      </w:r>
      <w:r>
        <w:t xml:space="preserve">variants that may cause GSD II (including </w:t>
      </w:r>
      <w:r w:rsidR="00C1263E">
        <w:t xml:space="preserve">one or more </w:t>
      </w:r>
      <w:r>
        <w:t xml:space="preserve">variants of unknown significance [VUS]), but do not have features of IOGSD II on examination may be diagnosed with LOGSD II. MSAC noted that there are over 900 known variants in the </w:t>
      </w:r>
      <w:r>
        <w:rPr>
          <w:i/>
          <w:iCs/>
        </w:rPr>
        <w:t xml:space="preserve">GAA </w:t>
      </w:r>
      <w:proofErr w:type="gramStart"/>
      <w:r>
        <w:t>gene</w:t>
      </w:r>
      <w:proofErr w:type="gramEnd"/>
      <w:r w:rsidRPr="00C50F88">
        <w:t xml:space="preserve"> </w:t>
      </w:r>
      <w:r>
        <w:t>and it is not always known which ones will cause disease</w:t>
      </w:r>
      <w:r w:rsidR="00422BF8">
        <w:t xml:space="preserve"> in an individual</w:t>
      </w:r>
      <w:r>
        <w:t xml:space="preserve">. </w:t>
      </w:r>
      <w:r w:rsidRPr="0057632A">
        <w:t>MSAC noted that in a 2021 study</w:t>
      </w:r>
      <w:r w:rsidR="00630861">
        <w:t>,</w:t>
      </w:r>
      <w:r>
        <w:t xml:space="preserve"> there were 648 </w:t>
      </w:r>
      <w:r w:rsidRPr="00C57D1E">
        <w:rPr>
          <w:i/>
          <w:iCs/>
        </w:rPr>
        <w:t>GAA</w:t>
      </w:r>
      <w:r>
        <w:t xml:space="preserve"> variants </w:t>
      </w:r>
      <w:r w:rsidR="00630861">
        <w:t xml:space="preserve">identified </w:t>
      </w:r>
      <w:r>
        <w:t xml:space="preserve">that may cause GSD II and only 336 of these could be associated with a clinical </w:t>
      </w:r>
      <w:r w:rsidR="00422BF8">
        <w:t>disease-</w:t>
      </w:r>
      <w:r w:rsidR="00F21EF8">
        <w:t xml:space="preserve">causing </w:t>
      </w:r>
      <w:r>
        <w:t>phenotype. The re</w:t>
      </w:r>
      <w:r w:rsidR="00EC65F0">
        <w:t>mainder</w:t>
      </w:r>
      <w:r>
        <w:t xml:space="preserve"> of the variants were classified as “</w:t>
      </w:r>
      <w:r w:rsidRPr="0057632A">
        <w:t>unknown</w:t>
      </w:r>
      <w:r>
        <w:t xml:space="preserve">” disease phenotype </w:t>
      </w:r>
      <w:r w:rsidRPr="0057632A">
        <w:rPr>
          <w:rStyle w:val="FootnoteReference"/>
        </w:rPr>
        <w:footnoteReference w:id="10"/>
      </w:r>
      <w:r>
        <w:t>.</w:t>
      </w:r>
      <w:r w:rsidRPr="00585B53">
        <w:t xml:space="preserve"> </w:t>
      </w:r>
      <w:r>
        <w:t xml:space="preserve">MSAC considered newborns </w:t>
      </w:r>
      <w:r w:rsidR="009B3891">
        <w:t xml:space="preserve">diagnosed with LOGSD II </w:t>
      </w:r>
      <w:r>
        <w:t xml:space="preserve">would have ongoing testing, similar to </w:t>
      </w:r>
      <w:r w:rsidR="009B3891">
        <w:t xml:space="preserve">some </w:t>
      </w:r>
      <w:r>
        <w:t>NBS programs in the United States</w:t>
      </w:r>
      <w:r w:rsidR="00573369" w:rsidRPr="0054114B">
        <w:rPr>
          <w:vertAlign w:val="superscript"/>
        </w:rPr>
        <w:t xml:space="preserve"> </w:t>
      </w:r>
      <w:r w:rsidR="00573369" w:rsidRPr="0054114B">
        <w:rPr>
          <w:vertAlign w:val="superscript"/>
        </w:rPr>
        <w:fldChar w:fldCharType="begin"/>
      </w:r>
      <w:r w:rsidR="00573369" w:rsidRPr="0054114B">
        <w:rPr>
          <w:vertAlign w:val="superscript"/>
        </w:rPr>
        <w:instrText xml:space="preserve"> NOTEREF _Ref201842369 </w:instrText>
      </w:r>
      <w:r w:rsidR="00573369">
        <w:rPr>
          <w:vertAlign w:val="superscript"/>
        </w:rPr>
        <w:instrText xml:space="preserve"> \* MERGEFORMAT </w:instrText>
      </w:r>
      <w:r w:rsidR="00573369" w:rsidRPr="0054114B">
        <w:rPr>
          <w:vertAlign w:val="superscript"/>
        </w:rPr>
        <w:fldChar w:fldCharType="separate"/>
      </w:r>
      <w:r w:rsidR="00573369" w:rsidRPr="0054114B">
        <w:rPr>
          <w:vertAlign w:val="superscript"/>
        </w:rPr>
        <w:t>5</w:t>
      </w:r>
      <w:r w:rsidR="00573369" w:rsidRPr="0054114B">
        <w:rPr>
          <w:vertAlign w:val="superscript"/>
        </w:rPr>
        <w:fldChar w:fldCharType="end"/>
      </w:r>
      <w:r w:rsidR="00573369">
        <w:rPr>
          <w:vertAlign w:val="superscript"/>
        </w:rPr>
        <w:t>,</w:t>
      </w:r>
      <w:r w:rsidR="00573369" w:rsidRPr="0054114B">
        <w:rPr>
          <w:vertAlign w:val="superscript"/>
        </w:rPr>
        <w:fldChar w:fldCharType="begin"/>
      </w:r>
      <w:r w:rsidR="00573369" w:rsidRPr="0054114B">
        <w:rPr>
          <w:vertAlign w:val="superscript"/>
        </w:rPr>
        <w:instrText xml:space="preserve"> NOTEREF _Ref201842372 </w:instrText>
      </w:r>
      <w:r w:rsidR="00573369">
        <w:rPr>
          <w:vertAlign w:val="superscript"/>
        </w:rPr>
        <w:instrText xml:space="preserve"> \* MERGEFORMAT </w:instrText>
      </w:r>
      <w:r w:rsidR="00573369" w:rsidRPr="0054114B">
        <w:rPr>
          <w:vertAlign w:val="superscript"/>
        </w:rPr>
        <w:fldChar w:fldCharType="separate"/>
      </w:r>
      <w:r w:rsidR="00573369" w:rsidRPr="0054114B">
        <w:rPr>
          <w:vertAlign w:val="superscript"/>
        </w:rPr>
        <w:t>6</w:t>
      </w:r>
      <w:r w:rsidR="00573369" w:rsidRPr="0054114B">
        <w:rPr>
          <w:vertAlign w:val="superscript"/>
        </w:rPr>
        <w:fldChar w:fldCharType="end"/>
      </w:r>
      <w:r w:rsidR="00573369">
        <w:rPr>
          <w:vertAlign w:val="superscript"/>
        </w:rPr>
        <w:t>,</w:t>
      </w:r>
      <w:r w:rsidR="00573369" w:rsidRPr="0054114B">
        <w:rPr>
          <w:vertAlign w:val="superscript"/>
        </w:rPr>
        <w:fldChar w:fldCharType="begin"/>
      </w:r>
      <w:r w:rsidR="00573369" w:rsidRPr="0054114B">
        <w:rPr>
          <w:vertAlign w:val="superscript"/>
        </w:rPr>
        <w:instrText xml:space="preserve"> NOTEREF _Ref201842374 </w:instrText>
      </w:r>
      <w:r w:rsidR="00573369">
        <w:rPr>
          <w:vertAlign w:val="superscript"/>
        </w:rPr>
        <w:instrText xml:space="preserve"> \* MERGEFORMAT </w:instrText>
      </w:r>
      <w:r w:rsidR="00573369" w:rsidRPr="0054114B">
        <w:rPr>
          <w:vertAlign w:val="superscript"/>
        </w:rPr>
        <w:fldChar w:fldCharType="separate"/>
      </w:r>
      <w:r w:rsidR="00573369" w:rsidRPr="0054114B">
        <w:rPr>
          <w:vertAlign w:val="superscript"/>
        </w:rPr>
        <w:t>7</w:t>
      </w:r>
      <w:r w:rsidR="00573369" w:rsidRPr="0054114B">
        <w:rPr>
          <w:vertAlign w:val="superscript"/>
        </w:rPr>
        <w:fldChar w:fldCharType="end"/>
      </w:r>
      <w:r>
        <w:t xml:space="preserve">. </w:t>
      </w:r>
      <w:r w:rsidR="00A754FF" w:rsidRPr="0057632A">
        <w:t xml:space="preserve">MSAC </w:t>
      </w:r>
      <w:r>
        <w:t xml:space="preserve">considered </w:t>
      </w:r>
      <w:r w:rsidR="00A754FF" w:rsidRPr="0057632A">
        <w:t xml:space="preserve">that </w:t>
      </w:r>
      <w:r w:rsidR="009B3891">
        <w:t xml:space="preserve">families of </w:t>
      </w:r>
      <w:r w:rsidR="00A754FF" w:rsidRPr="0057632A">
        <w:t xml:space="preserve">most </w:t>
      </w:r>
      <w:r w:rsidR="00A754FF">
        <w:t>newborns</w:t>
      </w:r>
      <w:r w:rsidR="00A754FF" w:rsidRPr="0057632A">
        <w:t xml:space="preserve"> </w:t>
      </w:r>
      <w:r>
        <w:t xml:space="preserve">diagnosed with LOGSD II </w:t>
      </w:r>
      <w:r w:rsidR="00A754FF" w:rsidRPr="0057632A">
        <w:t xml:space="preserve">will </w:t>
      </w:r>
      <w:r w:rsidR="00422BF8">
        <w:t xml:space="preserve">expect to </w:t>
      </w:r>
      <w:r w:rsidR="00A754FF" w:rsidRPr="0057632A">
        <w:t>be given</w:t>
      </w:r>
      <w:r w:rsidR="00EC65F0">
        <w:t xml:space="preserve"> information on</w:t>
      </w:r>
      <w:r w:rsidR="00A754FF" w:rsidRPr="0057632A">
        <w:t xml:space="preserve"> </w:t>
      </w:r>
      <w:r w:rsidR="00EC65F0">
        <w:t>their child’s</w:t>
      </w:r>
      <w:r w:rsidR="00A754FF" w:rsidRPr="0057632A">
        <w:t xml:space="preserve"> phenotype</w:t>
      </w:r>
      <w:r w:rsidR="00A754FF">
        <w:t xml:space="preserve">, </w:t>
      </w:r>
      <w:r w:rsidR="00EC65F0">
        <w:t xml:space="preserve">including a </w:t>
      </w:r>
      <w:r w:rsidR="00A754FF" w:rsidRPr="0057632A">
        <w:t xml:space="preserve">clear age of onset </w:t>
      </w:r>
      <w:r w:rsidR="00EC65F0">
        <w:t>and</w:t>
      </w:r>
      <w:r w:rsidR="00EC65F0" w:rsidRPr="0057632A">
        <w:t xml:space="preserve"> </w:t>
      </w:r>
      <w:r w:rsidR="00A754FF" w:rsidRPr="0057632A">
        <w:t>predicted level of impact</w:t>
      </w:r>
      <w:r w:rsidR="00A754FF" w:rsidRPr="0057632A">
        <w:rPr>
          <w:rFonts w:cs="Arial"/>
        </w:rPr>
        <w:t xml:space="preserve">. </w:t>
      </w:r>
      <w:r w:rsidR="00A754FF">
        <w:rPr>
          <w:rFonts w:cs="Arial"/>
        </w:rPr>
        <w:t xml:space="preserve">Some newborns diagnosed with </w:t>
      </w:r>
      <w:r w:rsidR="00A754FF" w:rsidRPr="007731FF">
        <w:rPr>
          <w:rFonts w:cs="Arial"/>
        </w:rPr>
        <w:t>LOGSD II</w:t>
      </w:r>
      <w:r w:rsidR="00A754FF">
        <w:rPr>
          <w:rFonts w:cs="Arial"/>
        </w:rPr>
        <w:t xml:space="preserve"> </w:t>
      </w:r>
      <w:r w:rsidR="008E3FFF">
        <w:rPr>
          <w:rFonts w:cs="Arial"/>
        </w:rPr>
        <w:t>may never</w:t>
      </w:r>
      <w:r w:rsidR="00422BF8">
        <w:rPr>
          <w:rFonts w:cs="Arial"/>
        </w:rPr>
        <w:t xml:space="preserve"> </w:t>
      </w:r>
      <w:r>
        <w:rPr>
          <w:rFonts w:cs="Arial"/>
        </w:rPr>
        <w:t>develop significant symptoms</w:t>
      </w:r>
      <w:r w:rsidR="00EC65F0">
        <w:rPr>
          <w:rFonts w:cs="Arial"/>
        </w:rPr>
        <w:t>, either</w:t>
      </w:r>
      <w:r w:rsidR="00A754FF">
        <w:rPr>
          <w:rFonts w:cs="Arial"/>
        </w:rPr>
        <w:t xml:space="preserve"> because some newborns with pathogenic variants will not develop symptoms or because they have a VUS that d</w:t>
      </w:r>
      <w:r w:rsidR="00EC65F0">
        <w:rPr>
          <w:rFonts w:cs="Arial"/>
        </w:rPr>
        <w:t>oes</w:t>
      </w:r>
      <w:r w:rsidR="00A754FF">
        <w:rPr>
          <w:rFonts w:cs="Arial"/>
        </w:rPr>
        <w:t xml:space="preserve"> not cause disease. </w:t>
      </w:r>
    </w:p>
    <w:p w14:paraId="1FA439D6" w14:textId="6313F05B" w:rsidR="00776AB3" w:rsidRPr="00585B53" w:rsidRDefault="00776AB3" w:rsidP="00776AB3">
      <w:pPr>
        <w:rPr>
          <w:rFonts w:cs="Arial"/>
        </w:rPr>
      </w:pPr>
      <w:r>
        <w:t>MSAC noted advice from the clinical co-applicants that</w:t>
      </w:r>
      <w:r w:rsidR="00C1263E">
        <w:t xml:space="preserve"> suggested</w:t>
      </w:r>
      <w:r>
        <w:t xml:space="preserve"> </w:t>
      </w:r>
      <w:r w:rsidR="00011CC9">
        <w:t xml:space="preserve">it is possible that </w:t>
      </w:r>
      <w:r>
        <w:t xml:space="preserve">newborns with VUSs could be excluded from reporting and diagnosis as there is potential harm to newborns from a diagnosis of GSD II and monitoring who would have otherwise </w:t>
      </w:r>
      <w:r w:rsidRPr="00B75C00">
        <w:t>remain</w:t>
      </w:r>
      <w:r>
        <w:t>ed</w:t>
      </w:r>
      <w:r w:rsidRPr="00B75C00">
        <w:t xml:space="preserve"> asymptomatic.</w:t>
      </w:r>
      <w:r w:rsidR="00011CC9" w:rsidRPr="00011CC9">
        <w:t xml:space="preserve"> However, </w:t>
      </w:r>
      <w:r w:rsidR="00011CC9">
        <w:t xml:space="preserve">MSAC also noted that </w:t>
      </w:r>
      <w:r w:rsidR="00673D98">
        <w:t>the clinical experts</w:t>
      </w:r>
      <w:r w:rsidR="00673D98" w:rsidRPr="00011CC9">
        <w:t xml:space="preserve"> </w:t>
      </w:r>
      <w:r w:rsidR="00673D98">
        <w:t xml:space="preserve">did not support this approach </w:t>
      </w:r>
      <w:r w:rsidR="004C5767">
        <w:t>unanimously</w:t>
      </w:r>
      <w:r w:rsidR="00011CC9">
        <w:t>.</w:t>
      </w:r>
      <w:r>
        <w:t xml:space="preserve"> MSAC considered this would miss some diagnoses of GSD II and missed diagnoses would occur more </w:t>
      </w:r>
      <w:r w:rsidR="00EC65F0">
        <w:t xml:space="preserve">frequently </w:t>
      </w:r>
      <w:r>
        <w:t xml:space="preserve">for newborns with non-European ancestry as most genetic data </w:t>
      </w:r>
      <w:r w:rsidR="008A4CF6">
        <w:t>are</w:t>
      </w:r>
      <w:r>
        <w:t xml:space="preserve"> from people with European ancestry.</w:t>
      </w:r>
      <w:r w:rsidR="00585B53">
        <w:t xml:space="preserve"> Similarly, MSAC considered newborns diagnosed with LOGSD II with non-European ancestry, including First Nations </w:t>
      </w:r>
      <w:r w:rsidR="00585B53" w:rsidRPr="00A715C5">
        <w:t>Australians</w:t>
      </w:r>
      <w:r w:rsidR="00585B53">
        <w:t xml:space="preserve">, would be more </w:t>
      </w:r>
      <w:r w:rsidR="00585B53" w:rsidRPr="00A715C5">
        <w:t xml:space="preserve">likely to </w:t>
      </w:r>
      <w:r w:rsidR="00585B53">
        <w:t xml:space="preserve">have an uncertain prognosis. MSAC noted </w:t>
      </w:r>
      <w:r w:rsidR="087BE30D">
        <w:t>a previous case</w:t>
      </w:r>
      <w:r w:rsidR="00585B53">
        <w:t xml:space="preserve"> i</w:t>
      </w:r>
      <w:r w:rsidR="00585B53" w:rsidRPr="0057632A">
        <w:t xml:space="preserve">n Australia, </w:t>
      </w:r>
      <w:r w:rsidR="00EC65F0">
        <w:t xml:space="preserve">where </w:t>
      </w:r>
      <w:r w:rsidR="00585B53" w:rsidRPr="00EC65F0">
        <w:t xml:space="preserve">a </w:t>
      </w:r>
      <w:r w:rsidR="005A60DA" w:rsidRPr="00175863">
        <w:rPr>
          <w:color w:val="000000"/>
          <w:lang w:val="en-GB"/>
        </w:rPr>
        <w:t>child from a population group not well represented in variant databases</w:t>
      </w:r>
      <w:r w:rsidR="005A60DA" w:rsidRPr="0057632A" w:rsidDel="005A60DA">
        <w:t xml:space="preserve"> </w:t>
      </w:r>
      <w:r w:rsidR="00EC65F0">
        <w:t xml:space="preserve">was </w:t>
      </w:r>
      <w:r w:rsidR="00585B53">
        <w:t>initially identified with</w:t>
      </w:r>
      <w:r w:rsidR="00585B53" w:rsidRPr="0057632A">
        <w:t xml:space="preserve"> a </w:t>
      </w:r>
      <w:r w:rsidR="00585B53">
        <w:t>VUS</w:t>
      </w:r>
      <w:r w:rsidR="00585B53" w:rsidRPr="00C31010">
        <w:t xml:space="preserve"> </w:t>
      </w:r>
      <w:r w:rsidR="00EC65F0">
        <w:t>and</w:t>
      </w:r>
      <w:r w:rsidR="00EC65F0" w:rsidRPr="0057632A">
        <w:t xml:space="preserve"> </w:t>
      </w:r>
      <w:r w:rsidR="00585B53" w:rsidRPr="0057632A">
        <w:t>later diagnosed with IOGSD</w:t>
      </w:r>
      <w:r w:rsidR="00585B53" w:rsidRPr="0057632A">
        <w:rPr>
          <w:rFonts w:cs="Arial"/>
        </w:rPr>
        <w:t> </w:t>
      </w:r>
      <w:r w:rsidR="00585B53" w:rsidRPr="0057632A">
        <w:t>II</w:t>
      </w:r>
      <w:r w:rsidR="00590599">
        <w:t>. MSAC considered this</w:t>
      </w:r>
      <w:r w:rsidR="00585B53" w:rsidRPr="0057632A">
        <w:t xml:space="preserve"> </w:t>
      </w:r>
      <w:r w:rsidR="005A60DA">
        <w:t>exemplified</w:t>
      </w:r>
      <w:r w:rsidR="005A60DA" w:rsidRPr="0057632A">
        <w:t xml:space="preserve"> </w:t>
      </w:r>
      <w:r w:rsidR="00585B53">
        <w:t xml:space="preserve">the limitations of </w:t>
      </w:r>
      <w:r w:rsidR="00585B53" w:rsidRPr="0057632A">
        <w:t>the current</w:t>
      </w:r>
      <w:r w:rsidR="001C4053">
        <w:t xml:space="preserve"> </w:t>
      </w:r>
      <w:r w:rsidR="00585B53" w:rsidRPr="00765DFA">
        <w:rPr>
          <w:i/>
          <w:iCs/>
        </w:rPr>
        <w:t>GAA</w:t>
      </w:r>
      <w:r w:rsidR="00585B53" w:rsidRPr="0057632A">
        <w:t xml:space="preserve"> variant database </w:t>
      </w:r>
      <w:r w:rsidR="00585B53">
        <w:t xml:space="preserve">and </w:t>
      </w:r>
      <w:r w:rsidR="005A60DA">
        <w:t>the</w:t>
      </w:r>
      <w:r w:rsidR="00590599">
        <w:t xml:space="preserve"> incomplete understanding of the </w:t>
      </w:r>
      <w:r w:rsidR="00585B53">
        <w:t>genetic</w:t>
      </w:r>
      <w:r w:rsidR="00590599">
        <w:t xml:space="preserve"> variants that cause GSD II, especially in non-European populations</w:t>
      </w:r>
      <w:r w:rsidR="00585B53" w:rsidRPr="0057632A">
        <w:t xml:space="preserve">. </w:t>
      </w:r>
      <w:r w:rsidR="00585B53">
        <w:t xml:space="preserve"> MSAC advised there was a need to collect information and establish a variant database for </w:t>
      </w:r>
      <w:r w:rsidR="0041743F">
        <w:t>GSD II</w:t>
      </w:r>
      <w:r w:rsidR="00585B53">
        <w:t xml:space="preserve"> in Australia.</w:t>
      </w:r>
    </w:p>
    <w:p w14:paraId="105482D6" w14:textId="7EC2BCF7" w:rsidR="002538D6" w:rsidRDefault="005319FA" w:rsidP="00776AB3">
      <w:r>
        <w:t>MSAC noted that t</w:t>
      </w:r>
      <w:r w:rsidR="00776AB3">
        <w:t xml:space="preserve">he Australian population does not have </w:t>
      </w:r>
      <w:r w:rsidR="00776AB3" w:rsidRPr="0057632A">
        <w:t xml:space="preserve">common </w:t>
      </w:r>
      <w:r w:rsidR="002538D6">
        <w:t>pathogenic founder</w:t>
      </w:r>
      <w:r w:rsidR="00776AB3" w:rsidRPr="0057632A">
        <w:t xml:space="preserve"> </w:t>
      </w:r>
      <w:r w:rsidR="002538D6" w:rsidRPr="0057632A">
        <w:t>variant</w:t>
      </w:r>
      <w:r w:rsidR="002538D6">
        <w:t>s in the</w:t>
      </w:r>
      <w:r w:rsidR="002538D6" w:rsidRPr="00765DFA">
        <w:rPr>
          <w:i/>
          <w:iCs/>
        </w:rPr>
        <w:t xml:space="preserve"> </w:t>
      </w:r>
      <w:r w:rsidR="00776AB3" w:rsidRPr="00765DFA">
        <w:rPr>
          <w:i/>
          <w:iCs/>
        </w:rPr>
        <w:t>GAA</w:t>
      </w:r>
      <w:r w:rsidR="002538D6">
        <w:rPr>
          <w:i/>
          <w:iCs/>
        </w:rPr>
        <w:t xml:space="preserve"> </w:t>
      </w:r>
      <w:r w:rsidR="002538D6">
        <w:t>gene</w:t>
      </w:r>
      <w:r w:rsidR="00776AB3" w:rsidRPr="0057632A">
        <w:t>,</w:t>
      </w:r>
      <w:r w:rsidR="00A258E1">
        <w:t xml:space="preserve"> unlike </w:t>
      </w:r>
      <w:r w:rsidR="00051624">
        <w:t xml:space="preserve">in </w:t>
      </w:r>
      <w:r w:rsidR="00A258E1">
        <w:t>countries such as Taiwan. MSAC considered this makes</w:t>
      </w:r>
      <w:r w:rsidR="00776AB3" w:rsidRPr="0057632A">
        <w:t xml:space="preserve"> it more difficult to accurately </w:t>
      </w:r>
      <w:r w:rsidR="00A258E1">
        <w:t xml:space="preserve">screen and </w:t>
      </w:r>
      <w:r w:rsidR="00776AB3" w:rsidRPr="0057632A">
        <w:t>diagnose the condition</w:t>
      </w:r>
      <w:r w:rsidR="00590599">
        <w:t xml:space="preserve"> in Australia</w:t>
      </w:r>
      <w:r w:rsidR="00776AB3" w:rsidRPr="0057632A">
        <w:t>.</w:t>
      </w:r>
      <w:r w:rsidR="00776AB3">
        <w:t xml:space="preserve"> MSAC considered that if genetic testing reveals that the recalled newborn and one of their parents have the same </w:t>
      </w:r>
      <w:r w:rsidR="005A60DA">
        <w:t xml:space="preserve">two </w:t>
      </w:r>
      <w:r w:rsidR="005A60DA">
        <w:rPr>
          <w:i/>
          <w:iCs/>
        </w:rPr>
        <w:t xml:space="preserve">GAA </w:t>
      </w:r>
      <w:r w:rsidR="005A60DA" w:rsidRPr="00C22056">
        <w:t>gene</w:t>
      </w:r>
      <w:r w:rsidR="005A60DA">
        <w:t xml:space="preserve"> </w:t>
      </w:r>
      <w:r w:rsidR="00776AB3">
        <w:t xml:space="preserve">variants, this could help clarify a potential diagnosis. </w:t>
      </w:r>
    </w:p>
    <w:p w14:paraId="71D5F85D" w14:textId="78D2FF14" w:rsidR="00A47309" w:rsidRDefault="002538D6" w:rsidP="00776AB3">
      <w:r>
        <w:t xml:space="preserve">Overall, MSAC considered that genetic </w:t>
      </w:r>
      <w:r w:rsidR="00A47309">
        <w:t>testing</w:t>
      </w:r>
      <w:r>
        <w:t xml:space="preserve"> would not conclusively confirm or rule-out GSD II for a significant proportion of screen positive newborns</w:t>
      </w:r>
      <w:r w:rsidR="005A60DA">
        <w:t>,</w:t>
      </w:r>
      <w:r>
        <w:t xml:space="preserve"> because there are </w:t>
      </w:r>
      <w:r w:rsidR="00A47309">
        <w:t>many</w:t>
      </w:r>
      <w:r>
        <w:t xml:space="preserve"> VUS </w:t>
      </w:r>
      <w:r w:rsidR="00A47309">
        <w:t xml:space="preserve">in the </w:t>
      </w:r>
      <w:r w:rsidR="00A47309">
        <w:rPr>
          <w:i/>
          <w:iCs/>
        </w:rPr>
        <w:t xml:space="preserve">GAA </w:t>
      </w:r>
      <w:r w:rsidR="00A47309">
        <w:t xml:space="preserve">gene. For newborns with </w:t>
      </w:r>
      <w:r w:rsidR="005A60DA">
        <w:t xml:space="preserve">one or </w:t>
      </w:r>
      <w:r w:rsidR="00EC65F0">
        <w:t>two</w:t>
      </w:r>
      <w:r w:rsidR="005A60DA">
        <w:t xml:space="preserve"> </w:t>
      </w:r>
      <w:r w:rsidR="00A47309">
        <w:t>pathogenic variant</w:t>
      </w:r>
      <w:r w:rsidR="005A60DA">
        <w:t>s</w:t>
      </w:r>
      <w:r w:rsidR="00A47309">
        <w:t>, genetic testing will not always identify whether they will develop IOGSD II, LOGSD II</w:t>
      </w:r>
      <w:r w:rsidR="00836C44">
        <w:t xml:space="preserve">, or an unknown </w:t>
      </w:r>
      <w:r w:rsidR="00425461">
        <w:t xml:space="preserve">phenotype of GSD II. </w:t>
      </w:r>
      <w:r w:rsidR="0000023B">
        <w:t xml:space="preserve">MSAC considered that other tests for GSD II such as urinary </w:t>
      </w:r>
      <w:r w:rsidR="0000023B" w:rsidRPr="0057632A">
        <w:t xml:space="preserve">glucose </w:t>
      </w:r>
      <w:proofErr w:type="spellStart"/>
      <w:r w:rsidR="0000023B" w:rsidRPr="0057632A">
        <w:t>tetrasaccharides</w:t>
      </w:r>
      <w:proofErr w:type="spellEnd"/>
      <w:r w:rsidR="0000023B" w:rsidRPr="0008628F">
        <w:t xml:space="preserve"> </w:t>
      </w:r>
      <w:r w:rsidR="0000023B" w:rsidRPr="0057632A">
        <w:t>are of limited use in screen</w:t>
      </w:r>
      <w:r w:rsidR="00E77CE9">
        <w:noBreakHyphen/>
      </w:r>
      <w:r w:rsidR="0000023B" w:rsidRPr="0057632A">
        <w:t>positive non-IOGSD II infants, as neonatal results are generally normal in LOGSD II</w:t>
      </w:r>
      <w:r w:rsidR="0000023B">
        <w:t>.</w:t>
      </w:r>
    </w:p>
    <w:p w14:paraId="60DC2354" w14:textId="654EA5EA" w:rsidR="007F1919" w:rsidRDefault="00871DFA" w:rsidP="007476D0">
      <w:pPr>
        <w:tabs>
          <w:tab w:val="left" w:pos="6096"/>
        </w:tabs>
      </w:pPr>
      <w:r>
        <w:t>MSAC estimated that</w:t>
      </w:r>
      <w:r w:rsidR="008A4CF6">
        <w:t xml:space="preserve">, if NBS for GSD II was introduced, </w:t>
      </w:r>
      <w:r>
        <w:t>approximately 58 screen positive newborns for 2025-2026</w:t>
      </w:r>
      <w:r w:rsidR="00222FA2">
        <w:t xml:space="preserve"> would be</w:t>
      </w:r>
      <w:r w:rsidR="008A4CF6">
        <w:t xml:space="preserve"> </w:t>
      </w:r>
      <w:r>
        <w:t>recall</w:t>
      </w:r>
      <w:r w:rsidR="00222FA2">
        <w:t>ed,</w:t>
      </w:r>
      <w:r>
        <w:t xml:space="preserve"> further testing would identify</w:t>
      </w:r>
      <w:r w:rsidR="005010B9">
        <w:t xml:space="preserve"> one</w:t>
      </w:r>
      <w:r w:rsidRPr="00CD0DB6">
        <w:t xml:space="preserve"> </w:t>
      </w:r>
      <w:r>
        <w:t>newborn with</w:t>
      </w:r>
      <w:r w:rsidRPr="00CD0DB6">
        <w:t xml:space="preserve"> </w:t>
      </w:r>
      <w:r>
        <w:t>IOGSD II</w:t>
      </w:r>
      <w:r w:rsidR="00561629">
        <w:t xml:space="preserve"> and</w:t>
      </w:r>
      <w:r>
        <w:t xml:space="preserve"> </w:t>
      </w:r>
      <w:r w:rsidR="00015B4E">
        <w:t xml:space="preserve">approximately </w:t>
      </w:r>
      <w:r w:rsidR="00E470EF">
        <w:t xml:space="preserve">10 </w:t>
      </w:r>
      <w:r>
        <w:t xml:space="preserve">newborns </w:t>
      </w:r>
      <w:r w:rsidR="005319FA">
        <w:t>with</w:t>
      </w:r>
      <w:r>
        <w:t xml:space="preserve"> LOGSD II (including those with VUS). </w:t>
      </w:r>
      <w:r w:rsidR="00E36B6A">
        <w:t xml:space="preserve">This </w:t>
      </w:r>
      <w:proofErr w:type="gramStart"/>
      <w:r w:rsidR="00E36B6A">
        <w:t>was based on the assumption</w:t>
      </w:r>
      <w:proofErr w:type="gramEnd"/>
      <w:r w:rsidR="00E36B6A">
        <w:t xml:space="preserve"> that the birth </w:t>
      </w:r>
      <w:r w:rsidR="00E36B6A">
        <w:rPr>
          <w:rFonts w:cs="Arial"/>
        </w:rPr>
        <w:t xml:space="preserve">prevalence of GSD II would increase due to NBS </w:t>
      </w:r>
      <w:r w:rsidR="00E36B6A">
        <w:t xml:space="preserve">from </w:t>
      </w:r>
      <w:r w:rsidR="00E36B6A" w:rsidRPr="00C31010">
        <w:t>1/46,000 newborns</w:t>
      </w:r>
      <w:r w:rsidR="00E36B6A">
        <w:t xml:space="preserve"> to </w:t>
      </w:r>
      <w:r w:rsidR="00E36B6A" w:rsidRPr="00C31010">
        <w:t>1/29,000 newborns</w:t>
      </w:r>
      <w:r w:rsidR="184A5F4B" w:rsidRPr="00C31010">
        <w:t>, estimated from</w:t>
      </w:r>
      <w:r w:rsidR="00E36B6A">
        <w:t xml:space="preserve"> the increase observed in California. However, MSAC noted that more recent data suggested a higher birth prevalence of 1/18,711</w:t>
      </w:r>
      <w:r w:rsidR="00E36B6A">
        <w:rPr>
          <w:rStyle w:val="FootnoteReference"/>
        </w:rPr>
        <w:footnoteReference w:id="11"/>
      </w:r>
      <w:r w:rsidR="008A4CF6">
        <w:t>, and so it is possible that more than 100 screen positive newborns would be identified</w:t>
      </w:r>
      <w:r w:rsidR="00BB7635">
        <w:t xml:space="preserve">. </w:t>
      </w:r>
      <w:r w:rsidR="00976FDB">
        <w:t xml:space="preserve">MSAC considered the increasing prevalence reflected an incomplete understanding of the natural history of GSD II. </w:t>
      </w:r>
      <w:r w:rsidR="00BB7635">
        <w:t>MSAC considered the increasing reported prevalence of GSD II</w:t>
      </w:r>
      <w:r w:rsidR="00976FDB">
        <w:t xml:space="preserve"> could reflect screening capturing people at risk of developing milder</w:t>
      </w:r>
      <w:r w:rsidR="00BB7635">
        <w:t xml:space="preserve"> </w:t>
      </w:r>
      <w:r w:rsidR="00C51698">
        <w:t xml:space="preserve">or asymptomatic </w:t>
      </w:r>
      <w:r w:rsidR="00BB7635">
        <w:t xml:space="preserve">forms </w:t>
      </w:r>
      <w:r w:rsidR="00222FA2">
        <w:t xml:space="preserve">of </w:t>
      </w:r>
      <w:r w:rsidR="00976FDB">
        <w:t xml:space="preserve">GSD II that may not otherwise </w:t>
      </w:r>
      <w:r w:rsidR="00590599">
        <w:t xml:space="preserve">be </w:t>
      </w:r>
      <w:r w:rsidR="00976FDB">
        <w:t>diagnosed</w:t>
      </w:r>
      <w:r w:rsidR="00C51698">
        <w:t xml:space="preserve">, </w:t>
      </w:r>
      <w:r w:rsidR="00976FDB">
        <w:t xml:space="preserve">or lower penetrance of </w:t>
      </w:r>
      <w:r w:rsidR="005319FA">
        <w:t>some variants</w:t>
      </w:r>
      <w:r w:rsidR="00BB7635">
        <w:t xml:space="preserve">. </w:t>
      </w:r>
      <w:r w:rsidR="005319FA">
        <w:t>MSAC also considered the increasing reported prevalence of GSD II means it may no longer be considered an ultra-rare disease with a prevalence less than 1:50,000.</w:t>
      </w:r>
      <w:r w:rsidR="00BB7635">
        <w:t xml:space="preserve"> </w:t>
      </w:r>
    </w:p>
    <w:p w14:paraId="08E4D42C" w14:textId="29936B95" w:rsidR="00871DFA" w:rsidRPr="00871DFA" w:rsidRDefault="001E1000" w:rsidP="0000023B">
      <w:r>
        <w:t xml:space="preserve">MSAC considered that NBS for GSD II would mostly lead to identifying </w:t>
      </w:r>
      <w:proofErr w:type="gramStart"/>
      <w:r>
        <w:t>a large number of</w:t>
      </w:r>
      <w:proofErr w:type="gramEnd"/>
      <w:r>
        <w:t xml:space="preserve"> newborns </w:t>
      </w:r>
      <w:r w:rsidR="6D830B0E">
        <w:t>at risk of</w:t>
      </w:r>
      <w:r w:rsidR="00590599">
        <w:t xml:space="preserve"> </w:t>
      </w:r>
      <w:r>
        <w:t>LOGSD II</w:t>
      </w:r>
      <w:r w:rsidR="00590599">
        <w:t xml:space="preserve"> who may develop symptoms later in life</w:t>
      </w:r>
      <w:r>
        <w:t xml:space="preserve">. </w:t>
      </w:r>
      <w:r w:rsidR="0046157A">
        <w:t xml:space="preserve">MSAC considered newborns diagnosed </w:t>
      </w:r>
      <w:r w:rsidR="00590599">
        <w:t xml:space="preserve">with </w:t>
      </w:r>
      <w:r w:rsidR="0046157A">
        <w:t xml:space="preserve">LOGSD II may experience net harms </w:t>
      </w:r>
      <w:r w:rsidR="413B8E79">
        <w:t>from NBS for GSD II</w:t>
      </w:r>
      <w:r w:rsidR="0046157A">
        <w:t xml:space="preserve"> as they may experience psychological harms from being diagnosed with a potentially serious condition that does not have effective early intervention, over-medicalisation</w:t>
      </w:r>
      <w:r w:rsidR="00222FA2">
        <w:t>,</w:t>
      </w:r>
      <w:r w:rsidR="0046157A">
        <w:t xml:space="preserve"> and risks from medical procedures for ongoing monitoring. </w:t>
      </w:r>
    </w:p>
    <w:p w14:paraId="37558F08" w14:textId="6DAC7B90" w:rsidR="0000023B" w:rsidRDefault="00307DB4" w:rsidP="0046157A">
      <w:r w:rsidRPr="00307DB4">
        <w:rPr>
          <w:rFonts w:cs="Arial"/>
        </w:rPr>
        <w:t xml:space="preserve">MSAC considered </w:t>
      </w:r>
      <w:r>
        <w:rPr>
          <w:rFonts w:cs="Arial"/>
        </w:rPr>
        <w:t xml:space="preserve">the </w:t>
      </w:r>
      <w:r w:rsidRPr="00307DB4">
        <w:rPr>
          <w:rFonts w:cs="Arial"/>
        </w:rPr>
        <w:t xml:space="preserve">current </w:t>
      </w:r>
      <w:proofErr w:type="gramStart"/>
      <w:r w:rsidRPr="00307DB4">
        <w:rPr>
          <w:rFonts w:cs="Arial"/>
        </w:rPr>
        <w:t>screening</w:t>
      </w:r>
      <w:proofErr w:type="gramEnd"/>
      <w:r w:rsidRPr="00307DB4">
        <w:rPr>
          <w:rFonts w:cs="Arial"/>
        </w:rPr>
        <w:t xml:space="preserve"> and diagnostic test</w:t>
      </w:r>
      <w:r>
        <w:rPr>
          <w:rFonts w:cs="Arial"/>
        </w:rPr>
        <w:t>s</w:t>
      </w:r>
      <w:r w:rsidRPr="00307DB4">
        <w:rPr>
          <w:rFonts w:cs="Arial"/>
        </w:rPr>
        <w:t xml:space="preserve"> cannot accurately predict disease onset or prognosis for all cases of GSD II</w:t>
      </w:r>
      <w:r>
        <w:rPr>
          <w:rFonts w:cs="Arial"/>
        </w:rPr>
        <w:t xml:space="preserve">. </w:t>
      </w:r>
      <w:r w:rsidR="002F2CDD">
        <w:rPr>
          <w:rFonts w:cs="Arial"/>
        </w:rPr>
        <w:t xml:space="preserve">MSAC considered the </w:t>
      </w:r>
      <w:r w:rsidR="0011423B">
        <w:rPr>
          <w:rFonts w:cs="Arial"/>
        </w:rPr>
        <w:t xml:space="preserve">current </w:t>
      </w:r>
      <w:r w:rsidR="002F2CDD">
        <w:rPr>
          <w:rFonts w:cs="Arial"/>
        </w:rPr>
        <w:t xml:space="preserve">screening tests were not suitable because </w:t>
      </w:r>
      <w:r w:rsidR="00590599">
        <w:rPr>
          <w:rFonts w:cs="Arial"/>
        </w:rPr>
        <w:t xml:space="preserve">they </w:t>
      </w:r>
      <w:r w:rsidR="0011423B">
        <w:rPr>
          <w:rFonts w:cs="Arial"/>
        </w:rPr>
        <w:t xml:space="preserve">have a </w:t>
      </w:r>
      <w:r w:rsidR="005A60DA">
        <w:rPr>
          <w:rFonts w:cs="Arial"/>
        </w:rPr>
        <w:t>high false</w:t>
      </w:r>
      <w:r w:rsidR="0011423B">
        <w:rPr>
          <w:rFonts w:cs="Arial"/>
        </w:rPr>
        <w:t xml:space="preserve"> positive rate and </w:t>
      </w:r>
      <w:r w:rsidR="002F2CDD">
        <w:rPr>
          <w:rFonts w:cs="Arial"/>
        </w:rPr>
        <w:t xml:space="preserve">they cannot accurately discriminate between IOGSD II, LOGSD II and those who may not develop the condition. </w:t>
      </w:r>
    </w:p>
    <w:p w14:paraId="147D05F9" w14:textId="153FEA3C" w:rsidR="008B0902" w:rsidRDefault="00EF5695" w:rsidP="0057632A">
      <w:r>
        <w:t xml:space="preserve">In relation to </w:t>
      </w:r>
      <w:r w:rsidRPr="00EA7C9B">
        <w:rPr>
          <w:b/>
          <w:bCs/>
        </w:rPr>
        <w:t>availability of</w:t>
      </w:r>
      <w:r>
        <w:t xml:space="preserve"> </w:t>
      </w:r>
      <w:r w:rsidRPr="00EA7C9B">
        <w:rPr>
          <w:b/>
          <w:bCs/>
          <w:lang w:val="en-US"/>
        </w:rPr>
        <w:t>effective treatment (or treatments) in Australia for at-risk newborns</w:t>
      </w:r>
      <w:r>
        <w:rPr>
          <w:lang w:val="en-US"/>
        </w:rPr>
        <w:t xml:space="preserve">, </w:t>
      </w:r>
      <w:r w:rsidR="0057632A" w:rsidRPr="0057632A">
        <w:t xml:space="preserve">MSAC noted that the Australian Government funds enzyme replacement therapy (ERT), as </w:t>
      </w:r>
      <w:proofErr w:type="spellStart"/>
      <w:r w:rsidR="0057632A" w:rsidRPr="0057632A">
        <w:t>alglucosidase</w:t>
      </w:r>
      <w:proofErr w:type="spellEnd"/>
      <w:r w:rsidR="0057632A" w:rsidRPr="0057632A">
        <w:t xml:space="preserve"> alfa or </w:t>
      </w:r>
      <w:proofErr w:type="spellStart"/>
      <w:r w:rsidR="0057632A" w:rsidRPr="0057632A">
        <w:t>avalglucosidase</w:t>
      </w:r>
      <w:proofErr w:type="spellEnd"/>
      <w:r w:rsidR="0057632A" w:rsidRPr="0057632A">
        <w:t xml:space="preserve"> alfa, for management of IOGSD II and LOGSD II through the Life Saving Drugs Program (LSDP). </w:t>
      </w:r>
      <w:r w:rsidR="00446CE8">
        <w:t xml:space="preserve">MSAC noted that these ERTs are </w:t>
      </w:r>
      <w:r w:rsidR="005A60DA">
        <w:t xml:space="preserve">very </w:t>
      </w:r>
      <w:r w:rsidR="00446CE8">
        <w:t xml:space="preserve">high-cost treatments. </w:t>
      </w:r>
      <w:r w:rsidR="0057632A" w:rsidRPr="0057632A">
        <w:t>For IOGSD</w:t>
      </w:r>
      <w:r w:rsidR="0057632A" w:rsidRPr="0057632A">
        <w:rPr>
          <w:rFonts w:cs="Arial"/>
        </w:rPr>
        <w:t> </w:t>
      </w:r>
      <w:r w:rsidR="0057632A" w:rsidRPr="0057632A">
        <w:t xml:space="preserve">II, the LSDP eligibility criteria </w:t>
      </w:r>
      <w:r w:rsidR="005A60DA">
        <w:t>are</w:t>
      </w:r>
      <w:r w:rsidR="0057632A" w:rsidRPr="0057632A">
        <w:t xml:space="preserve"> based on a laboratory diagnosis in children under 2 years of age</w:t>
      </w:r>
      <w:r w:rsidR="005A60DA">
        <w:t>,</w:t>
      </w:r>
      <w:r w:rsidR="00590599">
        <w:t xml:space="preserve"> irrespective of symptoms</w:t>
      </w:r>
      <w:r w:rsidR="0057632A" w:rsidRPr="0057632A">
        <w:t xml:space="preserve">. For LOGSD II, the LSDP eligibility criteria permit </w:t>
      </w:r>
      <w:r w:rsidR="005A60DA">
        <w:t>treatment</w:t>
      </w:r>
      <w:r w:rsidR="005A60DA" w:rsidRPr="0057632A">
        <w:t xml:space="preserve"> </w:t>
      </w:r>
      <w:r w:rsidR="0057632A" w:rsidRPr="0057632A">
        <w:t xml:space="preserve">in presymptomatic children 2–18 years of age with a laboratory diagnosis. </w:t>
      </w:r>
      <w:r w:rsidR="0072071A">
        <w:t>Beyond 18 years of age,</w:t>
      </w:r>
      <w:r w:rsidR="00590599">
        <w:t xml:space="preserve"> patients must have symptoms and meet the</w:t>
      </w:r>
      <w:r w:rsidR="0072071A">
        <w:t xml:space="preserve"> specific disease severity criteria </w:t>
      </w:r>
      <w:r w:rsidR="00590599">
        <w:t>to be eligible for</w:t>
      </w:r>
      <w:r w:rsidR="0072071A">
        <w:t xml:space="preserve"> </w:t>
      </w:r>
      <w:r w:rsidR="00590599">
        <w:t>ERT on the LSDP</w:t>
      </w:r>
      <w:r w:rsidR="0072071A">
        <w:t xml:space="preserve">. </w:t>
      </w:r>
      <w:r w:rsidR="00163973">
        <w:t xml:space="preserve">MSAC considered </w:t>
      </w:r>
      <w:r w:rsidR="00590599">
        <w:t xml:space="preserve">the </w:t>
      </w:r>
      <w:r w:rsidR="00163973">
        <w:t>a</w:t>
      </w:r>
      <w:r w:rsidR="0057632A" w:rsidRPr="0057632A">
        <w:t xml:space="preserve">pplication of these criteria in the context of NBS for GSD II </w:t>
      </w:r>
      <w:r w:rsidR="00590599">
        <w:t xml:space="preserve">could lead to </w:t>
      </w:r>
      <w:r w:rsidR="0057632A" w:rsidRPr="0057632A">
        <w:t xml:space="preserve">overtreating </w:t>
      </w:r>
      <w:r w:rsidR="0072071A">
        <w:t xml:space="preserve">pre-symptomatic </w:t>
      </w:r>
      <w:r w:rsidR="0057632A" w:rsidRPr="0057632A">
        <w:t>children</w:t>
      </w:r>
      <w:r w:rsidR="00F23D09">
        <w:t xml:space="preserve"> </w:t>
      </w:r>
      <w:r w:rsidR="005319FA">
        <w:t>diagnosed with</w:t>
      </w:r>
      <w:r w:rsidR="00F23D09" w:rsidRPr="0057632A">
        <w:t xml:space="preserve"> LOGSD II</w:t>
      </w:r>
      <w:r w:rsidR="0057632A" w:rsidRPr="0057632A">
        <w:t xml:space="preserve"> </w:t>
      </w:r>
      <w:r w:rsidR="00F23D09">
        <w:t xml:space="preserve">who would </w:t>
      </w:r>
      <w:r w:rsidR="00F23D09" w:rsidRPr="00F23D09">
        <w:t>potentially receiv</w:t>
      </w:r>
      <w:r w:rsidR="00F23D09">
        <w:t>e</w:t>
      </w:r>
      <w:r w:rsidR="00F23D09" w:rsidRPr="00F23D09">
        <w:t xml:space="preserve"> </w:t>
      </w:r>
      <w:r w:rsidR="005A60DA">
        <w:t xml:space="preserve">intravenous </w:t>
      </w:r>
      <w:r w:rsidR="00F23D09" w:rsidRPr="00F23D09">
        <w:t xml:space="preserve">therapy for decades with no </w:t>
      </w:r>
      <w:r w:rsidR="008A4CF6">
        <w:t xml:space="preserve">clear benefit </w:t>
      </w:r>
      <w:r w:rsidR="00F23D09" w:rsidRPr="00F23D09">
        <w:t>on disease trajectory</w:t>
      </w:r>
      <w:r w:rsidR="005A60DA">
        <w:t>,</w:t>
      </w:r>
      <w:r w:rsidR="00F23D09" w:rsidRPr="00F23D09">
        <w:t xml:space="preserve"> </w:t>
      </w:r>
      <w:r w:rsidR="0011423B">
        <w:t xml:space="preserve">based on the current evidence. </w:t>
      </w:r>
    </w:p>
    <w:p w14:paraId="08F46B9B" w14:textId="18E140E8" w:rsidR="00D91AB9" w:rsidRDefault="00EF5695" w:rsidP="00D91AB9">
      <w:r>
        <w:t xml:space="preserve">With respect to </w:t>
      </w:r>
      <w:r w:rsidRPr="00EA7C9B">
        <w:rPr>
          <w:b/>
          <w:bCs/>
        </w:rPr>
        <w:t xml:space="preserve">effectiveness of treatment </w:t>
      </w:r>
      <w:r w:rsidRPr="00EA7C9B">
        <w:rPr>
          <w:b/>
          <w:bCs/>
          <w:lang w:val="en-US"/>
        </w:rPr>
        <w:t>from the proposed earlier age of initiation following NBS screening and diagnosis (pre-symptomatic and early symptomatic) compared to age of initiation under current management pathway (established symptomatic presentation),</w:t>
      </w:r>
      <w:r>
        <w:rPr>
          <w:lang w:val="en-US"/>
        </w:rPr>
        <w:t xml:space="preserve"> </w:t>
      </w:r>
      <w:r w:rsidR="0057632A" w:rsidRPr="0057632A">
        <w:t xml:space="preserve">MSAC </w:t>
      </w:r>
      <w:r w:rsidR="00F741F8">
        <w:t>considered</w:t>
      </w:r>
      <w:r w:rsidR="00F741F8" w:rsidRPr="0057632A">
        <w:t xml:space="preserve"> </w:t>
      </w:r>
      <w:r w:rsidR="0057632A" w:rsidRPr="0057632A">
        <w:t xml:space="preserve">that </w:t>
      </w:r>
      <w:r w:rsidR="00F741F8">
        <w:t xml:space="preserve">there was evidence that </w:t>
      </w:r>
      <w:r w:rsidR="0057632A" w:rsidRPr="0057632A">
        <w:t xml:space="preserve">early ERT for </w:t>
      </w:r>
      <w:r w:rsidR="0072071A" w:rsidRPr="0057632A">
        <w:t>patients</w:t>
      </w:r>
      <w:r w:rsidR="0072071A">
        <w:t xml:space="preserve"> with</w:t>
      </w:r>
      <w:r w:rsidR="0072071A" w:rsidRPr="0057632A">
        <w:t xml:space="preserve"> </w:t>
      </w:r>
      <w:r w:rsidR="0057632A" w:rsidRPr="0057632A">
        <w:t xml:space="preserve">IOGSD II improves </w:t>
      </w:r>
      <w:r w:rsidR="00F741F8">
        <w:t>health outcomes</w:t>
      </w:r>
      <w:r w:rsidR="30E4556A">
        <w:t>,</w:t>
      </w:r>
      <w:r w:rsidR="00450449">
        <w:t xml:space="preserve"> </w:t>
      </w:r>
      <w:r w:rsidR="00222FA2">
        <w:t xml:space="preserve">but that </w:t>
      </w:r>
      <w:r w:rsidR="00450449">
        <w:t xml:space="preserve">this </w:t>
      </w:r>
      <w:r w:rsidR="00222FA2">
        <w:t xml:space="preserve">evidence </w:t>
      </w:r>
      <w:r w:rsidR="00450449">
        <w:t>was of low quality</w:t>
      </w:r>
      <w:r w:rsidR="00F741F8">
        <w:t xml:space="preserve">. MSAC </w:t>
      </w:r>
      <w:r w:rsidR="00D91AB9">
        <w:t xml:space="preserve">considered the available evidence showed improvements in overall survival and ventilator-free survival (VFS). MSAC considered earlier diagnosis and earlier treatment </w:t>
      </w:r>
      <w:r w:rsidR="00222FA2">
        <w:t xml:space="preserve">with ERT </w:t>
      </w:r>
      <w:r w:rsidR="00D91AB9">
        <w:t xml:space="preserve">reduces </w:t>
      </w:r>
      <w:r w:rsidR="0057632A" w:rsidRPr="0057632A">
        <w:t xml:space="preserve">cardiomyopathy and </w:t>
      </w:r>
      <w:r w:rsidR="00450449">
        <w:t xml:space="preserve">improves </w:t>
      </w:r>
      <w:r w:rsidR="00D91AB9">
        <w:t>motor function (earlier independent walking)</w:t>
      </w:r>
      <w:r w:rsidR="00222FA2">
        <w:t xml:space="preserve"> in IOGSD II</w:t>
      </w:r>
      <w:r w:rsidR="00D91AB9">
        <w:t>. However</w:t>
      </w:r>
      <w:r w:rsidR="00D35AA0">
        <w:t>,</w:t>
      </w:r>
      <w:r w:rsidR="00D91AB9">
        <w:t xml:space="preserve"> MSAC noted </w:t>
      </w:r>
      <w:r w:rsidR="0057632A" w:rsidRPr="0057632A">
        <w:t>that ERT-treated</w:t>
      </w:r>
      <w:r w:rsidR="00C00A91">
        <w:t xml:space="preserve"> patients with</w:t>
      </w:r>
      <w:r w:rsidR="0057632A" w:rsidRPr="0057632A">
        <w:t xml:space="preserve"> IOGSD II may later develop weakness</w:t>
      </w:r>
      <w:r w:rsidR="00214118">
        <w:t xml:space="preserve">, </w:t>
      </w:r>
      <w:r w:rsidR="0057632A" w:rsidRPr="0057632A">
        <w:t>and bulbar dysfunction.</w:t>
      </w:r>
      <w:r w:rsidR="0057632A" w:rsidRPr="0057632A">
        <w:rPr>
          <w:rStyle w:val="FootnoteReference"/>
        </w:rPr>
        <w:footnoteReference w:id="12"/>
      </w:r>
      <w:r>
        <w:t xml:space="preserve"> </w:t>
      </w:r>
      <w:r w:rsidR="00D91AB9">
        <w:t>MSAC noted that the most recent evidence for the effectiveness of ERT on long-term motor function found that almost half of patients achieved the ability to walk independently (P</w:t>
      </w:r>
      <w:r w:rsidR="00D1644C">
        <w:t>f</w:t>
      </w:r>
      <w:r w:rsidR="00D91AB9">
        <w:t xml:space="preserve">rimmer et al 2024) and this was consistent with findings from other studies. However, MSAC noted that this study </w:t>
      </w:r>
      <w:r w:rsidR="005319FA">
        <w:t xml:space="preserve">also </w:t>
      </w:r>
      <w:r w:rsidR="00D91AB9">
        <w:t>reported that nearly 50% of children with IOGSD II lost a</w:t>
      </w:r>
      <w:r w:rsidR="00450449">
        <w:t>n achieved</w:t>
      </w:r>
      <w:r w:rsidR="00D91AB9">
        <w:t xml:space="preserve"> motor milestone</w:t>
      </w:r>
      <w:r w:rsidR="00450449">
        <w:t>.</w:t>
      </w:r>
    </w:p>
    <w:p w14:paraId="7CB6A528" w14:textId="421E0703" w:rsidR="0081472E" w:rsidRDefault="00D91AB9" w:rsidP="00C57D1E">
      <w:pPr>
        <w:pStyle w:val="BodyText"/>
      </w:pPr>
      <w:r>
        <w:t xml:space="preserve">MSAC noted that most of the studies </w:t>
      </w:r>
      <w:r w:rsidR="00450449">
        <w:t>comparing outcomes of NBS for IOGSD II w</w:t>
      </w:r>
      <w:r w:rsidR="00474BFD">
        <w:t>ere</w:t>
      </w:r>
      <w:r w:rsidR="00450449">
        <w:t xml:space="preserve"> based on a Taiwanese cohort diagnosed through newborn screening compared with a historical cohort. MSAC considered there were</w:t>
      </w:r>
      <w:r w:rsidR="00450449" w:rsidRPr="00D5299B">
        <w:t xml:space="preserve"> </w:t>
      </w:r>
      <w:r w:rsidR="00450449">
        <w:t>limitations</w:t>
      </w:r>
      <w:r w:rsidR="005319FA">
        <w:t xml:space="preserve"> in this evidence</w:t>
      </w:r>
      <w:r w:rsidR="00450449" w:rsidRPr="00D5299B">
        <w:t>, including differences in screening algorithms, small sample sizes, potential loss to follow-up, high risk of bias, and variability in ERT timing and dosage</w:t>
      </w:r>
      <w:r w:rsidR="00450449" w:rsidRPr="02E2EE7D">
        <w:t>.</w:t>
      </w:r>
      <w:r w:rsidR="00450449">
        <w:t xml:space="preserve"> </w:t>
      </w:r>
      <w:r w:rsidR="00450449" w:rsidRPr="00D5299B">
        <w:t xml:space="preserve">Additionally, historical cohorts generally commenced ERT later (around 6 months) than the Australian cohort (3 months), and </w:t>
      </w:r>
      <w:r w:rsidR="007A31E2">
        <w:t>there was</w:t>
      </w:r>
      <w:r w:rsidR="0062136F" w:rsidRPr="0062136F">
        <w:t xml:space="preserve"> limited information on the effectiveness of the supportive care provided that was </w:t>
      </w:r>
      <w:r w:rsidR="007A31E2" w:rsidRPr="007A31E2">
        <w:t>unrelated to ERT</w:t>
      </w:r>
      <w:r w:rsidR="00450449" w:rsidRPr="00D5299B">
        <w:t xml:space="preserve">. </w:t>
      </w:r>
      <w:r w:rsidR="00450449">
        <w:t>M</w:t>
      </w:r>
      <w:r w:rsidR="001966B8">
        <w:t xml:space="preserve">SAC agreed with ESC that </w:t>
      </w:r>
      <w:r w:rsidR="001966B8" w:rsidRPr="02E2EE7D">
        <w:t xml:space="preserve">Taiwan has </w:t>
      </w:r>
      <w:r w:rsidR="00D16BA1">
        <w:t>specific</w:t>
      </w:r>
      <w:r w:rsidR="00D16BA1" w:rsidRPr="02E2EE7D">
        <w:t xml:space="preserve"> </w:t>
      </w:r>
      <w:r w:rsidR="00D16BA1">
        <w:t xml:space="preserve">genetic </w:t>
      </w:r>
      <w:r w:rsidR="001966B8" w:rsidRPr="02E2EE7D">
        <w:t xml:space="preserve">variants </w:t>
      </w:r>
      <w:r w:rsidR="00D16BA1">
        <w:t xml:space="preserve">that cause GSD II </w:t>
      </w:r>
      <w:r w:rsidR="001966B8" w:rsidRPr="02E2EE7D">
        <w:t>and variant frequency, and</w:t>
      </w:r>
      <w:r w:rsidR="002A4F0A">
        <w:t xml:space="preserve"> the</w:t>
      </w:r>
      <w:r w:rsidR="001966B8" w:rsidRPr="02E2EE7D">
        <w:t xml:space="preserve"> </w:t>
      </w:r>
      <w:r w:rsidR="001966B8">
        <w:t>Taiwanese experience</w:t>
      </w:r>
      <w:r w:rsidR="001966B8" w:rsidRPr="02E2EE7D">
        <w:t xml:space="preserve"> </w:t>
      </w:r>
      <w:r w:rsidR="007C5EB3">
        <w:t>may not</w:t>
      </w:r>
      <w:r w:rsidR="001966B8" w:rsidRPr="02E2EE7D">
        <w:t xml:space="preserve"> be </w:t>
      </w:r>
      <w:r w:rsidR="00D16BA1">
        <w:t>fully</w:t>
      </w:r>
      <w:r w:rsidR="00D16BA1" w:rsidRPr="02E2EE7D">
        <w:t xml:space="preserve"> </w:t>
      </w:r>
      <w:r w:rsidR="007C5EB3">
        <w:t xml:space="preserve">applicable </w:t>
      </w:r>
      <w:r w:rsidR="001966B8" w:rsidRPr="02E2EE7D">
        <w:t>to the Australian context</w:t>
      </w:r>
      <w:r w:rsidR="001966B8">
        <w:t xml:space="preserve">. </w:t>
      </w:r>
      <w:r w:rsidR="00D16BA1">
        <w:t>Overall,</w:t>
      </w:r>
      <w:r w:rsidR="00D5299B">
        <w:t xml:space="preserve"> </w:t>
      </w:r>
      <w:r w:rsidR="009B3162" w:rsidRPr="0057632A">
        <w:t>MSAC</w:t>
      </w:r>
      <w:r w:rsidR="009B3162">
        <w:t xml:space="preserve"> </w:t>
      </w:r>
      <w:r w:rsidR="00D16BA1">
        <w:t>considered</w:t>
      </w:r>
      <w:r w:rsidR="00D16BA1" w:rsidRPr="0057632A">
        <w:t xml:space="preserve"> </w:t>
      </w:r>
      <w:r w:rsidR="009B3162" w:rsidRPr="0057632A">
        <w:t xml:space="preserve">the </w:t>
      </w:r>
      <w:r w:rsidR="00D16BA1">
        <w:t xml:space="preserve">available evidence demonstrated </w:t>
      </w:r>
      <w:r w:rsidR="009B3162" w:rsidRPr="0057632A">
        <w:t>some benefit</w:t>
      </w:r>
      <w:r w:rsidR="00D42D6D">
        <w:t>s</w:t>
      </w:r>
      <w:r w:rsidR="009B3162" w:rsidRPr="0057632A">
        <w:t xml:space="preserve"> with earlier treatment</w:t>
      </w:r>
      <w:r w:rsidR="00D16BA1">
        <w:t xml:space="preserve"> of IOGSD II</w:t>
      </w:r>
      <w:r w:rsidR="009B3162" w:rsidRPr="0057632A">
        <w:t xml:space="preserve"> in terms of survival and ventilation-free survival</w:t>
      </w:r>
      <w:r w:rsidR="00D16BA1">
        <w:t xml:space="preserve">, however the evidence was </w:t>
      </w:r>
      <w:r w:rsidR="00D16BA1" w:rsidRPr="0057632A">
        <w:t>low-</w:t>
      </w:r>
      <w:r w:rsidR="008A4CF6">
        <w:t>certainty</w:t>
      </w:r>
      <w:r w:rsidR="00D16BA1">
        <w:t>.</w:t>
      </w:r>
    </w:p>
    <w:p w14:paraId="3710DFD6" w14:textId="14FFCDF7" w:rsidR="009B3162" w:rsidRDefault="007D5373" w:rsidP="00006AA1">
      <w:r>
        <w:t xml:space="preserve">MSAC noted </w:t>
      </w:r>
      <w:r w:rsidR="0081472E">
        <w:t>the</w:t>
      </w:r>
      <w:r>
        <w:t xml:space="preserve"> </w:t>
      </w:r>
      <w:r w:rsidR="00D5299B" w:rsidRPr="007D5373">
        <w:rPr>
          <w:lang w:val="en-US"/>
        </w:rPr>
        <w:t>evidence</w:t>
      </w:r>
      <w:r w:rsidRPr="007D5373">
        <w:rPr>
          <w:lang w:val="en-US"/>
        </w:rPr>
        <w:t xml:space="preserve"> base </w:t>
      </w:r>
      <w:r w:rsidR="00D42D6D">
        <w:rPr>
          <w:lang w:val="en-US"/>
        </w:rPr>
        <w:t xml:space="preserve">for </w:t>
      </w:r>
      <w:r w:rsidR="00D42D6D">
        <w:t xml:space="preserve">LOGSD II </w:t>
      </w:r>
      <w:r w:rsidRPr="007D5373">
        <w:rPr>
          <w:lang w:val="en-US"/>
        </w:rPr>
        <w:t>consist</w:t>
      </w:r>
      <w:r>
        <w:rPr>
          <w:lang w:val="en-US"/>
        </w:rPr>
        <w:t>ed</w:t>
      </w:r>
      <w:r w:rsidRPr="007D5373">
        <w:rPr>
          <w:lang w:val="en-US"/>
        </w:rPr>
        <w:t xml:space="preserve"> of 5 studies </w:t>
      </w:r>
      <w:r w:rsidR="002A4F0A">
        <w:rPr>
          <w:lang w:val="en-US"/>
        </w:rPr>
        <w:t xml:space="preserve">which were </w:t>
      </w:r>
      <w:r w:rsidRPr="007D5373">
        <w:rPr>
          <w:lang w:val="en-US"/>
        </w:rPr>
        <w:t>case series</w:t>
      </w:r>
      <w:r w:rsidR="002A4F0A">
        <w:rPr>
          <w:lang w:val="en-US"/>
        </w:rPr>
        <w:t xml:space="preserve"> or </w:t>
      </w:r>
      <w:proofErr w:type="spellStart"/>
      <w:r w:rsidRPr="007D5373">
        <w:rPr>
          <w:lang w:val="en-US"/>
        </w:rPr>
        <w:t>non comparative</w:t>
      </w:r>
      <w:proofErr w:type="spellEnd"/>
      <w:r w:rsidRPr="007D5373">
        <w:rPr>
          <w:lang w:val="en-US"/>
        </w:rPr>
        <w:t xml:space="preserve"> studies</w:t>
      </w:r>
      <w:r>
        <w:rPr>
          <w:lang w:val="en-US"/>
        </w:rPr>
        <w:t>.</w:t>
      </w:r>
      <w:r w:rsidRPr="007D5373">
        <w:rPr>
          <w:lang w:val="en-US"/>
        </w:rPr>
        <w:t xml:space="preserve"> </w:t>
      </w:r>
      <w:r w:rsidR="00D16BA1">
        <w:rPr>
          <w:lang w:val="en-US"/>
        </w:rPr>
        <w:t>Of</w:t>
      </w:r>
      <w:r>
        <w:rPr>
          <w:lang w:val="en-US"/>
        </w:rPr>
        <w:t xml:space="preserve"> the LOGSD II cases identified</w:t>
      </w:r>
      <w:r w:rsidR="00D5299B">
        <w:rPr>
          <w:lang w:val="en-US"/>
        </w:rPr>
        <w:t xml:space="preserve"> in these studies</w:t>
      </w:r>
      <w:r>
        <w:rPr>
          <w:lang w:val="en-US"/>
        </w:rPr>
        <w:t xml:space="preserve">, MSAC noted </w:t>
      </w:r>
      <w:r w:rsidRPr="007D5373">
        <w:rPr>
          <w:lang w:val="en-US"/>
        </w:rPr>
        <w:t xml:space="preserve">only 14 of 84 (17%) patients </w:t>
      </w:r>
      <w:r w:rsidR="5DE20BB1" w:rsidRPr="704C33E5">
        <w:rPr>
          <w:lang w:val="en-US"/>
        </w:rPr>
        <w:t>underwent</w:t>
      </w:r>
      <w:r w:rsidRPr="007D5373">
        <w:rPr>
          <w:lang w:val="en-US"/>
        </w:rPr>
        <w:t xml:space="preserve"> ERT</w:t>
      </w:r>
      <w:r>
        <w:rPr>
          <w:lang w:val="en-US"/>
        </w:rPr>
        <w:t xml:space="preserve"> </w:t>
      </w:r>
      <w:r w:rsidR="00D5299B">
        <w:rPr>
          <w:lang w:val="en-US"/>
        </w:rPr>
        <w:t>with</w:t>
      </w:r>
      <w:r>
        <w:rPr>
          <w:lang w:val="en-US"/>
        </w:rPr>
        <w:t xml:space="preserve"> variable </w:t>
      </w:r>
      <w:r w:rsidR="343829C3" w:rsidRPr="704C33E5">
        <w:rPr>
          <w:lang w:val="en-US"/>
        </w:rPr>
        <w:t xml:space="preserve">commencement </w:t>
      </w:r>
      <w:r>
        <w:rPr>
          <w:lang w:val="en-US"/>
        </w:rPr>
        <w:t xml:space="preserve">timing and dosage.  </w:t>
      </w:r>
      <w:r w:rsidRPr="007D5373">
        <w:rPr>
          <w:lang w:val="en-US"/>
        </w:rPr>
        <w:t>In</w:t>
      </w:r>
      <w:r>
        <w:rPr>
          <w:lang w:val="en-US"/>
        </w:rPr>
        <w:t xml:space="preserve"> </w:t>
      </w:r>
      <w:r w:rsidRPr="007D5373">
        <w:rPr>
          <w:lang w:val="en-US"/>
        </w:rPr>
        <w:t>addition, most</w:t>
      </w:r>
      <w:r w:rsidRPr="704C33E5">
        <w:rPr>
          <w:lang w:val="en-US"/>
        </w:rPr>
        <w:t xml:space="preserve"> </w:t>
      </w:r>
      <w:r w:rsidR="4D723A4F" w:rsidRPr="704C33E5">
        <w:rPr>
          <w:lang w:val="en-US"/>
        </w:rPr>
        <w:t>of these</w:t>
      </w:r>
      <w:r w:rsidRPr="007D5373">
        <w:rPr>
          <w:lang w:val="en-US"/>
        </w:rPr>
        <w:t xml:space="preserve"> </w:t>
      </w:r>
      <w:r w:rsidR="00D42D6D">
        <w:rPr>
          <w:lang w:val="en-US"/>
        </w:rPr>
        <w:t>LOGSD II</w:t>
      </w:r>
      <w:r w:rsidRPr="007D5373">
        <w:rPr>
          <w:lang w:val="en-US"/>
        </w:rPr>
        <w:t xml:space="preserve"> patients</w:t>
      </w:r>
      <w:r>
        <w:rPr>
          <w:lang w:val="en-US"/>
        </w:rPr>
        <w:t xml:space="preserve"> </w:t>
      </w:r>
      <w:r w:rsidRPr="007D5373">
        <w:rPr>
          <w:lang w:val="en-US"/>
        </w:rPr>
        <w:t>commence</w:t>
      </w:r>
      <w:r>
        <w:rPr>
          <w:lang w:val="en-US"/>
        </w:rPr>
        <w:t>d</w:t>
      </w:r>
      <w:r w:rsidRPr="007D5373">
        <w:rPr>
          <w:lang w:val="en-US"/>
        </w:rPr>
        <w:t xml:space="preserve"> ERT </w:t>
      </w:r>
      <w:r w:rsidR="00FE563B">
        <w:rPr>
          <w:lang w:val="en-US"/>
        </w:rPr>
        <w:t>after developing</w:t>
      </w:r>
      <w:r w:rsidRPr="007D5373">
        <w:rPr>
          <w:lang w:val="en-US"/>
        </w:rPr>
        <w:t xml:space="preserve"> </w:t>
      </w:r>
      <w:r w:rsidR="00FE563B" w:rsidRPr="007D5373">
        <w:rPr>
          <w:lang w:val="en-US"/>
        </w:rPr>
        <w:t>symptom</w:t>
      </w:r>
      <w:r w:rsidR="00FE563B">
        <w:rPr>
          <w:lang w:val="en-US"/>
        </w:rPr>
        <w:t>s</w:t>
      </w:r>
      <w:r>
        <w:rPr>
          <w:lang w:val="en-US"/>
        </w:rPr>
        <w:t xml:space="preserve">. </w:t>
      </w:r>
      <w:r w:rsidR="00450449">
        <w:rPr>
          <w:lang w:val="en-US"/>
        </w:rPr>
        <w:t>MSAC considered</w:t>
      </w:r>
      <w:r>
        <w:rPr>
          <w:lang w:val="en-US"/>
        </w:rPr>
        <w:t xml:space="preserve"> </w:t>
      </w:r>
      <w:r w:rsidR="00D316CD">
        <w:rPr>
          <w:lang w:val="en-US"/>
        </w:rPr>
        <w:t>the</w:t>
      </w:r>
      <w:r>
        <w:rPr>
          <w:lang w:val="en-US"/>
        </w:rPr>
        <w:t xml:space="preserve"> </w:t>
      </w:r>
      <w:r w:rsidR="00450449">
        <w:rPr>
          <w:lang w:val="en-US"/>
        </w:rPr>
        <w:t xml:space="preserve">findings </w:t>
      </w:r>
      <w:proofErr w:type="gramStart"/>
      <w:r w:rsidR="00450449">
        <w:rPr>
          <w:lang w:val="en-US"/>
        </w:rPr>
        <w:t>had</w:t>
      </w:r>
      <w:proofErr w:type="gramEnd"/>
      <w:r w:rsidR="00450449">
        <w:rPr>
          <w:lang w:val="en-US"/>
        </w:rPr>
        <w:t xml:space="preserve"> a</w:t>
      </w:r>
      <w:r w:rsidRPr="007D5373">
        <w:rPr>
          <w:lang w:val="en-US"/>
        </w:rPr>
        <w:t xml:space="preserve"> high risk of bias </w:t>
      </w:r>
      <w:r w:rsidR="00D316CD">
        <w:rPr>
          <w:lang w:val="en-US"/>
        </w:rPr>
        <w:t>due to</w:t>
      </w:r>
      <w:r w:rsidRPr="007D5373">
        <w:rPr>
          <w:lang w:val="en-US"/>
        </w:rPr>
        <w:t xml:space="preserve"> methodological concerns</w:t>
      </w:r>
      <w:r w:rsidR="00450449">
        <w:rPr>
          <w:lang w:val="en-US"/>
        </w:rPr>
        <w:t>,</w:t>
      </w:r>
      <w:r w:rsidRPr="007D5373">
        <w:rPr>
          <w:lang w:val="en-US"/>
        </w:rPr>
        <w:t xml:space="preserve"> unknown loss to follow up, selection biases, outcomes reporting bias and publication bias</w:t>
      </w:r>
      <w:r w:rsidR="00FE563B">
        <w:rPr>
          <w:lang w:val="en-US"/>
        </w:rPr>
        <w:t xml:space="preserve">. </w:t>
      </w:r>
      <w:r w:rsidR="004358B9">
        <w:t>MSAC also noted e</w:t>
      </w:r>
      <w:r w:rsidR="004358B9" w:rsidRPr="00B018D3">
        <w:t>vidence for early vs late ERT in IO</w:t>
      </w:r>
      <w:r w:rsidR="004358B9">
        <w:t>GSD II</w:t>
      </w:r>
      <w:r w:rsidR="004358B9" w:rsidRPr="00B018D3">
        <w:t xml:space="preserve"> and LOGSD II </w:t>
      </w:r>
      <w:r w:rsidR="004358B9">
        <w:t xml:space="preserve">presented from retrospective case series and registry databases and concluded the findings were broadly consistent with those from screening programs. </w:t>
      </w:r>
      <w:r>
        <w:rPr>
          <w:lang w:val="en-US"/>
        </w:rPr>
        <w:t xml:space="preserve">MSAC concluded that </w:t>
      </w:r>
      <w:r w:rsidR="00D5299B">
        <w:t>t</w:t>
      </w:r>
      <w:r w:rsidR="0057632A" w:rsidRPr="0057632A">
        <w:t xml:space="preserve">here </w:t>
      </w:r>
      <w:r w:rsidR="00D5299B">
        <w:t>wa</w:t>
      </w:r>
      <w:r w:rsidR="0057632A" w:rsidRPr="0057632A">
        <w:t xml:space="preserve">s no </w:t>
      </w:r>
      <w:r w:rsidR="008A4CF6">
        <w:t xml:space="preserve">high-confidence </w:t>
      </w:r>
      <w:r w:rsidR="008E165E">
        <w:t>evidence</w:t>
      </w:r>
      <w:r w:rsidR="0057632A" w:rsidRPr="0057632A">
        <w:t xml:space="preserve"> that </w:t>
      </w:r>
      <w:r w:rsidR="00D16BA1">
        <w:t xml:space="preserve">diagnosing </w:t>
      </w:r>
      <w:r w:rsidR="00FE563B">
        <w:t xml:space="preserve">newborns </w:t>
      </w:r>
      <w:r w:rsidR="00D42D6D">
        <w:t>with</w:t>
      </w:r>
      <w:r w:rsidR="00FE563B">
        <w:t xml:space="preserve"> </w:t>
      </w:r>
      <w:r w:rsidR="0057632A" w:rsidRPr="0057632A">
        <w:t>LOGSD II</w:t>
      </w:r>
      <w:r w:rsidR="008E165E">
        <w:t xml:space="preserve"> and </w:t>
      </w:r>
      <w:r w:rsidR="00D42D6D">
        <w:t xml:space="preserve">subsequent </w:t>
      </w:r>
      <w:r w:rsidR="008E165E">
        <w:t>intervention</w:t>
      </w:r>
      <w:r w:rsidR="00D42D6D">
        <w:t>s</w:t>
      </w:r>
      <w:r w:rsidR="0057632A" w:rsidRPr="0057632A">
        <w:t xml:space="preserve"> </w:t>
      </w:r>
      <w:r w:rsidR="00FE563B">
        <w:t>improved health outcomes</w:t>
      </w:r>
      <w:r w:rsidR="008E165E">
        <w:t xml:space="preserve">. </w:t>
      </w:r>
      <w:r w:rsidR="008E165E">
        <w:rPr>
          <w:lang w:val="en-US"/>
        </w:rPr>
        <w:t xml:space="preserve">MSAC considered that there is no </w:t>
      </w:r>
      <w:r w:rsidR="00D42D6D">
        <w:rPr>
          <w:lang w:val="en-US"/>
        </w:rPr>
        <w:t xml:space="preserve">consistently </w:t>
      </w:r>
      <w:r w:rsidR="008E165E">
        <w:rPr>
          <w:lang w:val="en-US"/>
        </w:rPr>
        <w:t>accepted intervention for newborns diagnos</w:t>
      </w:r>
      <w:r w:rsidR="00D16BA1">
        <w:rPr>
          <w:lang w:val="en-US"/>
        </w:rPr>
        <w:t>ed</w:t>
      </w:r>
      <w:r w:rsidR="008E165E">
        <w:rPr>
          <w:lang w:val="en-US"/>
        </w:rPr>
        <w:t xml:space="preserve"> </w:t>
      </w:r>
      <w:r w:rsidR="00D16BA1">
        <w:rPr>
          <w:lang w:val="en-US"/>
        </w:rPr>
        <w:t>with</w:t>
      </w:r>
      <w:r w:rsidR="008E165E">
        <w:rPr>
          <w:lang w:val="en-US"/>
        </w:rPr>
        <w:t xml:space="preserve"> LOGSD II </w:t>
      </w:r>
      <w:r w:rsidR="00D16BA1">
        <w:rPr>
          <w:lang w:val="en-US"/>
        </w:rPr>
        <w:t>through newborn screening</w:t>
      </w:r>
      <w:r w:rsidR="008E165E">
        <w:rPr>
          <w:lang w:val="en-US"/>
        </w:rPr>
        <w:t xml:space="preserve">. </w:t>
      </w:r>
      <w:r w:rsidR="0057632A">
        <w:t>MSAC noted th</w:t>
      </w:r>
      <w:r w:rsidR="7A5375C3">
        <w:t>is was supported by a clinical expert in the</w:t>
      </w:r>
      <w:r w:rsidR="0057632A" w:rsidRPr="0057632A">
        <w:t xml:space="preserve"> pre-MSAC</w:t>
      </w:r>
      <w:r w:rsidR="00B24A6B">
        <w:t xml:space="preserve"> response</w:t>
      </w:r>
      <w:r w:rsidR="0057632A" w:rsidRPr="0057632A">
        <w:t>, who stated that ‘there is insufficient data about the long-term benefits of commencing treatment early in LOGSD II’.</w:t>
      </w:r>
      <w:r w:rsidR="005A1428">
        <w:t xml:space="preserve"> </w:t>
      </w:r>
      <w:r w:rsidR="004358B9" w:rsidRPr="003E3BEA">
        <w:t xml:space="preserve">However, </w:t>
      </w:r>
      <w:r w:rsidR="004358B9">
        <w:t xml:space="preserve">MSAC noted </w:t>
      </w:r>
      <w:r w:rsidR="004358B9" w:rsidRPr="003E3BEA">
        <w:t xml:space="preserve">in clinical practice, a diagnosis would likely </w:t>
      </w:r>
      <w:r w:rsidR="00D16BA1">
        <w:t>lead to an</w:t>
      </w:r>
      <w:r w:rsidR="004358B9" w:rsidRPr="003E3BEA">
        <w:t xml:space="preserve"> expectation for earlier treatment with ERT</w:t>
      </w:r>
      <w:r w:rsidR="00474BFD">
        <w:t xml:space="preserve"> from families</w:t>
      </w:r>
      <w:r w:rsidR="004358B9" w:rsidRPr="003E3BEA">
        <w:t xml:space="preserve">, despite the absence of evidence to support this approach. </w:t>
      </w:r>
    </w:p>
    <w:p w14:paraId="3D1250A3" w14:textId="183279B1" w:rsidR="00995C48" w:rsidRDefault="00266F6F" w:rsidP="00266F6F">
      <w:r w:rsidRPr="00266F6F">
        <w:t xml:space="preserve">MSAC </w:t>
      </w:r>
      <w:r w:rsidR="00D42D6D">
        <w:t xml:space="preserve">noted that the key trial for </w:t>
      </w:r>
      <w:r w:rsidR="00D42D6D" w:rsidRPr="00266F6F">
        <w:t xml:space="preserve">pivotal trial of </w:t>
      </w:r>
      <w:r w:rsidR="00D42D6D">
        <w:t xml:space="preserve">ERT with </w:t>
      </w:r>
      <w:proofErr w:type="spellStart"/>
      <w:r w:rsidR="00D42D6D" w:rsidRPr="00266F6F">
        <w:t>alglucosidase</w:t>
      </w:r>
      <w:proofErr w:type="spellEnd"/>
      <w:r w:rsidR="00D42D6D" w:rsidRPr="00266F6F">
        <w:t xml:space="preserve"> alfa for late onset disease</w:t>
      </w:r>
      <w:r w:rsidR="00D16BA1">
        <w:t>.</w:t>
      </w:r>
      <w:r w:rsidR="00D16BA1" w:rsidRPr="00266F6F">
        <w:t xml:space="preserve"> was conducted in</w:t>
      </w:r>
      <w:r w:rsidR="00D16BA1">
        <w:t xml:space="preserve"> </w:t>
      </w:r>
      <w:r w:rsidR="00D16BA1" w:rsidRPr="00266F6F">
        <w:t xml:space="preserve">patients aged 10-70 years (with a mean age </w:t>
      </w:r>
      <w:r w:rsidR="002A4F0A">
        <w:t xml:space="preserve">in the </w:t>
      </w:r>
      <w:r w:rsidR="00D16BA1" w:rsidRPr="00266F6F">
        <w:t xml:space="preserve">40s) </w:t>
      </w:r>
      <w:r w:rsidR="00D16BA1">
        <w:t>with symptomatic LOGSD II</w:t>
      </w:r>
      <w:r w:rsidR="08062C32">
        <w:t>. This study</w:t>
      </w:r>
      <w:r w:rsidR="00D16BA1">
        <w:t xml:space="preserve"> </w:t>
      </w:r>
      <w:r w:rsidR="00D16BA1" w:rsidRPr="00266F6F">
        <w:t>demonstrated disease stability over 78 weeks</w:t>
      </w:r>
      <w:r w:rsidR="00D16BA1">
        <w:t xml:space="preserve"> when treated with ERT </w:t>
      </w:r>
      <w:r w:rsidR="00D16BA1">
        <w:rPr>
          <w:rStyle w:val="FootnoteReference"/>
        </w:rPr>
        <w:footnoteReference w:id="13"/>
      </w:r>
      <w:r w:rsidR="00D16BA1" w:rsidRPr="00266F6F">
        <w:t>.</w:t>
      </w:r>
      <w:r w:rsidR="00D16BA1">
        <w:t xml:space="preserve"> MSAC considered the </w:t>
      </w:r>
      <w:r w:rsidR="00D42D6D">
        <w:t xml:space="preserve">benefit </w:t>
      </w:r>
      <w:r w:rsidR="00D16BA1">
        <w:t xml:space="preserve">from treatment was modest </w:t>
      </w:r>
      <w:r w:rsidR="00D42D6D">
        <w:t>for people with symptomatic LOGSD II</w:t>
      </w:r>
      <w:r w:rsidR="00E32EDD">
        <w:t>.</w:t>
      </w:r>
      <w:r w:rsidR="00E768EB">
        <w:t xml:space="preserve"> </w:t>
      </w:r>
    </w:p>
    <w:p w14:paraId="669D1CAB" w14:textId="2B1CC949" w:rsidR="00995C48" w:rsidRDefault="0057632A" w:rsidP="0057632A">
      <w:r w:rsidRPr="0057632A">
        <w:t xml:space="preserve">MSAC </w:t>
      </w:r>
      <w:r w:rsidR="00D16BA1">
        <w:t>considered</w:t>
      </w:r>
      <w:r w:rsidR="00D16BA1" w:rsidRPr="0057632A">
        <w:t xml:space="preserve"> </w:t>
      </w:r>
      <w:r w:rsidRPr="0057632A">
        <w:t>that there were adverse events associated with ERT, such as infusion reactions, long-term central venous access with infection risk</w:t>
      </w:r>
      <w:r w:rsidR="002A4F0A">
        <w:t>,</w:t>
      </w:r>
      <w:r w:rsidRPr="0057632A">
        <w:t xml:space="preserve"> and</w:t>
      </w:r>
      <w:r w:rsidR="00F42D9E">
        <w:t xml:space="preserve"> formation of neutralising anti-drug antibodies</w:t>
      </w:r>
      <w:r w:rsidRPr="0057632A">
        <w:t xml:space="preserve">. </w:t>
      </w:r>
      <w:r w:rsidR="001B52FA">
        <w:t xml:space="preserve">MSAC </w:t>
      </w:r>
      <w:r w:rsidR="00995C48">
        <w:t>considered</w:t>
      </w:r>
      <w:r w:rsidR="00AA6CA0">
        <w:t xml:space="preserve"> newborns diagnosed with LOGSD II could experience potential </w:t>
      </w:r>
      <w:r w:rsidR="004358B9">
        <w:t xml:space="preserve">psychological harms (including </w:t>
      </w:r>
      <w:r w:rsidR="009378AA" w:rsidRPr="009378AA">
        <w:t>anxiety</w:t>
      </w:r>
      <w:r w:rsidR="004358B9">
        <w:t>)</w:t>
      </w:r>
      <w:r w:rsidR="00AA6CA0">
        <w:t xml:space="preserve">, parental hypervigilance and ‘sick role behaviour’ as they have a diagnosis of a </w:t>
      </w:r>
      <w:r w:rsidR="002A4F0A">
        <w:t xml:space="preserve">potentially </w:t>
      </w:r>
      <w:r w:rsidR="00AA6CA0">
        <w:t xml:space="preserve">severe disease. MSAC considered newborns diagnosed with LOGSD II could also experience harms from </w:t>
      </w:r>
      <w:r w:rsidR="009378AA" w:rsidRPr="009378AA">
        <w:t>overmedicalisation</w:t>
      </w:r>
      <w:r w:rsidR="00AA6CA0">
        <w:t xml:space="preserve"> and</w:t>
      </w:r>
      <w:r w:rsidR="009378AA">
        <w:t xml:space="preserve"> </w:t>
      </w:r>
      <w:r w:rsidR="009378AA" w:rsidRPr="009378AA">
        <w:t>overtreatment</w:t>
      </w:r>
      <w:r w:rsidR="00AA6CA0">
        <w:t xml:space="preserve">, </w:t>
      </w:r>
      <w:r w:rsidR="00AA6CA0" w:rsidRPr="00842379">
        <w:t>burden from monitoring and medical procedures that may be of no benefit</w:t>
      </w:r>
      <w:r w:rsidR="00AA6CA0" w:rsidRPr="0057632A">
        <w:t>.</w:t>
      </w:r>
      <w:r w:rsidR="00AA6CA0">
        <w:t xml:space="preserve"> </w:t>
      </w:r>
    </w:p>
    <w:p w14:paraId="6B7D919B" w14:textId="2F605DC4" w:rsidR="004358B9" w:rsidRDefault="004358B9" w:rsidP="004358B9">
      <w:r>
        <w:t xml:space="preserve">Overall, MSAC considered there was </w:t>
      </w:r>
      <w:r w:rsidR="00474BFD">
        <w:t>limited</w:t>
      </w:r>
      <w:r w:rsidR="00337E6F">
        <w:t xml:space="preserve"> </w:t>
      </w:r>
      <w:r>
        <w:t xml:space="preserve">evidence supporting </w:t>
      </w:r>
      <w:r w:rsidRPr="00C45C5B">
        <w:t xml:space="preserve">effectiveness of </w:t>
      </w:r>
      <w:r>
        <w:t xml:space="preserve">earlier ERT </w:t>
      </w:r>
      <w:r w:rsidRPr="00C45C5B">
        <w:t xml:space="preserve">treatment </w:t>
      </w:r>
      <w:r>
        <w:t xml:space="preserve">in children with IOGSD II. However, MSAC considered there is no accepted early intervention for newborns at risk of LOGSD II and no convincing evidence that an earlier diagnosis of LOGSD II during the newborn period would improve health outcomes. MSAC considered that without an effective early intervention, newborns diagnosed with LOGSD II may </w:t>
      </w:r>
      <w:r w:rsidR="00446CE8">
        <w:t xml:space="preserve">experience greater harm than benefits. </w:t>
      </w:r>
    </w:p>
    <w:p w14:paraId="277FDD4D" w14:textId="3AB175A7" w:rsidR="00D67BDB" w:rsidRPr="0057632A" w:rsidRDefault="00995C48" w:rsidP="00D67BDB">
      <w:r w:rsidRPr="0057632A">
        <w:t xml:space="preserve">MSAC also </w:t>
      </w:r>
      <w:r w:rsidR="00446CE8">
        <w:t>considered</w:t>
      </w:r>
      <w:r w:rsidRPr="0057632A">
        <w:t xml:space="preserve"> that the </w:t>
      </w:r>
      <w:r w:rsidR="00AA6CA0">
        <w:t>intent</w:t>
      </w:r>
      <w:r w:rsidRPr="0057632A">
        <w:t xml:space="preserve"> of </w:t>
      </w:r>
      <w:r w:rsidR="00AA6CA0">
        <w:t xml:space="preserve">Australia’s newborn screening programs </w:t>
      </w:r>
      <w:r w:rsidR="00446CE8">
        <w:t>is</w:t>
      </w:r>
      <w:r w:rsidRPr="0057632A">
        <w:t xml:space="preserve"> </w:t>
      </w:r>
      <w:r w:rsidR="00AA6CA0">
        <w:t>to identify babies</w:t>
      </w:r>
      <w:r w:rsidR="005A60DA">
        <w:t>’</w:t>
      </w:r>
      <w:r w:rsidR="00AA6CA0">
        <w:t xml:space="preserve"> </w:t>
      </w:r>
      <w:r w:rsidR="00AA6CA0" w:rsidRPr="00AA6CA0">
        <w:t>risk of becoming seriously ill from a rare condition</w:t>
      </w:r>
      <w:r w:rsidR="0041189F">
        <w:t xml:space="preserve"> </w:t>
      </w:r>
      <w:r w:rsidR="00474BFD">
        <w:t>in the newborn p</w:t>
      </w:r>
      <w:r w:rsidR="00474BFD" w:rsidDel="007A31E2">
        <w:t>eriod</w:t>
      </w:r>
      <w:r w:rsidR="00903F9B">
        <w:t xml:space="preserve"> </w:t>
      </w:r>
      <w:r w:rsidR="0041189F">
        <w:t xml:space="preserve">and to </w:t>
      </w:r>
      <w:r w:rsidR="0041189F" w:rsidRPr="0041189F">
        <w:t>improve the health of these babies by allowing early intervention.</w:t>
      </w:r>
      <w:r w:rsidR="00446CE8">
        <w:t xml:space="preserve"> </w:t>
      </w:r>
      <w:r>
        <w:t xml:space="preserve">However, MSAC </w:t>
      </w:r>
      <w:r w:rsidR="0041189F">
        <w:t>considered</w:t>
      </w:r>
      <w:r>
        <w:t xml:space="preserve"> that </w:t>
      </w:r>
      <w:r w:rsidRPr="0057632A">
        <w:t xml:space="preserve">most </w:t>
      </w:r>
      <w:r w:rsidR="0041189F">
        <w:t xml:space="preserve">cases of </w:t>
      </w:r>
      <w:r w:rsidRPr="0057632A">
        <w:t xml:space="preserve">GSD II </w:t>
      </w:r>
      <w:r w:rsidR="0041189F">
        <w:t xml:space="preserve">identified through NBS would be </w:t>
      </w:r>
      <w:r w:rsidRPr="0057632A">
        <w:t>late</w:t>
      </w:r>
      <w:r w:rsidR="3D95A10D">
        <w:t xml:space="preserve"> </w:t>
      </w:r>
      <w:r w:rsidRPr="0057632A">
        <w:t xml:space="preserve">onset </w:t>
      </w:r>
      <w:r w:rsidR="0041189F">
        <w:t>GSD II</w:t>
      </w:r>
      <w:r>
        <w:t xml:space="preserve"> that </w:t>
      </w:r>
      <w:r w:rsidR="005A60DA">
        <w:t xml:space="preserve">would be expected to </w:t>
      </w:r>
      <w:r>
        <w:t>develop in adulthood</w:t>
      </w:r>
      <w:r w:rsidR="0041189F">
        <w:t xml:space="preserve">. Therefore, MSAC considered </w:t>
      </w:r>
      <w:r>
        <w:t xml:space="preserve">NBS GSD II did not </w:t>
      </w:r>
      <w:r w:rsidRPr="0057632A">
        <w:t xml:space="preserve">align with </w:t>
      </w:r>
      <w:r w:rsidR="0041189F">
        <w:t xml:space="preserve">the intent of the newborn screening programs and </w:t>
      </w:r>
      <w:r w:rsidR="00D42D6D">
        <w:t>several</w:t>
      </w:r>
      <w:r>
        <w:t xml:space="preserve"> </w:t>
      </w:r>
      <w:r w:rsidR="0041189F">
        <w:t xml:space="preserve">related </w:t>
      </w:r>
      <w:r>
        <w:t xml:space="preserve">criteria </w:t>
      </w:r>
      <w:r w:rsidR="0041189F">
        <w:t>i</w:t>
      </w:r>
      <w:r>
        <w:t>n the</w:t>
      </w:r>
      <w:r w:rsidRPr="0057632A">
        <w:t xml:space="preserve"> NBS NPF.</w:t>
      </w:r>
      <w:r>
        <w:t xml:space="preserve"> </w:t>
      </w:r>
    </w:p>
    <w:p w14:paraId="31054EEC" w14:textId="1466E3B5" w:rsidR="0057632A" w:rsidRPr="0057632A" w:rsidRDefault="00B4061C" w:rsidP="0057632A">
      <w:r>
        <w:t xml:space="preserve">Regarding </w:t>
      </w:r>
      <w:r w:rsidRPr="00EA7C9B">
        <w:rPr>
          <w:b/>
          <w:bCs/>
          <w:lang w:val="en-US"/>
        </w:rPr>
        <w:t>cost-effectiveness of NBS screening</w:t>
      </w:r>
      <w:r w:rsidR="0083037A">
        <w:rPr>
          <w:b/>
          <w:bCs/>
          <w:lang w:val="en-US"/>
        </w:rPr>
        <w:t xml:space="preserve"> </w:t>
      </w:r>
      <w:r w:rsidR="0083037A" w:rsidRPr="0083037A">
        <w:rPr>
          <w:b/>
          <w:bCs/>
          <w:lang w:val="en-GB"/>
        </w:rPr>
        <w:t>compared to no newborn screening</w:t>
      </w:r>
      <w:r>
        <w:rPr>
          <w:lang w:val="en-US"/>
        </w:rPr>
        <w:t xml:space="preserve">, </w:t>
      </w:r>
      <w:r w:rsidR="0057632A" w:rsidRPr="0057632A">
        <w:t xml:space="preserve">MSAC noted that </w:t>
      </w:r>
      <w:r w:rsidRPr="0057632A">
        <w:t xml:space="preserve">a cost-utility analysis </w:t>
      </w:r>
      <w:r w:rsidR="0057632A" w:rsidRPr="0057632A">
        <w:t xml:space="preserve">was </w:t>
      </w:r>
      <w:r>
        <w:t xml:space="preserve">presented </w:t>
      </w:r>
      <w:r w:rsidR="0057632A" w:rsidRPr="0057632A">
        <w:t>that resulted in a</w:t>
      </w:r>
      <w:r w:rsidR="008A441F">
        <w:t xml:space="preserve">n uncertain and </w:t>
      </w:r>
      <w:r w:rsidR="0057632A" w:rsidRPr="0057632A">
        <w:t xml:space="preserve">very high incremental cost-effectiveness ratio (ICER) of </w:t>
      </w:r>
      <w:r>
        <w:t xml:space="preserve">approximately </w:t>
      </w:r>
      <w:r w:rsidR="0057632A" w:rsidRPr="0057632A">
        <w:t>$</w:t>
      </w:r>
      <w:r w:rsidR="00E025B8" w:rsidRPr="00E025B8">
        <w:rPr>
          <w:b/>
          <w:bCs/>
        </w:rPr>
        <w:t>REDACTED</w:t>
      </w:r>
      <w:r w:rsidR="0057632A" w:rsidRPr="0057632A">
        <w:t xml:space="preserve"> per quality-adjusted life year (QALY) that </w:t>
      </w:r>
      <w:r>
        <w:t>wa</w:t>
      </w:r>
      <w:r w:rsidR="0057632A" w:rsidRPr="0057632A">
        <w:t xml:space="preserve">s mainly driven by the ERT costs. </w:t>
      </w:r>
      <w:r w:rsidR="004D6774">
        <w:t>MSAC considered the estimate</w:t>
      </w:r>
      <w:r w:rsidR="00446CE8">
        <w:t xml:space="preserve">d ICER </w:t>
      </w:r>
      <w:r w:rsidR="004D6774">
        <w:t xml:space="preserve">was not informative and </w:t>
      </w:r>
      <w:r w:rsidR="00763595">
        <w:t xml:space="preserve">was </w:t>
      </w:r>
      <w:r w:rsidR="004D6774" w:rsidRPr="0057632A">
        <w:t>highly</w:t>
      </w:r>
      <w:r w:rsidR="0057632A" w:rsidRPr="0057632A">
        <w:t xml:space="preserve"> underestimated due to the assumption that patients </w:t>
      </w:r>
      <w:r w:rsidR="00D46C40" w:rsidRPr="0057632A">
        <w:t xml:space="preserve">identified </w:t>
      </w:r>
      <w:r w:rsidR="0057632A" w:rsidRPr="0057632A">
        <w:t xml:space="preserve">with LOGSD II </w:t>
      </w:r>
      <w:r w:rsidR="00D46C40">
        <w:t xml:space="preserve">via NBS </w:t>
      </w:r>
      <w:r w:rsidR="0057632A" w:rsidRPr="0057632A">
        <w:t>will start ERT only when symptoms emerge</w:t>
      </w:r>
      <w:r w:rsidR="004C72A9">
        <w:t xml:space="preserve"> </w:t>
      </w:r>
      <w:r w:rsidR="005961F5">
        <w:t>(</w:t>
      </w:r>
      <w:r w:rsidR="004C72A9">
        <w:t>by age 2 years</w:t>
      </w:r>
      <w:r w:rsidR="005961F5">
        <w:t xml:space="preserve"> for approximately </w:t>
      </w:r>
      <w:r w:rsidR="00E025B8" w:rsidRPr="00E025B8">
        <w:rPr>
          <w:b/>
          <w:bCs/>
        </w:rPr>
        <w:t>REDACTED</w:t>
      </w:r>
      <w:r w:rsidR="005961F5">
        <w:t xml:space="preserve">% of </w:t>
      </w:r>
      <w:r w:rsidR="00AA68E3">
        <w:t xml:space="preserve">patients with </w:t>
      </w:r>
      <w:r w:rsidR="005961F5">
        <w:t xml:space="preserve">LOGSD II and </w:t>
      </w:r>
      <w:r w:rsidR="00446CE8">
        <w:t xml:space="preserve">at </w:t>
      </w:r>
      <w:r w:rsidR="00E10B04">
        <w:t>age 38</w:t>
      </w:r>
      <w:r w:rsidR="00446CE8">
        <w:t xml:space="preserve"> years</w:t>
      </w:r>
      <w:r w:rsidR="00E10B04">
        <w:t xml:space="preserve"> for approximately </w:t>
      </w:r>
      <w:r w:rsidR="00E025B8" w:rsidRPr="00E025B8">
        <w:rPr>
          <w:b/>
          <w:bCs/>
        </w:rPr>
        <w:t>REDACTED</w:t>
      </w:r>
      <w:r w:rsidR="00E10B04">
        <w:t>%)</w:t>
      </w:r>
      <w:r w:rsidR="0057632A" w:rsidRPr="0057632A">
        <w:t xml:space="preserve">. MSAC noted that no </w:t>
      </w:r>
      <w:r w:rsidR="00D46C40">
        <w:t>sensitivity analysis</w:t>
      </w:r>
      <w:r w:rsidR="0057632A" w:rsidRPr="0057632A">
        <w:t xml:space="preserve"> was presented where ERT is assumed to commence</w:t>
      </w:r>
      <w:r w:rsidR="00D46C40">
        <w:t xml:space="preserve"> from birth</w:t>
      </w:r>
      <w:r w:rsidR="0057632A" w:rsidRPr="0057632A">
        <w:t xml:space="preserve"> in presymptomatic cases of LOGSD II.</w:t>
      </w:r>
      <w:r w:rsidR="007C5EB3">
        <w:t xml:space="preserve"> </w:t>
      </w:r>
      <w:r w:rsidR="00023E06">
        <w:t xml:space="preserve">MSAC noted the cost per </w:t>
      </w:r>
      <w:r w:rsidR="008125CD">
        <w:t>screen</w:t>
      </w:r>
      <w:r w:rsidR="00023E06">
        <w:t xml:space="preserve"> for the proposed screening strategy ($</w:t>
      </w:r>
      <w:r w:rsidR="00E025B8" w:rsidRPr="00E025B8">
        <w:rPr>
          <w:b/>
          <w:bCs/>
        </w:rPr>
        <w:t>REDACTED</w:t>
      </w:r>
      <w:r w:rsidR="00023E06">
        <w:t xml:space="preserve"> per newborn) </w:t>
      </w:r>
      <w:r w:rsidR="00023E06" w:rsidRPr="00023E06">
        <w:t xml:space="preserve">was comparable to previously accepted costs per screen for other NBS conditions </w:t>
      </w:r>
      <w:r w:rsidR="00763595">
        <w:t>MSAC has</w:t>
      </w:r>
      <w:r w:rsidR="00023E06" w:rsidRPr="00023E06">
        <w:t xml:space="preserve"> previously considered</w:t>
      </w:r>
      <w:r w:rsidR="00023E06">
        <w:t>.</w:t>
      </w:r>
    </w:p>
    <w:p w14:paraId="33B1924C" w14:textId="40C7EC11" w:rsidR="0057632A" w:rsidRPr="0057632A" w:rsidRDefault="0057632A" w:rsidP="0057632A">
      <w:r w:rsidRPr="0057632A">
        <w:t xml:space="preserve">MSAC further noted that </w:t>
      </w:r>
      <w:r w:rsidR="00A715C5">
        <w:t>the</w:t>
      </w:r>
      <w:r w:rsidR="00F26401">
        <w:t xml:space="preserve"> cost-effectiveness </w:t>
      </w:r>
      <w:r w:rsidR="00446CE8">
        <w:t xml:space="preserve">of ERTs funded through the LSDP were </w:t>
      </w:r>
      <w:r w:rsidR="00F26401">
        <w:t xml:space="preserve">very high </w:t>
      </w:r>
      <w:r w:rsidR="00763595">
        <w:t xml:space="preserve">with </w:t>
      </w:r>
      <w:r w:rsidR="00F26401">
        <w:t>uncertain</w:t>
      </w:r>
      <w:r w:rsidRPr="0057632A">
        <w:t xml:space="preserve"> ICERs of:</w:t>
      </w:r>
    </w:p>
    <w:p w14:paraId="3E4629ED" w14:textId="4A3A51E9" w:rsidR="0057632A" w:rsidRPr="0057632A" w:rsidRDefault="0057632A" w:rsidP="0057632A">
      <w:pPr>
        <w:pStyle w:val="Bullet"/>
        <w:numPr>
          <w:ilvl w:val="0"/>
          <w:numId w:val="23"/>
        </w:numPr>
        <w:spacing w:before="0"/>
        <w:ind w:left="720"/>
        <w:rPr>
          <w:rFonts w:ascii="Franklin Gothic Book" w:hAnsi="Franklin Gothic Book"/>
        </w:rPr>
      </w:pPr>
      <w:r w:rsidRPr="0057632A">
        <w:rPr>
          <w:rFonts w:ascii="Franklin Gothic Book" w:hAnsi="Franklin Gothic Book"/>
        </w:rPr>
        <w:t>$</w:t>
      </w:r>
      <w:r w:rsidR="00E025B8" w:rsidRPr="00E025B8">
        <w:rPr>
          <w:rFonts w:ascii="Franklin Gothic Book" w:hAnsi="Franklin Gothic Book"/>
          <w:b/>
          <w:bCs/>
        </w:rPr>
        <w:t>REDACTED</w:t>
      </w:r>
      <w:r w:rsidRPr="0057632A">
        <w:rPr>
          <w:rFonts w:ascii="Franklin Gothic Book" w:hAnsi="Franklin Gothic Book"/>
        </w:rPr>
        <w:t xml:space="preserve"> per life year gained (LYG)</w:t>
      </w:r>
      <w:r w:rsidRPr="0057632A">
        <w:rPr>
          <w:rFonts w:ascii="Franklin Gothic Book" w:hAnsi="Franklin Gothic Book" w:cs="Arial"/>
        </w:rPr>
        <w:t xml:space="preserve"> </w:t>
      </w:r>
      <w:r w:rsidRPr="0057632A">
        <w:rPr>
          <w:rFonts w:ascii="Franklin Gothic Book" w:hAnsi="Franklin Gothic Book"/>
        </w:rPr>
        <w:t>for</w:t>
      </w:r>
      <w:r w:rsidRPr="0057632A">
        <w:rPr>
          <w:rFonts w:ascii="Franklin Gothic Book" w:hAnsi="Franklin Gothic Book" w:cs="Arial"/>
        </w:rPr>
        <w:t xml:space="preserve"> </w:t>
      </w:r>
      <w:r w:rsidRPr="0057632A">
        <w:rPr>
          <w:rFonts w:ascii="Franklin Gothic Book" w:hAnsi="Franklin Gothic Book"/>
        </w:rPr>
        <w:t xml:space="preserve">IOGSD II patients treated with </w:t>
      </w:r>
      <w:proofErr w:type="spellStart"/>
      <w:r w:rsidRPr="0057632A">
        <w:rPr>
          <w:rFonts w:ascii="Franklin Gothic Book" w:hAnsi="Franklin Gothic Book"/>
        </w:rPr>
        <w:t>alglucosidase</w:t>
      </w:r>
      <w:proofErr w:type="spellEnd"/>
      <w:r w:rsidRPr="0057632A">
        <w:rPr>
          <w:rFonts w:ascii="Franklin Gothic Book" w:hAnsi="Franklin Gothic Book"/>
        </w:rPr>
        <w:t xml:space="preserve"> alfa</w:t>
      </w:r>
    </w:p>
    <w:p w14:paraId="24C34B68" w14:textId="569CCA07" w:rsidR="0057632A" w:rsidRPr="0057632A" w:rsidRDefault="0057632A" w:rsidP="0057632A">
      <w:pPr>
        <w:pStyle w:val="Bullet"/>
        <w:numPr>
          <w:ilvl w:val="0"/>
          <w:numId w:val="23"/>
        </w:numPr>
        <w:spacing w:before="0"/>
        <w:ind w:left="720"/>
        <w:rPr>
          <w:rFonts w:ascii="Franklin Gothic Book" w:hAnsi="Franklin Gothic Book"/>
        </w:rPr>
      </w:pPr>
      <w:r w:rsidRPr="0057632A">
        <w:rPr>
          <w:rFonts w:ascii="Franklin Gothic Book" w:hAnsi="Franklin Gothic Book"/>
        </w:rPr>
        <w:t>$</w:t>
      </w:r>
      <w:r w:rsidR="00E025B8" w:rsidRPr="00E025B8">
        <w:rPr>
          <w:rFonts w:ascii="Franklin Gothic Book" w:hAnsi="Franklin Gothic Book"/>
          <w:b/>
          <w:bCs/>
        </w:rPr>
        <w:t>REDACTED</w:t>
      </w:r>
      <w:r w:rsidRPr="0057632A">
        <w:rPr>
          <w:rFonts w:ascii="Franklin Gothic Book" w:hAnsi="Franklin Gothic Book"/>
        </w:rPr>
        <w:t xml:space="preserve"> per QALY for IOGSD II patients and $</w:t>
      </w:r>
      <w:r w:rsidR="00E025B8" w:rsidRPr="00E025B8">
        <w:rPr>
          <w:rFonts w:ascii="Franklin Gothic Book" w:hAnsi="Franklin Gothic Book"/>
          <w:b/>
          <w:bCs/>
        </w:rPr>
        <w:t>REDACTED</w:t>
      </w:r>
      <w:r w:rsidRPr="0057632A">
        <w:rPr>
          <w:rFonts w:ascii="Franklin Gothic Book" w:hAnsi="Franklin Gothic Book"/>
        </w:rPr>
        <w:t xml:space="preserve"> per QALY for LOGSD II patients treated with </w:t>
      </w:r>
      <w:proofErr w:type="spellStart"/>
      <w:r w:rsidRPr="0057632A">
        <w:rPr>
          <w:rFonts w:ascii="Franklin Gothic Book" w:hAnsi="Franklin Gothic Book"/>
        </w:rPr>
        <w:t>avalglucosidase</w:t>
      </w:r>
      <w:proofErr w:type="spellEnd"/>
      <w:r w:rsidRPr="0057632A">
        <w:rPr>
          <w:rFonts w:ascii="Franklin Gothic Book" w:hAnsi="Franklin Gothic Book"/>
        </w:rPr>
        <w:t xml:space="preserve"> alfa.</w:t>
      </w:r>
    </w:p>
    <w:p w14:paraId="5C3DE393" w14:textId="79321621" w:rsidR="00297A1C" w:rsidRPr="0057632A" w:rsidRDefault="0057632A" w:rsidP="00297A1C">
      <w:r w:rsidRPr="0057632A">
        <w:t xml:space="preserve">MSAC noted that </w:t>
      </w:r>
      <w:r w:rsidRPr="00EA7C9B">
        <w:rPr>
          <w:b/>
          <w:bCs/>
        </w:rPr>
        <w:t>the financial impact to the NBS program</w:t>
      </w:r>
      <w:r w:rsidR="00C01E42">
        <w:rPr>
          <w:b/>
          <w:bCs/>
        </w:rPr>
        <w:t>s</w:t>
      </w:r>
      <w:r w:rsidRPr="0057632A">
        <w:t xml:space="preserve"> was $</w:t>
      </w:r>
      <w:r w:rsidR="00E025B8" w:rsidRPr="00E025B8">
        <w:rPr>
          <w:b/>
          <w:bCs/>
        </w:rPr>
        <w:t>REDACTED</w:t>
      </w:r>
      <w:r w:rsidRPr="0057632A">
        <w:t xml:space="preserve"> in </w:t>
      </w:r>
      <w:r w:rsidR="00C01E42">
        <w:t>Y</w:t>
      </w:r>
      <w:r w:rsidRPr="0057632A">
        <w:t xml:space="preserve">ear 1 (including a one-off set-up cost) and </w:t>
      </w:r>
      <w:r w:rsidR="00457DAB">
        <w:t xml:space="preserve">approximately </w:t>
      </w:r>
      <w:r w:rsidRPr="0057632A">
        <w:t>$</w:t>
      </w:r>
      <w:r w:rsidR="00E025B8" w:rsidRPr="00E025B8">
        <w:rPr>
          <w:b/>
          <w:bCs/>
        </w:rPr>
        <w:t>REDACTED</w:t>
      </w:r>
      <w:r w:rsidR="00457DAB">
        <w:t xml:space="preserve"> annually</w:t>
      </w:r>
      <w:r w:rsidRPr="0057632A">
        <w:t xml:space="preserve"> </w:t>
      </w:r>
      <w:r w:rsidR="00457DAB">
        <w:t>from</w:t>
      </w:r>
      <w:r w:rsidR="00457DAB" w:rsidRPr="0057632A">
        <w:t xml:space="preserve"> </w:t>
      </w:r>
      <w:r w:rsidR="00C01E42">
        <w:t>Y</w:t>
      </w:r>
      <w:r w:rsidRPr="0057632A">
        <w:t>ear</w:t>
      </w:r>
      <w:r w:rsidR="00457DAB">
        <w:t>s 2-</w:t>
      </w:r>
      <w:r w:rsidRPr="0057632A">
        <w:t xml:space="preserve">6. </w:t>
      </w:r>
      <w:r w:rsidR="00297A1C">
        <w:t xml:space="preserve">Costs to </w:t>
      </w:r>
      <w:r w:rsidR="00445CF7">
        <w:t>s</w:t>
      </w:r>
      <w:r w:rsidR="00297A1C">
        <w:t xml:space="preserve">tate and </w:t>
      </w:r>
      <w:r w:rsidR="00445CF7">
        <w:t>t</w:t>
      </w:r>
      <w:r w:rsidR="00297A1C">
        <w:t>erritory budgets of adding GSD II to NBS</w:t>
      </w:r>
      <w:r w:rsidR="00297A1C" w:rsidRPr="0057632A">
        <w:t xml:space="preserve"> would be $</w:t>
      </w:r>
      <w:r w:rsidR="00297A1C" w:rsidRPr="008659D6">
        <w:t>42,555</w:t>
      </w:r>
      <w:r w:rsidR="00297A1C" w:rsidRPr="0057632A">
        <w:t xml:space="preserve"> in </w:t>
      </w:r>
      <w:r w:rsidR="00297A1C">
        <w:t>Y</w:t>
      </w:r>
      <w:r w:rsidR="00297A1C" w:rsidRPr="0057632A">
        <w:t>ear 1 to $</w:t>
      </w:r>
      <w:r w:rsidR="00297A1C" w:rsidRPr="008659D6">
        <w:t>143,208</w:t>
      </w:r>
      <w:r w:rsidR="00297A1C" w:rsidRPr="0057632A">
        <w:t xml:space="preserve"> in </w:t>
      </w:r>
      <w:r w:rsidR="00297A1C">
        <w:t>Y</w:t>
      </w:r>
      <w:r w:rsidR="00297A1C" w:rsidRPr="0057632A">
        <w:t xml:space="preserve">ear 6 </w:t>
      </w:r>
      <w:r w:rsidR="00297A1C">
        <w:t xml:space="preserve">while the costs to the MBS would be </w:t>
      </w:r>
      <w:r w:rsidR="00297A1C" w:rsidRPr="0057632A">
        <w:t>$</w:t>
      </w:r>
      <w:r w:rsidR="00297A1C" w:rsidRPr="008659D6">
        <w:t>27,980</w:t>
      </w:r>
      <w:r w:rsidR="00297A1C" w:rsidRPr="0057632A">
        <w:t xml:space="preserve"> in </w:t>
      </w:r>
      <w:r w:rsidR="00297A1C">
        <w:t>Y</w:t>
      </w:r>
      <w:r w:rsidR="00297A1C" w:rsidRPr="0057632A">
        <w:t>ear 1 to $</w:t>
      </w:r>
      <w:r w:rsidR="00297A1C" w:rsidRPr="008659D6">
        <w:t>44,832</w:t>
      </w:r>
      <w:r w:rsidR="00297A1C" w:rsidRPr="0057632A">
        <w:t xml:space="preserve"> in </w:t>
      </w:r>
      <w:r w:rsidR="00297A1C">
        <w:t>Y</w:t>
      </w:r>
      <w:r w:rsidR="00297A1C" w:rsidRPr="0057632A">
        <w:t>ear 6</w:t>
      </w:r>
      <w:r w:rsidR="7F5634B1">
        <w:t>.</w:t>
      </w:r>
      <w:r w:rsidR="00297A1C">
        <w:t xml:space="preserve"> </w:t>
      </w:r>
    </w:p>
    <w:p w14:paraId="7330943E" w14:textId="279A939A" w:rsidR="0057632A" w:rsidRPr="0057632A" w:rsidRDefault="0057632A" w:rsidP="0057632A">
      <w:pPr>
        <w:rPr>
          <w:rFonts w:cs="Arial"/>
        </w:rPr>
      </w:pPr>
      <w:r w:rsidRPr="0057632A">
        <w:t>Further, MSAC noted that the financial impacts for the LSDP</w:t>
      </w:r>
      <w:r w:rsidR="00446CE8">
        <w:t xml:space="preserve"> could be</w:t>
      </w:r>
      <w:r w:rsidR="00C01E42" w:rsidRPr="0057632A">
        <w:t xml:space="preserve"> </w:t>
      </w:r>
      <w:r w:rsidRPr="0057632A">
        <w:t xml:space="preserve">very high due to the high likelihood that </w:t>
      </w:r>
      <w:r w:rsidR="00446CE8">
        <w:t xml:space="preserve">treatment with ERT would be sought </w:t>
      </w:r>
      <w:r w:rsidR="00763595">
        <w:t xml:space="preserve">on the LSDP </w:t>
      </w:r>
      <w:r w:rsidR="00446CE8">
        <w:t xml:space="preserve">for newborns with </w:t>
      </w:r>
      <w:r w:rsidR="00C01E42" w:rsidRPr="00C01E42">
        <w:rPr>
          <w:lang w:val="en-GB"/>
        </w:rPr>
        <w:t>LOGSD II</w:t>
      </w:r>
      <w:r w:rsidR="00446CE8">
        <w:t>.</w:t>
      </w:r>
      <w:r w:rsidRPr="0057632A">
        <w:t xml:space="preserve"> In addition, the ERT costs ($</w:t>
      </w:r>
      <w:r w:rsidR="00E025B8" w:rsidRPr="00E025B8">
        <w:rPr>
          <w:b/>
          <w:bCs/>
        </w:rPr>
        <w:t>REDACTED</w:t>
      </w:r>
      <w:r w:rsidRPr="0057632A">
        <w:t xml:space="preserve"> in </w:t>
      </w:r>
      <w:r w:rsidR="00C01E42">
        <w:t>Y</w:t>
      </w:r>
      <w:r w:rsidRPr="0057632A">
        <w:t xml:space="preserve">ear 1 to </w:t>
      </w:r>
      <w:r w:rsidR="00A715C5">
        <w:t>$</w:t>
      </w:r>
      <w:r w:rsidR="00E025B8" w:rsidRPr="00E025B8">
        <w:rPr>
          <w:b/>
          <w:bCs/>
        </w:rPr>
        <w:t>REDACTED</w:t>
      </w:r>
      <w:r w:rsidRPr="0057632A">
        <w:t xml:space="preserve"> in </w:t>
      </w:r>
      <w:r w:rsidR="00C01E42">
        <w:t>Y</w:t>
      </w:r>
      <w:r w:rsidRPr="0057632A">
        <w:t>ear 6) are likely significantly underestimated, because the Department-contracted assessment report (DCAR):</w:t>
      </w:r>
    </w:p>
    <w:p w14:paraId="29B408F5" w14:textId="77777777" w:rsidR="0057632A" w:rsidRPr="0057632A" w:rsidRDefault="0057632A" w:rsidP="0057632A">
      <w:pPr>
        <w:pStyle w:val="Bullet"/>
        <w:numPr>
          <w:ilvl w:val="0"/>
          <w:numId w:val="23"/>
        </w:numPr>
        <w:spacing w:before="0"/>
        <w:ind w:left="720"/>
        <w:rPr>
          <w:rFonts w:ascii="Franklin Gothic Book" w:hAnsi="Franklin Gothic Book"/>
        </w:rPr>
      </w:pPr>
      <w:r w:rsidRPr="0057632A">
        <w:rPr>
          <w:rFonts w:ascii="Franklin Gothic Book" w:hAnsi="Franklin Gothic Book"/>
        </w:rPr>
        <w:t>assumed that ERT starts 4.6 months earlier for IOGSD II</w:t>
      </w:r>
    </w:p>
    <w:p w14:paraId="7AC87159" w14:textId="2BDB07C7" w:rsidR="0057632A" w:rsidRPr="0057632A" w:rsidRDefault="0057632A" w:rsidP="0057632A">
      <w:pPr>
        <w:pStyle w:val="Bullet"/>
        <w:numPr>
          <w:ilvl w:val="0"/>
          <w:numId w:val="23"/>
        </w:numPr>
        <w:spacing w:before="0"/>
        <w:ind w:left="720"/>
        <w:rPr>
          <w:rFonts w:ascii="Franklin Gothic Book" w:hAnsi="Franklin Gothic Book"/>
        </w:rPr>
      </w:pPr>
      <w:r w:rsidRPr="0057632A">
        <w:rPr>
          <w:rFonts w:ascii="Franklin Gothic Book" w:hAnsi="Franklin Gothic Book"/>
        </w:rPr>
        <w:t>assumed that</w:t>
      </w:r>
      <w:r w:rsidR="00364F32">
        <w:rPr>
          <w:rFonts w:ascii="Franklin Gothic Book" w:hAnsi="Franklin Gothic Book"/>
        </w:rPr>
        <w:t xml:space="preserve"> all identified LOGSD </w:t>
      </w:r>
      <w:r w:rsidR="00763595">
        <w:rPr>
          <w:rFonts w:ascii="Franklin Gothic Book" w:hAnsi="Franklin Gothic Book"/>
        </w:rPr>
        <w:t xml:space="preserve">II </w:t>
      </w:r>
      <w:r w:rsidR="00364F32">
        <w:rPr>
          <w:rFonts w:ascii="Franklin Gothic Book" w:hAnsi="Franklin Gothic Book"/>
        </w:rPr>
        <w:t xml:space="preserve">cases although they would commence ERT earlier, still only commenced ERT at symptom onset - </w:t>
      </w:r>
      <w:r w:rsidRPr="0057632A">
        <w:rPr>
          <w:rFonts w:ascii="Franklin Gothic Book" w:hAnsi="Franklin Gothic Book"/>
        </w:rPr>
        <w:t xml:space="preserve">the </w:t>
      </w:r>
      <w:r w:rsidR="00E025B8" w:rsidRPr="00E025B8">
        <w:rPr>
          <w:rFonts w:ascii="Franklin Gothic Book" w:hAnsi="Franklin Gothic Book"/>
          <w:b/>
          <w:bCs/>
        </w:rPr>
        <w:t>REDACTED</w:t>
      </w:r>
      <w:r w:rsidRPr="0057632A">
        <w:rPr>
          <w:rFonts w:ascii="Franklin Gothic Book" w:hAnsi="Franklin Gothic Book"/>
        </w:rPr>
        <w:t>% of cases who would otherwise commence ERT at age 12 years start at age 2 years for LOGSD II</w:t>
      </w:r>
      <w:r w:rsidR="00364F32">
        <w:rPr>
          <w:rFonts w:ascii="Franklin Gothic Book" w:hAnsi="Franklin Gothic Book"/>
        </w:rPr>
        <w:t xml:space="preserve"> while the remainder of LOGSD II cases commenced ERT at age 38 years (instead of </w:t>
      </w:r>
      <w:r w:rsidR="00E025B8" w:rsidRPr="00E025B8">
        <w:rPr>
          <w:rFonts w:ascii="Franklin Gothic Book" w:hAnsi="Franklin Gothic Book"/>
          <w:b/>
          <w:bCs/>
        </w:rPr>
        <w:t>REDACTED</w:t>
      </w:r>
      <w:r w:rsidR="00364F32">
        <w:rPr>
          <w:rFonts w:ascii="Franklin Gothic Book" w:hAnsi="Franklin Gothic Book"/>
        </w:rPr>
        <w:t>)</w:t>
      </w:r>
    </w:p>
    <w:p w14:paraId="76B15512" w14:textId="229093D0" w:rsidR="0057632A" w:rsidRPr="0057632A" w:rsidRDefault="0057632A" w:rsidP="0057632A">
      <w:pPr>
        <w:pStyle w:val="Bullet"/>
        <w:numPr>
          <w:ilvl w:val="0"/>
          <w:numId w:val="23"/>
        </w:numPr>
        <w:spacing w:before="0"/>
        <w:ind w:left="720"/>
        <w:rPr>
          <w:rFonts w:ascii="Franklin Gothic Book" w:hAnsi="Franklin Gothic Book"/>
        </w:rPr>
      </w:pPr>
      <w:r w:rsidRPr="0057632A">
        <w:rPr>
          <w:rFonts w:ascii="Franklin Gothic Book" w:hAnsi="Franklin Gothic Book"/>
        </w:rPr>
        <w:t xml:space="preserve">did not account for the increased duration of ERT use per patient (due to increased survival from earlier commencement) for all cases as it is assumed to occur beyond </w:t>
      </w:r>
      <w:r w:rsidR="00C01E42">
        <w:rPr>
          <w:rFonts w:ascii="Franklin Gothic Book" w:hAnsi="Franklin Gothic Book"/>
        </w:rPr>
        <w:t>Y</w:t>
      </w:r>
      <w:r w:rsidRPr="0057632A">
        <w:rPr>
          <w:rFonts w:ascii="Franklin Gothic Book" w:hAnsi="Franklin Gothic Book"/>
        </w:rPr>
        <w:t>ear 6</w:t>
      </w:r>
      <w:r w:rsidR="00246667">
        <w:rPr>
          <w:rFonts w:ascii="Franklin Gothic Book" w:hAnsi="Franklin Gothic Book"/>
        </w:rPr>
        <w:t xml:space="preserve">. </w:t>
      </w:r>
    </w:p>
    <w:p w14:paraId="4CDA0F4F" w14:textId="03827C38" w:rsidR="00A715C5" w:rsidRDefault="0057632A" w:rsidP="0057632A">
      <w:r w:rsidRPr="0057632A">
        <w:t>MSAC noted that additional financial analyses</w:t>
      </w:r>
      <w:r w:rsidR="00246667">
        <w:t xml:space="preserve"> were developed </w:t>
      </w:r>
      <w:r w:rsidRPr="0057632A">
        <w:t xml:space="preserve">which suggested that annual ERT costs </w:t>
      </w:r>
      <w:r w:rsidR="00A715C5">
        <w:t xml:space="preserve">by </w:t>
      </w:r>
      <w:r w:rsidR="0058288E">
        <w:t>Y</w:t>
      </w:r>
      <w:r w:rsidR="00A715C5">
        <w:t>ear 6</w:t>
      </w:r>
      <w:r w:rsidRPr="0057632A">
        <w:t xml:space="preserve"> could </w:t>
      </w:r>
      <w:r w:rsidR="00A715C5">
        <w:t>be as</w:t>
      </w:r>
      <w:r w:rsidRPr="0057632A">
        <w:t xml:space="preserve"> high as $</w:t>
      </w:r>
      <w:r w:rsidR="00E025B8" w:rsidRPr="00E025B8">
        <w:rPr>
          <w:b/>
          <w:bCs/>
        </w:rPr>
        <w:t>REDACTED</w:t>
      </w:r>
      <w:r w:rsidR="000072CF" w:rsidRPr="0057632A">
        <w:t> </w:t>
      </w:r>
      <w:r w:rsidR="00A715C5" w:rsidRPr="00A715C5">
        <w:t>assum</w:t>
      </w:r>
      <w:r w:rsidR="00A715C5">
        <w:t xml:space="preserve">ing </w:t>
      </w:r>
      <w:r w:rsidR="00A715C5" w:rsidRPr="00A715C5">
        <w:t xml:space="preserve">all </w:t>
      </w:r>
      <w:r w:rsidR="00420363">
        <w:t xml:space="preserve">newborns diagnosed with GSD </w:t>
      </w:r>
      <w:r w:rsidR="006B31A3">
        <w:t xml:space="preserve">II </w:t>
      </w:r>
      <w:r w:rsidR="006B31A3" w:rsidRPr="00A715C5">
        <w:t>receive</w:t>
      </w:r>
      <w:r w:rsidR="00A715C5" w:rsidRPr="00A715C5">
        <w:t xml:space="preserve"> ERT from birth</w:t>
      </w:r>
      <w:r w:rsidR="00420363">
        <w:t>.</w:t>
      </w:r>
      <w:r w:rsidRPr="0057632A">
        <w:t xml:space="preserve"> </w:t>
      </w:r>
      <w:r w:rsidR="00A715C5">
        <w:t xml:space="preserve">MSAC </w:t>
      </w:r>
      <w:r w:rsidR="00420363">
        <w:t xml:space="preserve">considered this would increase each year as the number of newborns diagnosed with </w:t>
      </w:r>
      <w:r w:rsidR="00A715C5" w:rsidRPr="0057632A">
        <w:t xml:space="preserve">LOGSD II </w:t>
      </w:r>
      <w:r w:rsidR="00763595">
        <w:t xml:space="preserve">would </w:t>
      </w:r>
      <w:r w:rsidR="00420363">
        <w:t xml:space="preserve">increase each year and </w:t>
      </w:r>
      <w:r w:rsidR="00763595">
        <w:t xml:space="preserve">these cases would </w:t>
      </w:r>
      <w:r w:rsidR="00420363">
        <w:t>potentially use ERT for decades without clinical evidence supporting this use</w:t>
      </w:r>
      <w:r w:rsidR="00A715C5" w:rsidRPr="0057632A">
        <w:t xml:space="preserve">. MSAC also noted that the economic analysis and financial impact did not </w:t>
      </w:r>
      <w:r w:rsidR="00246667">
        <w:t>consider</w:t>
      </w:r>
      <w:r w:rsidR="00297A1C">
        <w:t xml:space="preserve"> the costs of</w:t>
      </w:r>
      <w:r w:rsidR="00A715C5" w:rsidRPr="0057632A">
        <w:t xml:space="preserve"> managing the harms that may result from ERT.</w:t>
      </w:r>
    </w:p>
    <w:p w14:paraId="11DB8C21" w14:textId="7EE5757E" w:rsidR="00193EB6" w:rsidRDefault="00B018D3" w:rsidP="00193EB6">
      <w:r>
        <w:t xml:space="preserve">Regarding </w:t>
      </w:r>
      <w:r w:rsidRPr="00B018D3">
        <w:rPr>
          <w:b/>
          <w:bCs/>
          <w:lang w:val="en-US"/>
        </w:rPr>
        <w:t xml:space="preserve">relevant ethical (including equity), legal, social or </w:t>
      </w:r>
      <w:proofErr w:type="spellStart"/>
      <w:r w:rsidRPr="00B018D3">
        <w:rPr>
          <w:b/>
          <w:bCs/>
          <w:lang w:val="en-US"/>
        </w:rPr>
        <w:t>organisational</w:t>
      </w:r>
      <w:proofErr w:type="spellEnd"/>
      <w:r w:rsidRPr="00B018D3">
        <w:rPr>
          <w:b/>
          <w:bCs/>
          <w:lang w:val="en-US"/>
        </w:rPr>
        <w:t xml:space="preserve"> aspects specific to screening</w:t>
      </w:r>
      <w:r w:rsidRPr="00B018D3">
        <w:rPr>
          <w:lang w:val="en-US"/>
        </w:rPr>
        <w:t xml:space="preserve"> for</w:t>
      </w:r>
      <w:r>
        <w:rPr>
          <w:lang w:val="en-US"/>
        </w:rPr>
        <w:t xml:space="preserve"> </w:t>
      </w:r>
      <w:r w:rsidR="0041743F">
        <w:rPr>
          <w:lang w:val="en-US"/>
        </w:rPr>
        <w:t>GSD II</w:t>
      </w:r>
      <w:r>
        <w:rPr>
          <w:lang w:val="en-US"/>
        </w:rPr>
        <w:t xml:space="preserve">, </w:t>
      </w:r>
      <w:r w:rsidR="0057632A" w:rsidRPr="0057632A">
        <w:t>MSAC considered the</w:t>
      </w:r>
      <w:r>
        <w:t>re were</w:t>
      </w:r>
      <w:r w:rsidR="0057632A" w:rsidRPr="0057632A">
        <w:t xml:space="preserve"> </w:t>
      </w:r>
      <w:r w:rsidR="00246667">
        <w:t xml:space="preserve">significant </w:t>
      </w:r>
      <w:r w:rsidR="0057632A" w:rsidRPr="0057632A">
        <w:t xml:space="preserve">ethical issues </w:t>
      </w:r>
      <w:r w:rsidR="00246667">
        <w:t>with screening newborns for GSD II</w:t>
      </w:r>
      <w:r w:rsidR="00193EB6">
        <w:t xml:space="preserve">. </w:t>
      </w:r>
      <w:r w:rsidR="00193EB6">
        <w:rPr>
          <w:rFonts w:cs="Arial"/>
        </w:rPr>
        <w:t>MSAC considered the current screening and diagnostic testing protocol</w:t>
      </w:r>
      <w:r w:rsidR="00193EB6" w:rsidRPr="0046157A">
        <w:rPr>
          <w:rFonts w:cs="Arial"/>
        </w:rPr>
        <w:t xml:space="preserve"> </w:t>
      </w:r>
      <w:r w:rsidR="00193EB6">
        <w:rPr>
          <w:rFonts w:cs="Arial"/>
        </w:rPr>
        <w:t xml:space="preserve">may not be </w:t>
      </w:r>
      <w:r w:rsidR="00193EB6" w:rsidRPr="0046157A">
        <w:rPr>
          <w:rFonts w:cs="Arial"/>
        </w:rPr>
        <w:t>socially and ethically acceptable to health professionals and</w:t>
      </w:r>
      <w:r w:rsidR="00193EB6">
        <w:rPr>
          <w:rFonts w:cs="Arial"/>
        </w:rPr>
        <w:t xml:space="preserve"> </w:t>
      </w:r>
      <w:r w:rsidR="00193EB6" w:rsidRPr="0046157A">
        <w:rPr>
          <w:rFonts w:cs="Arial"/>
        </w:rPr>
        <w:t xml:space="preserve">the </w:t>
      </w:r>
      <w:r w:rsidR="00193EB6">
        <w:rPr>
          <w:rFonts w:cs="Arial"/>
        </w:rPr>
        <w:t xml:space="preserve">broader </w:t>
      </w:r>
      <w:r w:rsidR="00193EB6" w:rsidRPr="0046157A">
        <w:rPr>
          <w:rFonts w:cs="Arial"/>
        </w:rPr>
        <w:t>public</w:t>
      </w:r>
      <w:r w:rsidR="00193EB6">
        <w:rPr>
          <w:rFonts w:cs="Arial"/>
        </w:rPr>
        <w:t xml:space="preserve"> because it would mostly identify newborns at risk of developing an adult-onset condition that does not have an effective early intervention. </w:t>
      </w:r>
      <w:r w:rsidR="00F21F7B">
        <w:t>MSAC noted that m</w:t>
      </w:r>
      <w:r w:rsidR="00F21F7B" w:rsidRPr="00F21F7B">
        <w:t xml:space="preserve">ost </w:t>
      </w:r>
      <w:r w:rsidR="00404B3F">
        <w:t>medical and legal</w:t>
      </w:r>
      <w:r w:rsidR="00404B3F" w:rsidRPr="00F21F7B">
        <w:t xml:space="preserve"> </w:t>
      </w:r>
      <w:r w:rsidR="00246667">
        <w:t>organisations</w:t>
      </w:r>
      <w:r w:rsidR="00246667" w:rsidRPr="00F21F7B">
        <w:t xml:space="preserve"> </w:t>
      </w:r>
      <w:r w:rsidR="00246667">
        <w:rPr>
          <w:rStyle w:val="normaltextrun"/>
          <w:color w:val="000000"/>
          <w:shd w:val="clear" w:color="auto" w:fill="FFFFFF"/>
        </w:rPr>
        <w:t xml:space="preserve">do not support testing children for adult-onset diseases to preserve their autonomy and right to provide informed consent </w:t>
      </w:r>
      <w:r w:rsidR="00246667">
        <w:rPr>
          <w:rStyle w:val="superscript"/>
          <w:sz w:val="17"/>
          <w:szCs w:val="17"/>
          <w:shd w:val="clear" w:color="auto" w:fill="FFFFFF"/>
          <w:vertAlign w:val="superscript"/>
        </w:rPr>
        <w:t>8</w:t>
      </w:r>
      <w:r w:rsidR="00246667">
        <w:rPr>
          <w:rStyle w:val="normaltextrun"/>
          <w:color w:val="000000"/>
          <w:sz w:val="17"/>
          <w:szCs w:val="17"/>
          <w:shd w:val="clear" w:color="auto" w:fill="FFFFFF"/>
          <w:vertAlign w:val="superscript"/>
        </w:rPr>
        <w:t>,</w:t>
      </w:r>
      <w:r w:rsidR="00246667">
        <w:rPr>
          <w:rStyle w:val="superscript"/>
          <w:sz w:val="17"/>
          <w:szCs w:val="17"/>
          <w:shd w:val="clear" w:color="auto" w:fill="FFFFFF"/>
          <w:vertAlign w:val="superscript"/>
        </w:rPr>
        <w:t>9</w:t>
      </w:r>
      <w:r w:rsidR="00246667">
        <w:rPr>
          <w:rStyle w:val="normaltextrun"/>
          <w:color w:val="000000"/>
          <w:sz w:val="17"/>
          <w:szCs w:val="17"/>
          <w:shd w:val="clear" w:color="auto" w:fill="FFFFFF"/>
          <w:vertAlign w:val="superscript"/>
        </w:rPr>
        <w:t>,</w:t>
      </w:r>
      <w:r w:rsidR="00246667">
        <w:rPr>
          <w:rStyle w:val="superscript"/>
          <w:sz w:val="17"/>
          <w:szCs w:val="17"/>
          <w:shd w:val="clear" w:color="auto" w:fill="FFFFFF"/>
          <w:vertAlign w:val="superscript"/>
        </w:rPr>
        <w:t>1011</w:t>
      </w:r>
      <w:r w:rsidR="00246667">
        <w:rPr>
          <w:rStyle w:val="normaltextrun"/>
          <w:color w:val="000000"/>
          <w:shd w:val="clear" w:color="auto" w:fill="FFFFFF"/>
        </w:rPr>
        <w:t>.</w:t>
      </w:r>
      <w:r w:rsidR="00193EB6" w:rsidRPr="00193EB6">
        <w:rPr>
          <w:rFonts w:cs="Arial"/>
        </w:rPr>
        <w:t xml:space="preserve"> </w:t>
      </w:r>
      <w:r w:rsidR="00193EB6">
        <w:rPr>
          <w:rFonts w:cs="Arial"/>
        </w:rPr>
        <w:t xml:space="preserve">MSAC noted that consultation input from health professionals and newborn screening laboratories raised concerns about identifying LOGSD II as it is mostly an adult-onset condition and limitations with the screening tests. MSAC considered that it was not known whether newborn screening for a mostly adult-onset condition, without an effective early intervention was acceptable to the Australian community. </w:t>
      </w:r>
    </w:p>
    <w:p w14:paraId="56FBA9AB" w14:textId="37C551E6" w:rsidR="0041189F" w:rsidRDefault="00B278A9" w:rsidP="0057632A">
      <w:r>
        <w:t xml:space="preserve">MSAC noted that </w:t>
      </w:r>
      <w:r w:rsidR="005F2C5A">
        <w:t>the majority (</w:t>
      </w:r>
      <w:r>
        <w:t>u</w:t>
      </w:r>
      <w:r w:rsidRPr="00B278A9">
        <w:t>p to 90%</w:t>
      </w:r>
      <w:r w:rsidR="005F2C5A">
        <w:t>)</w:t>
      </w:r>
      <w:r w:rsidRPr="00B278A9">
        <w:t xml:space="preserve"> of individuals with a parent affected by Huntington’s disease choose not to undergo predictive testing, largely due to the lack of </w:t>
      </w:r>
      <w:r>
        <w:t>an effective treatment</w:t>
      </w:r>
      <w:r w:rsidRPr="00B278A9">
        <w:t xml:space="preserve"> and the fact that the knowledge of their genetic status cannot be un</w:t>
      </w:r>
      <w:r w:rsidR="00F62133">
        <w:t>learnt</w:t>
      </w:r>
      <w:r w:rsidRPr="00B278A9">
        <w:t xml:space="preserve"> once known</w:t>
      </w:r>
      <w:r w:rsidR="00D256DA">
        <w:rPr>
          <w:rStyle w:val="FootnoteReference"/>
        </w:rPr>
        <w:footnoteReference w:id="14"/>
      </w:r>
      <w:r w:rsidRPr="00B278A9">
        <w:t>.</w:t>
      </w:r>
      <w:r w:rsidR="0057632A" w:rsidRPr="0057632A">
        <w:t xml:space="preserve"> </w:t>
      </w:r>
      <w:r w:rsidR="0041189F">
        <w:t>MSAC considered there</w:t>
      </w:r>
      <w:r w:rsidR="0041189F" w:rsidRPr="0057632A">
        <w:t xml:space="preserve"> </w:t>
      </w:r>
      <w:r w:rsidR="0041189F">
        <w:t>may not be benefits from</w:t>
      </w:r>
      <w:r w:rsidR="0041189F" w:rsidRPr="0057632A">
        <w:t xml:space="preserve"> </w:t>
      </w:r>
      <w:r w:rsidR="0041189F">
        <w:t xml:space="preserve">the </w:t>
      </w:r>
      <w:r w:rsidR="0041189F" w:rsidRPr="0057632A">
        <w:t>‘value of knowing’</w:t>
      </w:r>
      <w:r w:rsidR="0041189F">
        <w:t xml:space="preserve"> for newborns diagnosed with </w:t>
      </w:r>
      <w:r w:rsidR="0041189F" w:rsidRPr="00DE3C10">
        <w:t xml:space="preserve">LOGSD </w:t>
      </w:r>
      <w:r w:rsidR="0041189F">
        <w:t>II or their families because the results of the screening and diagnostic testing would not provide clear information about disease onset or severity.</w:t>
      </w:r>
    </w:p>
    <w:p w14:paraId="4550A0C4" w14:textId="7DEA8A63" w:rsidR="00404B3F" w:rsidRDefault="00404B3F" w:rsidP="0057632A">
      <w:r>
        <w:t>MSAC considered there was a high likelihood that newborn screening for GSD II could</w:t>
      </w:r>
      <w:r w:rsidR="0041189F">
        <w:t xml:space="preserve"> cause reputational damage and distrust in the programs if diagnosing an adult-onset condition without an effective early intervention is not acceptable to the </w:t>
      </w:r>
      <w:r w:rsidR="0041189F" w:rsidRPr="0DA216B7">
        <w:rPr>
          <w:rFonts w:cs="Arial"/>
        </w:rPr>
        <w:t xml:space="preserve">Australian community. MSAC considered this could </w:t>
      </w:r>
      <w:r>
        <w:t xml:space="preserve">negatively affect participation in the NBS programs. MSAC considered this may result in worse outcomes at the population level if participation levels drop, because </w:t>
      </w:r>
      <w:r w:rsidR="00763595">
        <w:t xml:space="preserve">some cases of </w:t>
      </w:r>
      <w:r w:rsidR="0041189F">
        <w:t xml:space="preserve">more common </w:t>
      </w:r>
      <w:r>
        <w:t xml:space="preserve">conditions </w:t>
      </w:r>
      <w:r w:rsidR="0041189F">
        <w:t>with</w:t>
      </w:r>
      <w:r>
        <w:t xml:space="preserve"> effective evidence-based therapies, like cystic fibrosis and congenital hypothyroidism, would </w:t>
      </w:r>
      <w:r w:rsidR="6B6AEE89">
        <w:t xml:space="preserve">go </w:t>
      </w:r>
      <w:r w:rsidR="2A1E7FCB">
        <w:t>un</w:t>
      </w:r>
      <w:r>
        <w:t xml:space="preserve">detected. </w:t>
      </w:r>
    </w:p>
    <w:p w14:paraId="53750813" w14:textId="7BEDA13A" w:rsidR="0057252B" w:rsidRDefault="00622526" w:rsidP="008B5999">
      <w:r>
        <w:t>MSAC noted c</w:t>
      </w:r>
      <w:r w:rsidRPr="00622526">
        <w:t xml:space="preserve">onsent processes for NBS </w:t>
      </w:r>
      <w:r>
        <w:t>vary</w:t>
      </w:r>
      <w:r w:rsidRPr="00622526">
        <w:t xml:space="preserve"> across jurisdictions </w:t>
      </w:r>
      <w:r>
        <w:t xml:space="preserve">in Australia </w:t>
      </w:r>
      <w:r w:rsidRPr="00622526">
        <w:t xml:space="preserve">and are not </w:t>
      </w:r>
      <w:r w:rsidR="00763595">
        <w:t>nearly as intensive as the</w:t>
      </w:r>
      <w:r w:rsidRPr="00622526">
        <w:t xml:space="preserve"> consent procedures</w:t>
      </w:r>
      <w:r w:rsidR="008B5999">
        <w:t xml:space="preserve"> and genetic counselling offered</w:t>
      </w:r>
      <w:r w:rsidRPr="00622526">
        <w:t xml:space="preserve"> for </w:t>
      </w:r>
      <w:r w:rsidR="0041189F">
        <w:t xml:space="preserve">adults and children before </w:t>
      </w:r>
      <w:r w:rsidRPr="00622526">
        <w:t xml:space="preserve">genetic testing </w:t>
      </w:r>
      <w:r w:rsidR="0041189F">
        <w:t xml:space="preserve">for </w:t>
      </w:r>
      <w:r w:rsidRPr="00622526">
        <w:t>severe conditions</w:t>
      </w:r>
      <w:r w:rsidR="0041189F">
        <w:t xml:space="preserve"> in clinical </w:t>
      </w:r>
      <w:r w:rsidR="00763595">
        <w:t>(i</w:t>
      </w:r>
      <w:r w:rsidR="00DF30D2">
        <w:t>.</w:t>
      </w:r>
      <w:r w:rsidR="00763595">
        <w:t>e</w:t>
      </w:r>
      <w:r w:rsidR="00DF30D2">
        <w:t>.</w:t>
      </w:r>
      <w:r w:rsidR="00763595">
        <w:t xml:space="preserve">, non-screening) </w:t>
      </w:r>
      <w:r w:rsidR="0041189F">
        <w:t>settings.</w:t>
      </w:r>
      <w:r w:rsidR="0038163E">
        <w:t xml:space="preserve"> </w:t>
      </w:r>
    </w:p>
    <w:p w14:paraId="1A47570C" w14:textId="1C6A7F29" w:rsidR="0057252B" w:rsidRDefault="0057252B" w:rsidP="008B5999">
      <w:r>
        <w:t xml:space="preserve">MSAC considered </w:t>
      </w:r>
      <w:r w:rsidRPr="0057252B">
        <w:t xml:space="preserve">significant clinical resources will be required to manage the </w:t>
      </w:r>
      <w:r>
        <w:t>relatively large number of screen-positive</w:t>
      </w:r>
      <w:r w:rsidRPr="0057252B">
        <w:t xml:space="preserve"> </w:t>
      </w:r>
      <w:r w:rsidR="00411676">
        <w:t>newborns</w:t>
      </w:r>
      <w:r w:rsidRPr="0057252B">
        <w:t xml:space="preserve"> </w:t>
      </w:r>
      <w:r>
        <w:t>who will require</w:t>
      </w:r>
      <w:r w:rsidRPr="0057252B">
        <w:t xml:space="preserve"> clinical assessment, imaging (muscle MRI), and genetic and family counselling</w:t>
      </w:r>
      <w:r>
        <w:t xml:space="preserve">. </w:t>
      </w:r>
      <w:r w:rsidR="000910A7">
        <w:t xml:space="preserve">MSAC considered that newborn screening for GSD II would </w:t>
      </w:r>
      <w:r w:rsidR="008B5999">
        <w:t xml:space="preserve">require paediatric </w:t>
      </w:r>
      <w:r w:rsidR="000910A7">
        <w:t xml:space="preserve">metabolic clinics </w:t>
      </w:r>
      <w:r w:rsidR="008B5999">
        <w:t xml:space="preserve">to </w:t>
      </w:r>
      <w:r w:rsidR="000910A7">
        <w:t>monitor a</w:t>
      </w:r>
      <w:r w:rsidR="008B5999">
        <w:t xml:space="preserve">n additional </w:t>
      </w:r>
      <w:r w:rsidR="0092470D">
        <w:t>10</w:t>
      </w:r>
      <w:r w:rsidR="008B5999">
        <w:t xml:space="preserve"> </w:t>
      </w:r>
      <w:r w:rsidR="000910A7">
        <w:t>asymptomatic newborns at risk of LOGSD II</w:t>
      </w:r>
      <w:r w:rsidR="00411676">
        <w:t xml:space="preserve"> each year</w:t>
      </w:r>
      <w:r w:rsidR="000910A7">
        <w:t>.</w:t>
      </w:r>
      <w:r w:rsidR="00791C72">
        <w:t xml:space="preserve"> However</w:t>
      </w:r>
      <w:r w:rsidR="00B33A31">
        <w:t>,</w:t>
      </w:r>
      <w:r w:rsidR="00791C72">
        <w:t xml:space="preserve"> even this relatively small number would have a compounding effect as by the end of </w:t>
      </w:r>
      <w:r w:rsidR="00B33A31">
        <w:t>6</w:t>
      </w:r>
      <w:r w:rsidR="00791C72">
        <w:t xml:space="preserve"> years the number of children monitored would be approximately 55.</w:t>
      </w:r>
      <w:r w:rsidR="000910A7">
        <w:t xml:space="preserve"> </w:t>
      </w:r>
      <w:r w:rsidR="008B5999">
        <w:t xml:space="preserve">MSAC considered paediatric metabolic clinics </w:t>
      </w:r>
      <w:r w:rsidR="00411676">
        <w:t xml:space="preserve">may </w:t>
      </w:r>
      <w:r w:rsidR="008B5999">
        <w:t xml:space="preserve">not have sufficient capacity to support the ongoing management of </w:t>
      </w:r>
      <w:r w:rsidR="00411676">
        <w:t xml:space="preserve">asymptomatic </w:t>
      </w:r>
      <w:r w:rsidR="008B5999">
        <w:t xml:space="preserve">children </w:t>
      </w:r>
      <w:r w:rsidR="00411676">
        <w:t xml:space="preserve">diagnosed with </w:t>
      </w:r>
      <w:r w:rsidR="008B5999">
        <w:t xml:space="preserve">LOGSD II. </w:t>
      </w:r>
    </w:p>
    <w:p w14:paraId="79CED578" w14:textId="2DC0A8F7" w:rsidR="007F1919" w:rsidRDefault="00133232" w:rsidP="0038163E">
      <w:r>
        <w:t xml:space="preserve">Overall, </w:t>
      </w:r>
      <w:r w:rsidR="0057632A" w:rsidRPr="0057632A">
        <w:t>MSAC did not support extending the NBS program to include GSD II because</w:t>
      </w:r>
      <w:r w:rsidR="00515FEB" w:rsidRPr="00515FEB">
        <w:rPr>
          <w:rFonts w:eastAsia="Franklin Gothic Book"/>
        </w:rPr>
        <w:t xml:space="preserve"> </w:t>
      </w:r>
      <w:r w:rsidR="00515FEB" w:rsidRPr="00515FEB">
        <w:t>the potential harms of newborn screening for GSD II outweigh</w:t>
      </w:r>
      <w:r w:rsidR="00411676">
        <w:t>ed</w:t>
      </w:r>
      <w:r w:rsidR="00515FEB" w:rsidRPr="00515FEB">
        <w:t xml:space="preserve"> the potential benefits.</w:t>
      </w:r>
      <w:r w:rsidR="00515FEB">
        <w:t xml:space="preserve"> NBS for GSD II would mostly identify newborns at risk of LOGSD II, a condition that is mostly diagnosed in adults. </w:t>
      </w:r>
      <w:r w:rsidR="007F1919">
        <w:t xml:space="preserve">MSAC considered diagnosing </w:t>
      </w:r>
      <w:r w:rsidR="007F1919" w:rsidRPr="007F1919">
        <w:t>adult-onset conditions in the newborn period does not align with the</w:t>
      </w:r>
      <w:r w:rsidR="00411676">
        <w:t xml:space="preserve"> intent of Australia’s newborn screening programs or the criteria in the</w:t>
      </w:r>
      <w:r w:rsidR="007F1919" w:rsidRPr="007F1919">
        <w:t xml:space="preserve"> NBS National Policy Framework.</w:t>
      </w:r>
      <w:r w:rsidR="007F1919">
        <w:t xml:space="preserve"> </w:t>
      </w:r>
    </w:p>
    <w:p w14:paraId="60C91C52" w14:textId="05DB068F" w:rsidR="000910A7" w:rsidRDefault="007F1919" w:rsidP="000910A7">
      <w:r>
        <w:t xml:space="preserve">MSAC considered there to be a greater potential for harm from NBS for GSD II as one newborn per year may benefit from a diagnosis of </w:t>
      </w:r>
      <w:r w:rsidR="7AEC5463">
        <w:t>IO</w:t>
      </w:r>
      <w:r>
        <w:t xml:space="preserve">GSD II while a larger number of newborns </w:t>
      </w:r>
      <w:r w:rsidR="00411676">
        <w:t>diagnosed with</w:t>
      </w:r>
      <w:r>
        <w:t xml:space="preserve"> </w:t>
      </w:r>
      <w:r w:rsidR="5A1F6CC5">
        <w:t>LO</w:t>
      </w:r>
      <w:r w:rsidR="00411676">
        <w:t>GSD II</w:t>
      </w:r>
      <w:r>
        <w:t xml:space="preserve"> may experience harms from screening. </w:t>
      </w:r>
      <w:r w:rsidR="000910A7">
        <w:t>MSAC considered the</w:t>
      </w:r>
      <w:r w:rsidR="000055B7">
        <w:t xml:space="preserve"> current</w:t>
      </w:r>
      <w:r w:rsidR="000910A7">
        <w:t xml:space="preserve"> screening tests have a high false positive rate, and therefore </w:t>
      </w:r>
      <w:proofErr w:type="gramStart"/>
      <w:r w:rsidR="000910A7">
        <w:t>a large number of</w:t>
      </w:r>
      <w:proofErr w:type="gramEnd"/>
      <w:r w:rsidR="000910A7">
        <w:t xml:space="preserve"> newborns and their families would experience undue stress and anxiety being recalled for further testing</w:t>
      </w:r>
      <w:r w:rsidR="0057252B">
        <w:t xml:space="preserve"> as they will have false positive results</w:t>
      </w:r>
      <w:r w:rsidR="000910A7">
        <w:t>.</w:t>
      </w:r>
    </w:p>
    <w:p w14:paraId="203D9FC5" w14:textId="77777777" w:rsidR="00404B3F" w:rsidRDefault="00404B3F" w:rsidP="0057632A">
      <w:pPr>
        <w:rPr>
          <w:rFonts w:eastAsia="Franklin Gothic Book" w:cs="Arial"/>
          <w:lang w:eastAsia="en-AU"/>
        </w:rPr>
      </w:pPr>
      <w:r w:rsidRPr="00404B3F">
        <w:rPr>
          <w:rFonts w:eastAsia="Franklin Gothic Book" w:cs="Arial"/>
          <w:lang w:eastAsia="en-AU"/>
        </w:rPr>
        <w:t>MSAC advised the addition of infantile-onset GSD II to newborn screening programs could be reconsidered when</w:t>
      </w:r>
      <w:r>
        <w:rPr>
          <w:rFonts w:eastAsia="Franklin Gothic Book" w:cs="Arial"/>
          <w:lang w:eastAsia="en-AU"/>
        </w:rPr>
        <w:t>:</w:t>
      </w:r>
    </w:p>
    <w:p w14:paraId="3D5B200B" w14:textId="6E15D071" w:rsidR="00404B3F" w:rsidRPr="00C57D1E" w:rsidRDefault="00404B3F" w:rsidP="00C57D1E">
      <w:pPr>
        <w:pStyle w:val="ListParagraph"/>
        <w:numPr>
          <w:ilvl w:val="0"/>
          <w:numId w:val="42"/>
        </w:numPr>
        <w:rPr>
          <w:rFonts w:eastAsia="Franklin Gothic Book" w:cs="Arial"/>
          <w:lang w:eastAsia="en-AU"/>
        </w:rPr>
      </w:pPr>
      <w:r w:rsidRPr="00C57D1E">
        <w:rPr>
          <w:rFonts w:eastAsia="Franklin Gothic Book" w:cs="Arial"/>
          <w:lang w:eastAsia="en-AU"/>
        </w:rPr>
        <w:t>new screening and diagnostic testing methodologies are developed that more accurately differentiate between infantile-onset/severe GSD II versus late-onset/</w:t>
      </w:r>
      <w:r w:rsidR="73EC3BD6" w:rsidRPr="310B6EF6">
        <w:rPr>
          <w:rFonts w:eastAsia="Franklin Gothic Book" w:cs="Arial"/>
          <w:lang w:eastAsia="en-AU"/>
        </w:rPr>
        <w:t>less severe</w:t>
      </w:r>
      <w:r w:rsidRPr="00C57D1E">
        <w:rPr>
          <w:rFonts w:eastAsia="Franklin Gothic Book" w:cs="Arial"/>
          <w:lang w:eastAsia="en-AU"/>
        </w:rPr>
        <w:t xml:space="preserve"> GSD II</w:t>
      </w:r>
      <w:r w:rsidR="00414AD5">
        <w:rPr>
          <w:rFonts w:eastAsia="Franklin Gothic Book" w:cs="Arial"/>
          <w:lang w:eastAsia="en-AU"/>
        </w:rPr>
        <w:t>. This</w:t>
      </w:r>
      <w:r w:rsidR="00FB7CB2">
        <w:rPr>
          <w:rFonts w:eastAsia="Franklin Gothic Book" w:cs="Arial"/>
          <w:lang w:eastAsia="en-AU"/>
        </w:rPr>
        <w:t xml:space="preserve"> would </w:t>
      </w:r>
      <w:r w:rsidR="005F587C">
        <w:rPr>
          <w:rFonts w:eastAsia="Franklin Gothic Book" w:cs="Arial"/>
          <w:lang w:eastAsia="en-AU"/>
        </w:rPr>
        <w:t>enable NBS for GSD II to be targeted to</w:t>
      </w:r>
      <w:r w:rsidR="006D78D4">
        <w:rPr>
          <w:rFonts w:eastAsia="Franklin Gothic Book" w:cs="Arial"/>
          <w:lang w:eastAsia="en-AU"/>
        </w:rPr>
        <w:t xml:space="preserve"> infants with the severe </w:t>
      </w:r>
      <w:r w:rsidR="00515FEB">
        <w:rPr>
          <w:rFonts w:eastAsia="Franklin Gothic Book" w:cs="Arial"/>
          <w:lang w:eastAsia="en-AU"/>
        </w:rPr>
        <w:t xml:space="preserve">infantile-onset </w:t>
      </w:r>
      <w:r w:rsidR="006D78D4">
        <w:rPr>
          <w:rFonts w:eastAsia="Franklin Gothic Book" w:cs="Arial"/>
          <w:lang w:eastAsia="en-AU"/>
        </w:rPr>
        <w:t xml:space="preserve">form </w:t>
      </w:r>
      <w:r w:rsidR="005F587C">
        <w:rPr>
          <w:rFonts w:eastAsia="Franklin Gothic Book" w:cs="Arial"/>
          <w:lang w:eastAsia="en-AU"/>
        </w:rPr>
        <w:t>who could then</w:t>
      </w:r>
      <w:r w:rsidR="003F4D50">
        <w:rPr>
          <w:rFonts w:eastAsia="Franklin Gothic Book" w:cs="Arial"/>
          <w:lang w:eastAsia="en-AU"/>
        </w:rPr>
        <w:t xml:space="preserve"> </w:t>
      </w:r>
      <w:r w:rsidR="006D78D4">
        <w:rPr>
          <w:rFonts w:eastAsia="Franklin Gothic Book" w:cs="Arial"/>
          <w:lang w:eastAsia="en-AU"/>
        </w:rPr>
        <w:t>receive timely and appropriate treatments</w:t>
      </w:r>
      <w:r w:rsidRPr="00C57D1E">
        <w:rPr>
          <w:rFonts w:eastAsia="Franklin Gothic Book" w:cs="Arial"/>
          <w:lang w:eastAsia="en-AU"/>
        </w:rPr>
        <w:t xml:space="preserve">; and </w:t>
      </w:r>
    </w:p>
    <w:p w14:paraId="058AE3B0" w14:textId="43FB2B92" w:rsidR="00404B3F" w:rsidRDefault="00EC3B42" w:rsidP="00404B3F">
      <w:pPr>
        <w:pStyle w:val="ListParagraph"/>
        <w:numPr>
          <w:ilvl w:val="0"/>
          <w:numId w:val="42"/>
        </w:numPr>
      </w:pPr>
      <w:r>
        <w:rPr>
          <w:rFonts w:eastAsia="Franklin Gothic Book" w:cs="Arial"/>
          <w:lang w:eastAsia="en-AU"/>
        </w:rPr>
        <w:t xml:space="preserve">additional </w:t>
      </w:r>
      <w:r w:rsidR="00404B3F" w:rsidRPr="00C57D1E">
        <w:rPr>
          <w:rFonts w:eastAsia="Franklin Gothic Book" w:cs="Arial"/>
          <w:lang w:eastAsia="en-AU"/>
        </w:rPr>
        <w:t xml:space="preserve">higher quality evidence demonstrating that diagnosis </w:t>
      </w:r>
      <w:r w:rsidR="005F587C">
        <w:rPr>
          <w:rFonts w:eastAsia="Franklin Gothic Book" w:cs="Arial"/>
          <w:lang w:eastAsia="en-AU"/>
        </w:rPr>
        <w:t xml:space="preserve">of IOGSD II </w:t>
      </w:r>
      <w:r w:rsidR="00404B3F" w:rsidRPr="00C57D1E">
        <w:rPr>
          <w:rFonts w:eastAsia="Franklin Gothic Book" w:cs="Arial"/>
          <w:lang w:eastAsia="en-AU"/>
        </w:rPr>
        <w:t xml:space="preserve">following NBS and earlier treatment improves clinical outcomes compared with treatment following a symptomatic diagnosis. </w:t>
      </w:r>
    </w:p>
    <w:p w14:paraId="40275047" w14:textId="521935B3" w:rsidR="003D4E83" w:rsidRDefault="003D4E83" w:rsidP="003D4E83">
      <w:r>
        <w:t>MSAC considered</w:t>
      </w:r>
      <w:r w:rsidR="00FF402F">
        <w:t xml:space="preserve"> collect</w:t>
      </w:r>
      <w:r w:rsidR="19BE12A3">
        <w:t>ing</w:t>
      </w:r>
      <w:r w:rsidR="00FF402F">
        <w:t xml:space="preserve"> information and establish</w:t>
      </w:r>
      <w:r w:rsidR="3209BD5B">
        <w:t>ing</w:t>
      </w:r>
      <w:r w:rsidR="00FF402F">
        <w:t xml:space="preserve"> a variant database and outcomes registry for GSD II </w:t>
      </w:r>
      <w:r>
        <w:t>to determine the clinical significance of genetic variants</w:t>
      </w:r>
      <w:r w:rsidR="667ADD8E">
        <w:t xml:space="preserve"> would be beneficial to improve available evidence</w:t>
      </w:r>
      <w:r w:rsidR="00FF402F">
        <w:t xml:space="preserve">. </w:t>
      </w:r>
    </w:p>
    <w:p w14:paraId="6710B69D" w14:textId="5A6E6CBE" w:rsidR="00772829" w:rsidRPr="00CE28E3" w:rsidRDefault="00772829" w:rsidP="00ED5CB7">
      <w:pPr>
        <w:pStyle w:val="Heading2"/>
        <w:numPr>
          <w:ilvl w:val="0"/>
          <w:numId w:val="36"/>
        </w:numPr>
        <w:ind w:hanging="720"/>
      </w:pPr>
      <w:bookmarkStart w:id="7" w:name="_Toc184839259"/>
      <w:bookmarkEnd w:id="1"/>
      <w:r w:rsidRPr="00CE28E3">
        <w:t>Background</w:t>
      </w:r>
      <w:bookmarkEnd w:id="7"/>
    </w:p>
    <w:p w14:paraId="1EC1E05E" w14:textId="22C20834" w:rsidR="00AA7AE5" w:rsidRDefault="00AA7AE5" w:rsidP="00AA7AE5">
      <w:bookmarkStart w:id="8" w:name="_Hlk69734494"/>
      <w:r>
        <w:t xml:space="preserve">This application is </w:t>
      </w:r>
      <w:r w:rsidRPr="00967F70">
        <w:t>MSAC</w:t>
      </w:r>
      <w:r>
        <w:t xml:space="preserve">’s first consideration of NBS </w:t>
      </w:r>
      <w:r w:rsidR="00DA4921">
        <w:t>for</w:t>
      </w:r>
      <w:r>
        <w:t xml:space="preserve"> GSD II</w:t>
      </w:r>
      <w:r w:rsidRPr="00967F70">
        <w:t>.</w:t>
      </w:r>
      <w:r w:rsidR="00E37201">
        <w:t xml:space="preserve"> </w:t>
      </w:r>
      <w:r w:rsidR="00DA4921">
        <w:t>Screening</w:t>
      </w:r>
      <w:r w:rsidR="00E37201">
        <w:t xml:space="preserve"> for GSD II may be multiplexed with NBS for MPS I (MSAC 1775), </w:t>
      </w:r>
      <w:r w:rsidR="006E7CD7">
        <w:t xml:space="preserve">which </w:t>
      </w:r>
      <w:r w:rsidR="00E37201">
        <w:t>MSAC considered in November 2024</w:t>
      </w:r>
      <w:r w:rsidRPr="00967F70">
        <w:t>.</w:t>
      </w:r>
    </w:p>
    <w:p w14:paraId="6F52500A" w14:textId="51D145E7" w:rsidR="00772829" w:rsidRPr="00CE28E3" w:rsidRDefault="00772829" w:rsidP="00ED5CB7">
      <w:pPr>
        <w:pStyle w:val="Heading2"/>
        <w:numPr>
          <w:ilvl w:val="0"/>
          <w:numId w:val="36"/>
        </w:numPr>
        <w:ind w:hanging="720"/>
      </w:pPr>
      <w:bookmarkStart w:id="9" w:name="ColumnTitle_Table1"/>
      <w:bookmarkStart w:id="10" w:name="_Toc184839260"/>
      <w:bookmarkEnd w:id="8"/>
      <w:bookmarkEnd w:id="9"/>
      <w:r w:rsidRPr="00CE28E3">
        <w:t>Prerequisites to implementation of any funding advice</w:t>
      </w:r>
      <w:bookmarkEnd w:id="10"/>
    </w:p>
    <w:p w14:paraId="5E8C7343" w14:textId="6188BDD1" w:rsidR="00BF11D1" w:rsidRPr="00BF11D1" w:rsidRDefault="001115FD" w:rsidP="004B07F6">
      <w:r w:rsidRPr="02E2EE7D">
        <w:t xml:space="preserve">NBS programs are </w:t>
      </w:r>
      <w:r w:rsidR="00BF11D1" w:rsidRPr="02E2EE7D">
        <w:t xml:space="preserve">underpinned by the Newborn Bloodspot Screening National Policy Framework (NBS NPF); however, these programs are </w:t>
      </w:r>
      <w:r w:rsidRPr="02E2EE7D">
        <w:t>managed by state and territory governments and operate independently of each other.</w:t>
      </w:r>
      <w:r w:rsidR="00BF11D1" w:rsidRPr="02E2EE7D">
        <w:t xml:space="preserve"> </w:t>
      </w:r>
      <w:r w:rsidR="00E37201" w:rsidRPr="02E2EE7D">
        <w:t>Prior to implementation of any funding advice, each state screening laboratory will be required to determine</w:t>
      </w:r>
      <w:r w:rsidR="00BF11D1" w:rsidRPr="02E2EE7D">
        <w:t xml:space="preserve"> their preferred approach to screening for </w:t>
      </w:r>
      <w:r w:rsidR="00E37201" w:rsidRPr="02E2EE7D">
        <w:t>GSD II</w:t>
      </w:r>
      <w:r w:rsidR="00BF11D1" w:rsidRPr="02E2EE7D">
        <w:t xml:space="preserve">. </w:t>
      </w:r>
      <w:r w:rsidRPr="02E2EE7D">
        <w:t>There are five laboratories that conduct tests on bloodspot cards, located in New South Wales</w:t>
      </w:r>
      <w:r w:rsidR="00C21D8E" w:rsidRPr="02E2EE7D">
        <w:t xml:space="preserve"> (NSW)</w:t>
      </w:r>
      <w:r w:rsidRPr="02E2EE7D">
        <w:t>, Queensland, South Australia</w:t>
      </w:r>
      <w:r w:rsidR="00C21D8E" w:rsidRPr="02E2EE7D">
        <w:t xml:space="preserve"> (SA)</w:t>
      </w:r>
      <w:r w:rsidRPr="02E2EE7D">
        <w:t>, Victoria and Western Australia</w:t>
      </w:r>
      <w:r w:rsidR="003F4D50">
        <w:t xml:space="preserve"> (WA)</w:t>
      </w:r>
      <w:r w:rsidRPr="02E2EE7D">
        <w:t xml:space="preserve">. </w:t>
      </w:r>
      <w:r w:rsidR="00DA4921" w:rsidRPr="02E2EE7D">
        <w:t>Babies</w:t>
      </w:r>
      <w:r w:rsidRPr="02E2EE7D">
        <w:t xml:space="preserve"> born in states and territories without NBS testing laboratories have their dried bloodspots sent interstate for testing. </w:t>
      </w:r>
    </w:p>
    <w:p w14:paraId="62E8A7E2" w14:textId="4BF5ABE5" w:rsidR="00BF11D1" w:rsidRDefault="00BF11D1" w:rsidP="00BF11D1">
      <w:r w:rsidRPr="02E2EE7D">
        <w:t>Expert advice from the NSW NBS laboratory and the SA NBS laboratory/National Referral Laboratory indicates that the optimal screening protocol is unknown</w:t>
      </w:r>
      <w:r w:rsidR="00DA4921" w:rsidRPr="02E2EE7D">
        <w:t xml:space="preserve"> in Australia</w:t>
      </w:r>
      <w:r w:rsidRPr="02E2EE7D">
        <w:t xml:space="preserve">. The methods currently in use </w:t>
      </w:r>
      <w:r w:rsidR="00DA4921" w:rsidRPr="02E2EE7D">
        <w:t>internationally for NBS</w:t>
      </w:r>
      <w:r w:rsidRPr="02E2EE7D">
        <w:t xml:space="preserve"> result in a high number of </w:t>
      </w:r>
      <w:r w:rsidR="007140B7" w:rsidRPr="02E2EE7D">
        <w:t xml:space="preserve">first-tier </w:t>
      </w:r>
      <w:r w:rsidR="0036714B" w:rsidRPr="02E2EE7D">
        <w:t xml:space="preserve">screen </w:t>
      </w:r>
      <w:r w:rsidRPr="02E2EE7D">
        <w:t>false positives</w:t>
      </w:r>
      <w:r w:rsidR="007140B7" w:rsidRPr="02E2EE7D">
        <w:t>, leading to a high number of second-tier tests.</w:t>
      </w:r>
      <w:r w:rsidR="00C21D8E" w:rsidRPr="02E2EE7D">
        <w:t xml:space="preserve"> </w:t>
      </w:r>
      <w:r w:rsidR="007140B7" w:rsidRPr="02E2EE7D">
        <w:t>In addition,</w:t>
      </w:r>
      <w:r w:rsidRPr="02E2EE7D">
        <w:t xml:space="preserve"> most patients identified </w:t>
      </w:r>
      <w:r w:rsidR="00CA041C" w:rsidRPr="02E2EE7D">
        <w:t xml:space="preserve">by NBS </w:t>
      </w:r>
      <w:r w:rsidRPr="02E2EE7D">
        <w:t>will not have infantile-onset GSD II</w:t>
      </w:r>
      <w:r w:rsidR="00CA041C" w:rsidRPr="02E2EE7D">
        <w:t>,</w:t>
      </w:r>
      <w:r w:rsidRPr="02E2EE7D">
        <w:t xml:space="preserve"> that is, they will either have late-onset GSD II or </w:t>
      </w:r>
      <w:proofErr w:type="spellStart"/>
      <w:r w:rsidRPr="02E2EE7D">
        <w:t>pseudodeficiencies</w:t>
      </w:r>
      <w:proofErr w:type="spellEnd"/>
      <w:r w:rsidRPr="02E2EE7D">
        <w:t xml:space="preserve">. </w:t>
      </w:r>
    </w:p>
    <w:p w14:paraId="76AB9EFF" w14:textId="75A47B5E" w:rsidR="004B07F6" w:rsidRDefault="00E37201" w:rsidP="004B07F6">
      <w:r w:rsidRPr="02E2EE7D">
        <w:t xml:space="preserve">In addition to determining the preferred screening approach, NBS laboratories </w:t>
      </w:r>
      <w:r w:rsidR="00EB7709" w:rsidRPr="02E2EE7D">
        <w:t xml:space="preserve">may </w:t>
      </w:r>
      <w:r w:rsidRPr="02E2EE7D">
        <w:t xml:space="preserve">be required to: </w:t>
      </w:r>
    </w:p>
    <w:p w14:paraId="1CA2AC31" w14:textId="77777777" w:rsidR="00E37201" w:rsidRDefault="00E37201" w:rsidP="0078218A">
      <w:pPr>
        <w:pStyle w:val="ListParagraph"/>
        <w:numPr>
          <w:ilvl w:val="0"/>
          <w:numId w:val="19"/>
        </w:numPr>
      </w:pPr>
      <w:r w:rsidRPr="02E2EE7D">
        <w:t xml:space="preserve">Have or gain sufficient space for additional capital equipment, including mass spectrometry machines. </w:t>
      </w:r>
    </w:p>
    <w:p w14:paraId="27B49BCF" w14:textId="77777777" w:rsidR="00E37201" w:rsidRDefault="00E37201" w:rsidP="0078218A">
      <w:pPr>
        <w:pStyle w:val="ListParagraph"/>
        <w:numPr>
          <w:ilvl w:val="0"/>
          <w:numId w:val="19"/>
        </w:numPr>
      </w:pPr>
      <w:r w:rsidRPr="02E2EE7D">
        <w:t xml:space="preserve">Purchase additional mass spectrometry machines (adhering to local procurement policies including tender processes). </w:t>
      </w:r>
    </w:p>
    <w:p w14:paraId="56CA1D07" w14:textId="77777777" w:rsidR="00E37201" w:rsidRDefault="00E37201" w:rsidP="0078218A">
      <w:pPr>
        <w:pStyle w:val="ListParagraph"/>
        <w:numPr>
          <w:ilvl w:val="0"/>
          <w:numId w:val="19"/>
        </w:numPr>
      </w:pPr>
      <w:r w:rsidRPr="02E2EE7D">
        <w:t xml:space="preserve">Hire and train additional laboratory staff (in several cases moving to a different rostering system so the laboratory is in use 6 days per week instead of 5). </w:t>
      </w:r>
    </w:p>
    <w:p w14:paraId="22C884AA" w14:textId="77777777" w:rsidR="00E37201" w:rsidRDefault="00E37201" w:rsidP="0078218A">
      <w:pPr>
        <w:pStyle w:val="ListParagraph"/>
        <w:numPr>
          <w:ilvl w:val="0"/>
          <w:numId w:val="19"/>
        </w:numPr>
      </w:pPr>
      <w:r w:rsidRPr="02E2EE7D">
        <w:t xml:space="preserve">Validate the screening protocols, determining normal and abnormal value ranges. </w:t>
      </w:r>
    </w:p>
    <w:p w14:paraId="01962F8D" w14:textId="77777777" w:rsidR="00E37201" w:rsidRDefault="00E37201" w:rsidP="0078218A">
      <w:pPr>
        <w:pStyle w:val="ListParagraph"/>
        <w:numPr>
          <w:ilvl w:val="0"/>
          <w:numId w:val="19"/>
        </w:numPr>
      </w:pPr>
      <w:r>
        <w:t>Obtain National Association of Testing Authorities (NATA) accreditation.</w:t>
      </w:r>
    </w:p>
    <w:p w14:paraId="79AAD3C4" w14:textId="77777777" w:rsidR="00E37201" w:rsidRDefault="00E37201" w:rsidP="0078218A">
      <w:pPr>
        <w:pStyle w:val="ListParagraph"/>
        <w:numPr>
          <w:ilvl w:val="0"/>
          <w:numId w:val="19"/>
        </w:numPr>
      </w:pPr>
      <w:r>
        <w:t>Add the new test to the Laboratory Information Management System</w:t>
      </w:r>
      <w:r>
        <w:rPr>
          <w:rStyle w:val="FootnoteReference"/>
        </w:rPr>
        <w:footnoteReference w:id="15"/>
      </w:r>
      <w:r>
        <w:t xml:space="preserve">. </w:t>
      </w:r>
    </w:p>
    <w:p w14:paraId="7EBEABA4" w14:textId="3371AA2D" w:rsidR="00E37201" w:rsidRDefault="00E37201" w:rsidP="00BF11D1">
      <w:r w:rsidRPr="02E2EE7D">
        <w:t xml:space="preserve">Guidelines on the management of patients with GSD II in Australia will be required to be updated, to incorporate recommendations on the management of patients identified through screening to have LOGSD II, who may not yet present with symptoms. Clinical capacity may also need to increase, to support the additional “patients in waiting” identified through screening, with their families requiring additional education and support. </w:t>
      </w:r>
    </w:p>
    <w:p w14:paraId="4AB11DDB" w14:textId="421DC799" w:rsidR="008B468E" w:rsidRDefault="008B468E" w:rsidP="00BF11D1">
      <w:bookmarkStart w:id="11" w:name="_Hlk185239446"/>
      <w:r w:rsidRPr="02E2EE7D">
        <w:t xml:space="preserve">To support these activities, direct funding is being provided to states and territories via </w:t>
      </w:r>
      <w:r w:rsidR="00212D58" w:rsidRPr="02E2EE7D">
        <w:t xml:space="preserve">a schedule to the </w:t>
      </w:r>
      <w:r w:rsidR="00453E0E" w:rsidRPr="02E2EE7D">
        <w:t>Federation Funding Agreement (FFA)</w:t>
      </w:r>
      <w:r w:rsidR="00212D58" w:rsidRPr="02E2EE7D">
        <w:t xml:space="preserve"> - Health</w:t>
      </w:r>
      <w:r w:rsidR="00453E0E" w:rsidRPr="02E2EE7D">
        <w:t>, under which they can make decisions regarding the best use of funds for implementation</w:t>
      </w:r>
      <w:r w:rsidR="00A7121F" w:rsidRPr="02E2EE7D">
        <w:t xml:space="preserve"> in their own jurisdiction</w:t>
      </w:r>
      <w:r w:rsidR="00453E0E" w:rsidRPr="02E2EE7D">
        <w:t>.</w:t>
      </w:r>
    </w:p>
    <w:p w14:paraId="44C3B242" w14:textId="2D9506AE" w:rsidR="00772829" w:rsidRPr="00CE28E3" w:rsidRDefault="00772829" w:rsidP="00ED5CB7">
      <w:pPr>
        <w:pStyle w:val="Heading2"/>
        <w:numPr>
          <w:ilvl w:val="0"/>
          <w:numId w:val="36"/>
        </w:numPr>
        <w:ind w:hanging="720"/>
      </w:pPr>
      <w:bookmarkStart w:id="12" w:name="_Toc184839261"/>
      <w:bookmarkEnd w:id="11"/>
      <w:r w:rsidRPr="00CE28E3">
        <w:t>Proposal for public funding</w:t>
      </w:r>
      <w:bookmarkEnd w:id="12"/>
    </w:p>
    <w:p w14:paraId="02F3D638" w14:textId="77777777" w:rsidR="007C7473" w:rsidRPr="000F49F9" w:rsidRDefault="00143073" w:rsidP="007C7473">
      <w:pPr>
        <w:rPr>
          <w:iCs/>
          <w:szCs w:val="24"/>
        </w:rPr>
      </w:pPr>
      <w:r>
        <w:t xml:space="preserve">The proposal is for GSD II to be added to the list of conditions screened through Australia’s NBS programs. If </w:t>
      </w:r>
      <w:r w:rsidR="0041743F">
        <w:t>GSD II</w:t>
      </w:r>
      <w:r w:rsidR="00C1463F">
        <w:t xml:space="preserve"> is</w:t>
      </w:r>
      <w:r w:rsidR="006A0383">
        <w:t xml:space="preserve"> diagnosed via NBS, then follow-on cascade testing of first-degree relatives is proposed although </w:t>
      </w:r>
      <w:r w:rsidR="00666167">
        <w:t xml:space="preserve">cascade </w:t>
      </w:r>
      <w:r w:rsidR="006A0383">
        <w:t xml:space="preserve">testing </w:t>
      </w:r>
      <w:r w:rsidR="008168BF">
        <w:t>will be covered by existing funding mechanisms for cascade testing</w:t>
      </w:r>
      <w:r w:rsidR="006A0383">
        <w:t>.</w:t>
      </w:r>
      <w:r w:rsidR="007C7473">
        <w:t xml:space="preserve"> </w:t>
      </w:r>
      <w:r w:rsidR="007C7473" w:rsidRPr="000F49F9">
        <w:rPr>
          <w:iCs/>
          <w:szCs w:val="24"/>
        </w:rPr>
        <w:t>The Australian Government contributes funding to hospital services, including those for NBS, through the National Health Reform Agreement (NHRA). It is also directly investing $107.3 million from 2022–23 to 2027–28 to support expansion of NBS programs. This includes:</w:t>
      </w:r>
    </w:p>
    <w:p w14:paraId="5F6DC123" w14:textId="77777777" w:rsidR="007C7473" w:rsidRDefault="007C7473" w:rsidP="007C7473">
      <w:pPr>
        <w:pStyle w:val="ListParagraph"/>
        <w:numPr>
          <w:ilvl w:val="0"/>
          <w:numId w:val="43"/>
        </w:numPr>
        <w:rPr>
          <w:iCs/>
          <w:szCs w:val="24"/>
        </w:rPr>
      </w:pPr>
      <w:r w:rsidRPr="000F49F9">
        <w:rPr>
          <w:iCs/>
          <w:szCs w:val="24"/>
        </w:rPr>
        <w:t>$39 million from Budget 2022–23, including $25.3 million for states and territories</w:t>
      </w:r>
    </w:p>
    <w:p w14:paraId="10974EA9" w14:textId="77777777" w:rsidR="007C7473" w:rsidRDefault="007C7473" w:rsidP="007C7473">
      <w:pPr>
        <w:pStyle w:val="ListParagraph"/>
        <w:numPr>
          <w:ilvl w:val="0"/>
          <w:numId w:val="43"/>
        </w:numPr>
        <w:rPr>
          <w:iCs/>
          <w:szCs w:val="24"/>
        </w:rPr>
      </w:pPr>
      <w:r w:rsidRPr="000F49F9">
        <w:rPr>
          <w:iCs/>
          <w:szCs w:val="24"/>
        </w:rPr>
        <w:t>$68.3 million from Budget 2024–25, including $43.3 million for states and territories (announced through MYEFO 2024–25)</w:t>
      </w:r>
    </w:p>
    <w:p w14:paraId="6EA496C3" w14:textId="77777777" w:rsidR="00373CC9" w:rsidRDefault="00373CC9" w:rsidP="00373CC9">
      <w:r w:rsidRPr="02E2EE7D">
        <w:t xml:space="preserve">This application, as well as applications for NBS for mucopolysaccharidosis Type I and Type II (MPS I and MPS II; MSAC applications 1775 and 1776) form part of this expansion. The three conditions are lysosomal storage disorders (LSDs) and there </w:t>
      </w:r>
      <w:r>
        <w:t>can be</w:t>
      </w:r>
      <w:r w:rsidRPr="02E2EE7D">
        <w:t xml:space="preserve"> overlap in the tests used to </w:t>
      </w:r>
      <w:r>
        <w:t xml:space="preserve">screen </w:t>
      </w:r>
      <w:r w:rsidRPr="02E2EE7D">
        <w:t xml:space="preserve">these three conditions. </w:t>
      </w:r>
    </w:p>
    <w:p w14:paraId="7B89D25A" w14:textId="15763281" w:rsidR="001C3B81" w:rsidRPr="00C87E9B" w:rsidRDefault="001C3B81" w:rsidP="002C695C">
      <w:pPr>
        <w:pStyle w:val="Heading3"/>
      </w:pPr>
      <w:bookmarkStart w:id="13" w:name="_Toc184839262"/>
      <w:r w:rsidRPr="00C87E9B">
        <w:t xml:space="preserve">Funding of </w:t>
      </w:r>
      <w:r>
        <w:t>newborn screening</w:t>
      </w:r>
      <w:r w:rsidRPr="00C87E9B">
        <w:t xml:space="preserve"> (PICO set </w:t>
      </w:r>
      <w:r>
        <w:t>1</w:t>
      </w:r>
      <w:r w:rsidRPr="00C87E9B">
        <w:t>)</w:t>
      </w:r>
      <w:bookmarkEnd w:id="13"/>
    </w:p>
    <w:p w14:paraId="344EA401" w14:textId="73A6DED1" w:rsidR="00C1463F" w:rsidRPr="007414CD" w:rsidRDefault="006A0383" w:rsidP="00C1463F">
      <w:r>
        <w:t xml:space="preserve">Newborn screening for GSD II is </w:t>
      </w:r>
      <w:r w:rsidR="00C1463F">
        <w:t>currently not funded or</w:t>
      </w:r>
      <w:r>
        <w:t xml:space="preserve"> conducted</w:t>
      </w:r>
      <w:r w:rsidR="00C1463F">
        <w:t xml:space="preserve"> in Australia</w:t>
      </w:r>
      <w:r w:rsidR="00C3384C">
        <w:t>, and t</w:t>
      </w:r>
      <w:r w:rsidR="004105EF" w:rsidRPr="007414CD">
        <w:t>here are no Medica</w:t>
      </w:r>
      <w:r w:rsidR="0079484E">
        <w:t>re</w:t>
      </w:r>
      <w:r w:rsidR="004105EF" w:rsidRPr="007414CD">
        <w:t xml:space="preserve"> Benefits Sche</w:t>
      </w:r>
      <w:r w:rsidR="004105EF">
        <w:t>dule</w:t>
      </w:r>
      <w:r w:rsidR="004105EF" w:rsidRPr="007414CD">
        <w:t xml:space="preserve"> (MBS) items specifically for the delivery of NBS services</w:t>
      </w:r>
      <w:r w:rsidR="00C3384C">
        <w:t>.</w:t>
      </w:r>
      <w:r w:rsidR="004105EF" w:rsidRPr="007414CD">
        <w:t xml:space="preserve"> </w:t>
      </w:r>
      <w:r w:rsidR="008168BF">
        <w:t>This application is not seeking funding via MBS for NBS.</w:t>
      </w:r>
      <w:r w:rsidR="004105EF" w:rsidRPr="007414CD">
        <w:t xml:space="preserve"> MBS items may be used </w:t>
      </w:r>
      <w:r w:rsidR="00C3384C">
        <w:t>to confirm a GSD II diagnosis or to deliver</w:t>
      </w:r>
      <w:r w:rsidR="004105EF" w:rsidRPr="007414CD">
        <w:t xml:space="preserve"> downstream medical care. </w:t>
      </w:r>
    </w:p>
    <w:p w14:paraId="7EDB0721" w14:textId="4A800187" w:rsidR="00723283" w:rsidRDefault="002C695C" w:rsidP="00723283">
      <w:r w:rsidRPr="02E2EE7D">
        <w:t>C</w:t>
      </w:r>
      <w:r w:rsidR="00723283" w:rsidRPr="02E2EE7D">
        <w:t>ommercial kit</w:t>
      </w:r>
      <w:r w:rsidRPr="02E2EE7D">
        <w:t>s</w:t>
      </w:r>
      <w:r w:rsidR="00723283" w:rsidRPr="02E2EE7D">
        <w:t xml:space="preserve">, such as the </w:t>
      </w:r>
      <w:proofErr w:type="spellStart"/>
      <w:r w:rsidR="00723283" w:rsidRPr="02E2EE7D">
        <w:t>NeoLSD</w:t>
      </w:r>
      <w:proofErr w:type="spellEnd"/>
      <w:r w:rsidR="00723283" w:rsidRPr="02E2EE7D">
        <w:t xml:space="preserve">™ MSMS Kit from </w:t>
      </w:r>
      <w:proofErr w:type="spellStart"/>
      <w:r w:rsidR="00723283" w:rsidRPr="02E2EE7D">
        <w:t>Revvity</w:t>
      </w:r>
      <w:proofErr w:type="spellEnd"/>
      <w:r w:rsidR="00723283" w:rsidRPr="02E2EE7D">
        <w:t xml:space="preserve">, </w:t>
      </w:r>
      <w:r w:rsidRPr="02E2EE7D">
        <w:t xml:space="preserve">are available and </w:t>
      </w:r>
      <w:r w:rsidR="00723283" w:rsidRPr="02E2EE7D">
        <w:t>would enable the detection of GSD II plus five additional LSDs (Gaucher Disease, Niemann-Pick A/B Disease, MPS I, Krabbe Disease and Fabry Disease)</w:t>
      </w:r>
      <w:r w:rsidRPr="02E2EE7D">
        <w:t>. T</w:t>
      </w:r>
      <w:r w:rsidR="00723283" w:rsidRPr="02E2EE7D">
        <w:t xml:space="preserve">he estimated costs could be as follows. </w:t>
      </w:r>
    </w:p>
    <w:p w14:paraId="2586F3CC" w14:textId="14A3B453" w:rsidR="00723283" w:rsidRDefault="00723283" w:rsidP="0078218A">
      <w:pPr>
        <w:pStyle w:val="ListParagraph"/>
        <w:numPr>
          <w:ilvl w:val="0"/>
          <w:numId w:val="16"/>
        </w:numPr>
      </w:pPr>
      <w:r w:rsidRPr="02E2EE7D">
        <w:t xml:space="preserve">First-tier screening for GAA activity by the </w:t>
      </w:r>
      <w:proofErr w:type="spellStart"/>
      <w:r w:rsidR="00162619" w:rsidRPr="02E2EE7D">
        <w:t>NeoLSD</w:t>
      </w:r>
      <w:proofErr w:type="spellEnd"/>
      <w:r w:rsidR="006404F8" w:rsidRPr="006404F8">
        <w:t>™</w:t>
      </w:r>
      <w:r w:rsidR="00162619" w:rsidRPr="02E2EE7D">
        <w:t xml:space="preserve"> </w:t>
      </w:r>
      <w:r w:rsidRPr="02E2EE7D">
        <w:t xml:space="preserve">kit is estimated to cost </w:t>
      </w:r>
      <w:r w:rsidR="00E025B8" w:rsidRPr="00E025B8">
        <w:rPr>
          <w:b/>
          <w:bCs/>
        </w:rPr>
        <w:t>REDACTED</w:t>
      </w:r>
      <w:r w:rsidR="00E4153F">
        <w:rPr>
          <w:b/>
          <w:bCs/>
        </w:rPr>
        <w:t xml:space="preserve"> </w:t>
      </w:r>
      <w:r w:rsidRPr="02E2EE7D">
        <w:t>(960</w:t>
      </w:r>
      <w:r w:rsidR="00092CCC" w:rsidRPr="02E2EE7D">
        <w:t> </w:t>
      </w:r>
      <w:r w:rsidRPr="02E2EE7D">
        <w:t>reactions)</w:t>
      </w:r>
      <w:r w:rsidR="00162619" w:rsidRPr="02E2EE7D">
        <w:t xml:space="preserve">. Another option is the </w:t>
      </w:r>
      <w:proofErr w:type="spellStart"/>
      <w:r w:rsidR="00162619" w:rsidRPr="02E2EE7D">
        <w:t>GelbChem</w:t>
      </w:r>
      <w:proofErr w:type="spellEnd"/>
      <w:r w:rsidR="00162619" w:rsidRPr="02E2EE7D">
        <w:t xml:space="preserve"> </w:t>
      </w:r>
      <w:r w:rsidR="00B94FA0" w:rsidRPr="00641899">
        <w:t xml:space="preserve">[now known as </w:t>
      </w:r>
      <w:proofErr w:type="spellStart"/>
      <w:r w:rsidR="00B94FA0" w:rsidRPr="00641899">
        <w:t>Enfanos</w:t>
      </w:r>
      <w:proofErr w:type="spellEnd"/>
      <w:r w:rsidR="00B94FA0" w:rsidRPr="00641899">
        <w:t>]</w:t>
      </w:r>
      <w:r w:rsidR="00B94FA0" w:rsidRPr="00881167">
        <w:t xml:space="preserve"> </w:t>
      </w:r>
      <w:r w:rsidR="00162619" w:rsidRPr="02E2EE7D">
        <w:t>SKU: CS5 (GAA) kit</w:t>
      </w:r>
      <w:r w:rsidR="00E4153F">
        <w:t xml:space="preserve"> </w:t>
      </w:r>
      <w:r w:rsidR="00E025B8" w:rsidRPr="00E025B8">
        <w:rPr>
          <w:b/>
          <w:bCs/>
        </w:rPr>
        <w:t>REDACTED</w:t>
      </w:r>
      <w:r w:rsidRPr="02E2EE7D">
        <w:t xml:space="preserve"> </w:t>
      </w:r>
      <w:r w:rsidR="00FF21F5" w:rsidRPr="02E2EE7D">
        <w:t>(</w:t>
      </w:r>
      <w:r w:rsidRPr="02E2EE7D">
        <w:t xml:space="preserve">The detection of other LSDs simultaneously would improve the cost-effectiveness of an assessment of NBS for multiple </w:t>
      </w:r>
      <w:proofErr w:type="gramStart"/>
      <w:r w:rsidRPr="02E2EE7D">
        <w:t>conditions, but</w:t>
      </w:r>
      <w:proofErr w:type="gramEnd"/>
      <w:r w:rsidRPr="02E2EE7D">
        <w:t xml:space="preserve"> does not alter the assessment of NBS for </w:t>
      </w:r>
      <w:r w:rsidR="00162619" w:rsidRPr="02E2EE7D">
        <w:t xml:space="preserve">GSD II </w:t>
      </w:r>
      <w:r w:rsidRPr="02E2EE7D">
        <w:t>alone</w:t>
      </w:r>
      <w:r w:rsidR="00FF21F5" w:rsidRPr="02E2EE7D">
        <w:t>)</w:t>
      </w:r>
      <w:r w:rsidR="00E676F3" w:rsidRPr="02E2EE7D">
        <w:t>.</w:t>
      </w:r>
    </w:p>
    <w:p w14:paraId="2054560D" w14:textId="716161C0" w:rsidR="00723283" w:rsidRDefault="00723283" w:rsidP="0078218A">
      <w:pPr>
        <w:pStyle w:val="ListParagraph"/>
        <w:numPr>
          <w:ilvl w:val="0"/>
          <w:numId w:val="16"/>
        </w:numPr>
      </w:pPr>
      <w:r w:rsidRPr="02E2EE7D">
        <w:t xml:space="preserve">Second-tier screening conducted by short-panel genetic analysis is </w:t>
      </w:r>
      <w:proofErr w:type="gramStart"/>
      <w:r w:rsidRPr="02E2EE7D">
        <w:t>as yet</w:t>
      </w:r>
      <w:proofErr w:type="gramEnd"/>
      <w:r w:rsidRPr="02E2EE7D">
        <w:t xml:space="preserve"> uncosted. </w:t>
      </w:r>
    </w:p>
    <w:p w14:paraId="63D54541" w14:textId="2229FF97" w:rsidR="00A57D88" w:rsidRDefault="00C1463F" w:rsidP="00A57D88">
      <w:r w:rsidRPr="02E2EE7D">
        <w:t xml:space="preserve">Funding for the ongoing delivery of interventions for GSD II </w:t>
      </w:r>
      <w:r w:rsidR="009232A2" w:rsidRPr="02E2EE7D">
        <w:t>(noting this is one avenue for access)</w:t>
      </w:r>
      <w:r w:rsidRPr="02E2EE7D">
        <w:t xml:space="preserve"> is provided for by the Australian Government through the </w:t>
      </w:r>
      <w:r w:rsidR="00226A71" w:rsidRPr="02E2EE7D">
        <w:t>Life Saving Drugs Program (</w:t>
      </w:r>
      <w:r w:rsidRPr="02E2EE7D">
        <w:t>LSDP</w:t>
      </w:r>
      <w:r w:rsidR="00226A71" w:rsidRPr="02E2EE7D">
        <w:t>)</w:t>
      </w:r>
      <w:r w:rsidRPr="02E2EE7D">
        <w:t>, where eligibility criteria are met. The LSDP covers medicines for ultra-rare</w:t>
      </w:r>
      <w:r w:rsidR="006B4779">
        <w:t xml:space="preserve"> </w:t>
      </w:r>
      <w:r w:rsidRPr="02E2EE7D">
        <w:t xml:space="preserve">(1 case per 50,000 or fewer) </w:t>
      </w:r>
      <w:r w:rsidR="1C442F46" w:rsidRPr="02E2EE7D">
        <w:t>and life-threatening</w:t>
      </w:r>
      <w:r w:rsidRPr="02E2EE7D">
        <w:t xml:space="preserve"> </w:t>
      </w:r>
      <w:r w:rsidR="671412DA" w:rsidRPr="02E2EE7D">
        <w:t xml:space="preserve">diseases </w:t>
      </w:r>
      <w:r w:rsidRPr="02E2EE7D">
        <w:t xml:space="preserve">which could not be listed on the </w:t>
      </w:r>
      <w:r w:rsidR="00C79A81" w:rsidRPr="02E2EE7D">
        <w:t xml:space="preserve">Pharmaceutical Benefits Scheme (PBS) on </w:t>
      </w:r>
      <w:r w:rsidRPr="02E2EE7D">
        <w:t xml:space="preserve">grounds of cost </w:t>
      </w:r>
      <w:r w:rsidR="006B4779">
        <w:t>in</w:t>
      </w:r>
      <w:r w:rsidRPr="02E2EE7D">
        <w:t xml:space="preserve">effectiveness but have been determined as being clinically effective by the </w:t>
      </w:r>
      <w:r w:rsidR="00E4299C" w:rsidRPr="02E2EE7D">
        <w:t>Pharmaceutical Benefits</w:t>
      </w:r>
      <w:r w:rsidR="00B15AB3" w:rsidRPr="02E2EE7D">
        <w:t xml:space="preserve"> </w:t>
      </w:r>
      <w:r w:rsidR="06753510" w:rsidRPr="02E2EE7D">
        <w:t>Advisory Committee (PBAC</w:t>
      </w:r>
      <w:r w:rsidR="00E4299C" w:rsidRPr="02E2EE7D">
        <w:t>)</w:t>
      </w:r>
      <w:r w:rsidR="00E4299C" w:rsidRPr="02E2EE7D">
        <w:rPr>
          <w:rFonts w:asciiTheme="minorHAnsi" w:eastAsiaTheme="minorEastAsia" w:hAnsiTheme="minorHAnsi"/>
        </w:rPr>
        <w:t>.</w:t>
      </w:r>
      <w:r w:rsidR="00E4299C" w:rsidRPr="02E2EE7D">
        <w:t xml:space="preserve"> </w:t>
      </w:r>
    </w:p>
    <w:p w14:paraId="0CD98588" w14:textId="0F437CAE" w:rsidR="004013CF" w:rsidRPr="00C87E9B" w:rsidRDefault="002B5ABE" w:rsidP="002C695C">
      <w:pPr>
        <w:pStyle w:val="Heading3"/>
      </w:pPr>
      <w:bookmarkStart w:id="14" w:name="_Toc184839263"/>
      <w:r w:rsidRPr="00C87E9B">
        <w:t>Funding of testing</w:t>
      </w:r>
      <w:r w:rsidR="00D8363F">
        <w:t xml:space="preserve"> of family members</w:t>
      </w:r>
      <w:r w:rsidRPr="00C87E9B">
        <w:t xml:space="preserve"> (PICO set 2)</w:t>
      </w:r>
      <w:bookmarkEnd w:id="14"/>
    </w:p>
    <w:p w14:paraId="2C00BF5C" w14:textId="1BD92FC0" w:rsidR="001C3B81" w:rsidRDefault="00F30693" w:rsidP="00C1463F">
      <w:r w:rsidRPr="02E2EE7D">
        <w:rPr>
          <w:rStyle w:val="normaltextrun"/>
          <w:rFonts w:cs="Calibri"/>
          <w:bdr w:val="none" w:sz="0" w:space="0" w:color="auto" w:frame="1"/>
        </w:rPr>
        <w:t xml:space="preserve">New MBS items for testing </w:t>
      </w:r>
      <w:r w:rsidR="00D8363F">
        <w:rPr>
          <w:rStyle w:val="normaltextrun"/>
          <w:rFonts w:cs="Calibri"/>
          <w:bdr w:val="none" w:sz="0" w:space="0" w:color="auto" w:frame="1"/>
        </w:rPr>
        <w:t xml:space="preserve">of family members </w:t>
      </w:r>
      <w:r w:rsidRPr="02E2EE7D">
        <w:rPr>
          <w:rStyle w:val="normaltextrun"/>
          <w:rFonts w:cs="Calibri"/>
          <w:bdr w:val="none" w:sz="0" w:space="0" w:color="auto" w:frame="1"/>
        </w:rPr>
        <w:t>in relation to this application were not proposed</w:t>
      </w:r>
      <w:r w:rsidR="00FC488D" w:rsidRPr="02E2EE7D">
        <w:rPr>
          <w:rStyle w:val="normaltextrun"/>
          <w:rFonts w:cs="Calibri"/>
          <w:bdr w:val="none" w:sz="0" w:space="0" w:color="auto" w:frame="1"/>
        </w:rPr>
        <w:t xml:space="preserve">; testing will </w:t>
      </w:r>
      <w:r w:rsidR="00A204EB" w:rsidRPr="02E2EE7D">
        <w:rPr>
          <w:rStyle w:val="normaltextrun"/>
          <w:rFonts w:cs="Calibri"/>
          <w:bdr w:val="none" w:sz="0" w:space="0" w:color="auto" w:frame="1"/>
        </w:rPr>
        <w:t>continue to be funded by existing arrangements.</w:t>
      </w:r>
      <w:r w:rsidRPr="02E2EE7D">
        <w:rPr>
          <w:rStyle w:val="normaltextrun"/>
          <w:rFonts w:cs="Calibri"/>
          <w:bdr w:val="none" w:sz="0" w:space="0" w:color="auto" w:frame="1"/>
        </w:rPr>
        <w:t xml:space="preserve"> </w:t>
      </w:r>
      <w:r w:rsidR="00C1463F" w:rsidRPr="02E2EE7D">
        <w:t xml:space="preserve"> </w:t>
      </w:r>
    </w:p>
    <w:p w14:paraId="670E3A92" w14:textId="3F6E2AC1" w:rsidR="00C1463F" w:rsidRDefault="00723283" w:rsidP="00C1463F">
      <w:r w:rsidRPr="02E2EE7D">
        <w:t>I</w:t>
      </w:r>
      <w:r w:rsidR="00C1463F" w:rsidRPr="02E2EE7D">
        <w:t xml:space="preserve">f GSD II is introduced into the NBS programs, additional resources would be required to implement the care and monitoring of </w:t>
      </w:r>
      <w:r w:rsidR="006341C5" w:rsidRPr="02E2EE7D">
        <w:t>individuals</w:t>
      </w:r>
      <w:r w:rsidR="00C1463F" w:rsidRPr="02E2EE7D">
        <w:t xml:space="preserve"> with </w:t>
      </w:r>
      <w:r w:rsidR="006341C5" w:rsidRPr="02E2EE7D">
        <w:t>asymptomatic</w:t>
      </w:r>
      <w:r w:rsidR="00C1463F" w:rsidRPr="02E2EE7D">
        <w:t xml:space="preserve"> late-onset GSD II, who would engage with the health system potentially decades earlier than they would have otherwise. </w:t>
      </w:r>
    </w:p>
    <w:p w14:paraId="34E0B08F" w14:textId="039D640A" w:rsidR="00772829" w:rsidRPr="00CE28E3" w:rsidRDefault="00772829" w:rsidP="00ED5CB7">
      <w:pPr>
        <w:pStyle w:val="Heading2"/>
        <w:numPr>
          <w:ilvl w:val="0"/>
          <w:numId w:val="36"/>
        </w:numPr>
        <w:ind w:hanging="720"/>
      </w:pPr>
      <w:bookmarkStart w:id="15" w:name="_Toc184839264"/>
      <w:r w:rsidRPr="00CE28E3">
        <w:t>Population</w:t>
      </w:r>
      <w:bookmarkEnd w:id="15"/>
    </w:p>
    <w:p w14:paraId="29DEC46F" w14:textId="7609AACB" w:rsidR="00A5799C" w:rsidRPr="00A5799C" w:rsidRDefault="00A5799C" w:rsidP="02E2EE7D">
      <w:pPr>
        <w:pStyle w:val="Instructionaltext"/>
        <w:rPr>
          <w:color w:val="auto"/>
        </w:rPr>
      </w:pPr>
      <w:r w:rsidRPr="02E2EE7D">
        <w:rPr>
          <w:color w:val="auto"/>
        </w:rPr>
        <w:t xml:space="preserve">There are two populations under consideration in this assessment: </w:t>
      </w:r>
      <w:r w:rsidR="002C695C" w:rsidRPr="02E2EE7D">
        <w:rPr>
          <w:color w:val="auto"/>
        </w:rPr>
        <w:t xml:space="preserve">PICO Set 1 - </w:t>
      </w:r>
      <w:r w:rsidRPr="02E2EE7D">
        <w:rPr>
          <w:color w:val="auto"/>
        </w:rPr>
        <w:t xml:space="preserve">newborns participating in </w:t>
      </w:r>
      <w:r w:rsidR="00BA7835" w:rsidRPr="02E2EE7D">
        <w:rPr>
          <w:color w:val="auto"/>
        </w:rPr>
        <w:t xml:space="preserve">universal </w:t>
      </w:r>
      <w:r w:rsidRPr="02E2EE7D">
        <w:rPr>
          <w:color w:val="auto"/>
        </w:rPr>
        <w:t xml:space="preserve">newborn screening in Australia, and </w:t>
      </w:r>
      <w:r w:rsidR="002C695C" w:rsidRPr="02E2EE7D">
        <w:rPr>
          <w:color w:val="auto"/>
        </w:rPr>
        <w:t xml:space="preserve">PICO Set 2 - </w:t>
      </w:r>
      <w:r w:rsidRPr="02E2EE7D">
        <w:rPr>
          <w:color w:val="auto"/>
        </w:rPr>
        <w:t xml:space="preserve">family members of newborns diagnosed through NBS who </w:t>
      </w:r>
      <w:r w:rsidR="00152087" w:rsidRPr="02E2EE7D">
        <w:rPr>
          <w:color w:val="auto"/>
        </w:rPr>
        <w:t xml:space="preserve">are </w:t>
      </w:r>
      <w:r w:rsidRPr="02E2EE7D">
        <w:rPr>
          <w:color w:val="auto"/>
        </w:rPr>
        <w:t>eligible for testing.</w:t>
      </w:r>
    </w:p>
    <w:p w14:paraId="5F48F609" w14:textId="1FBB9C44" w:rsidR="002C695C" w:rsidRPr="002C695C" w:rsidRDefault="002C695C" w:rsidP="002C695C">
      <w:r w:rsidRPr="002C695C">
        <w:t xml:space="preserve">In the comparison of screening versus no screening, the populations eligible for the intervention and the comparators differ slightly, as summarised in </w:t>
      </w:r>
      <w:r w:rsidRPr="002C695C">
        <w:fldChar w:fldCharType="begin"/>
      </w:r>
      <w:r w:rsidRPr="002C695C">
        <w:instrText xml:space="preserve"> REF _Ref172033132 \h  \* MERGEFORMAT </w:instrText>
      </w:r>
      <w:r w:rsidRPr="002C695C">
        <w:fldChar w:fldCharType="separate"/>
      </w:r>
      <w:r w:rsidR="00263379" w:rsidRPr="00EA7C9B">
        <w:t xml:space="preserve">Table </w:t>
      </w:r>
      <w:r w:rsidR="00263379" w:rsidRPr="00EA7C9B">
        <w:rPr>
          <w:rFonts w:eastAsia="Times New Roman" w:cs="Times New Roman"/>
        </w:rPr>
        <w:t>1</w:t>
      </w:r>
      <w:r w:rsidRPr="002C695C">
        <w:fldChar w:fldCharType="end"/>
      </w:r>
      <w:r w:rsidRPr="002C695C">
        <w:t>.</w:t>
      </w:r>
    </w:p>
    <w:p w14:paraId="0D13A857" w14:textId="5538806A" w:rsidR="002C695C" w:rsidRPr="002C695C" w:rsidRDefault="002C695C" w:rsidP="00ED5CB7">
      <w:pPr>
        <w:keepNext/>
        <w:keepLines/>
        <w:tabs>
          <w:tab w:val="left" w:pos="851"/>
        </w:tabs>
        <w:spacing w:before="360" w:after="40" w:line="240" w:lineRule="auto"/>
        <w:ind w:left="851" w:hanging="851"/>
        <w:rPr>
          <w:rFonts w:ascii="Arial Narrow" w:eastAsia="Times New Roman" w:hAnsi="Arial Narrow" w:cs="Times New Roman"/>
          <w:b/>
          <w:bCs/>
          <w:sz w:val="20"/>
          <w:szCs w:val="20"/>
        </w:rPr>
      </w:pPr>
      <w:bookmarkStart w:id="16" w:name="_Ref172033132"/>
      <w:r w:rsidRPr="002C695C">
        <w:rPr>
          <w:rFonts w:ascii="Arial Narrow" w:eastAsia="Times New Roman" w:hAnsi="Arial Narrow" w:cs="Times New Roman"/>
          <w:b/>
          <w:bCs/>
          <w:sz w:val="20"/>
          <w:szCs w:val="20"/>
        </w:rPr>
        <w:t xml:space="preserve">Table </w:t>
      </w:r>
      <w:r w:rsidRPr="002C695C">
        <w:rPr>
          <w:rFonts w:ascii="Arial Narrow" w:eastAsia="Times New Roman" w:hAnsi="Arial Narrow" w:cs="Times New Roman"/>
          <w:b/>
          <w:bCs/>
          <w:sz w:val="20"/>
          <w:szCs w:val="20"/>
        </w:rPr>
        <w:fldChar w:fldCharType="begin"/>
      </w:r>
      <w:r w:rsidRPr="002C695C">
        <w:rPr>
          <w:rFonts w:ascii="Arial Narrow" w:eastAsia="Times New Roman" w:hAnsi="Arial Narrow" w:cs="Times New Roman"/>
          <w:b/>
          <w:bCs/>
          <w:sz w:val="20"/>
          <w:szCs w:val="20"/>
        </w:rPr>
        <w:instrText xml:space="preserve"> SEQ Table \* ARABIC </w:instrText>
      </w:r>
      <w:r w:rsidRPr="002C695C">
        <w:rPr>
          <w:rFonts w:ascii="Arial Narrow" w:eastAsia="Times New Roman" w:hAnsi="Arial Narrow" w:cs="Times New Roman"/>
          <w:b/>
          <w:bCs/>
          <w:sz w:val="20"/>
          <w:szCs w:val="20"/>
        </w:rPr>
        <w:fldChar w:fldCharType="separate"/>
      </w:r>
      <w:r w:rsidR="00263379">
        <w:rPr>
          <w:rFonts w:ascii="Arial Narrow" w:eastAsia="Times New Roman" w:hAnsi="Arial Narrow" w:cs="Times New Roman"/>
          <w:b/>
          <w:bCs/>
          <w:noProof/>
          <w:sz w:val="20"/>
          <w:szCs w:val="20"/>
        </w:rPr>
        <w:t>1</w:t>
      </w:r>
      <w:r w:rsidRPr="002C695C">
        <w:rPr>
          <w:rFonts w:ascii="Arial Narrow" w:eastAsia="Times New Roman" w:hAnsi="Arial Narrow" w:cs="Times New Roman"/>
          <w:b/>
          <w:bCs/>
          <w:noProof/>
          <w:sz w:val="20"/>
          <w:szCs w:val="20"/>
        </w:rPr>
        <w:fldChar w:fldCharType="end"/>
      </w:r>
      <w:bookmarkEnd w:id="16"/>
      <w:r w:rsidR="00D10B4A">
        <w:rPr>
          <w:rFonts w:ascii="Arial Narrow" w:eastAsia="Times New Roman" w:hAnsi="Arial Narrow" w:cs="Times New Roman"/>
          <w:b/>
          <w:bCs/>
          <w:sz w:val="20"/>
          <w:szCs w:val="20"/>
        </w:rPr>
        <w:t xml:space="preserve"> </w:t>
      </w:r>
      <w:r w:rsidRPr="002C695C">
        <w:rPr>
          <w:rFonts w:ascii="Arial Narrow" w:eastAsia="Times New Roman" w:hAnsi="Arial Narrow" w:cs="Times New Roman"/>
          <w:b/>
          <w:bCs/>
          <w:sz w:val="20"/>
          <w:szCs w:val="20"/>
        </w:rPr>
        <w:t xml:space="preserve">Description of populations included in the assessment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Description of populations included in the assessment, as detailed in the ratifid PICO document"/>
        <w:tblDescription w:val="A list with description of the five popualtions included in the assessment:1. Indiviual WEA for children with isolated hearing impairment; 2. trio WEA for the child and their biological parents; 3. reanalysis of WEA data for the child with hearing impairment; 4. cascade testing for biological relative; 5. single gene testing for reproductive partners of an individual with a confirmed hearing impairment variant"/>
      </w:tblPr>
      <w:tblGrid>
        <w:gridCol w:w="1271"/>
        <w:gridCol w:w="3330"/>
        <w:gridCol w:w="4415"/>
      </w:tblGrid>
      <w:tr w:rsidR="002C695C" w:rsidRPr="002C695C" w14:paraId="04F4D6F3" w14:textId="77777777" w:rsidTr="00175863">
        <w:trPr>
          <w:tblHeader/>
        </w:trPr>
        <w:tc>
          <w:tcPr>
            <w:tcW w:w="1271" w:type="dxa"/>
          </w:tcPr>
          <w:p w14:paraId="462DC8C1" w14:textId="77777777" w:rsidR="002C695C" w:rsidRPr="002C695C" w:rsidRDefault="002C695C" w:rsidP="00ED5CB7">
            <w:pPr>
              <w:keepNext/>
              <w:keepLines/>
              <w:spacing w:after="60" w:line="240" w:lineRule="auto"/>
              <w:rPr>
                <w:rFonts w:ascii="Arial Narrow" w:hAnsi="Arial Narrow"/>
                <w:b/>
                <w:sz w:val="20"/>
              </w:rPr>
            </w:pPr>
            <w:r w:rsidRPr="002C695C">
              <w:rPr>
                <w:rFonts w:ascii="Arial Narrow" w:hAnsi="Arial Narrow"/>
                <w:b/>
                <w:sz w:val="20"/>
              </w:rPr>
              <w:t>PICO set</w:t>
            </w:r>
          </w:p>
        </w:tc>
        <w:tc>
          <w:tcPr>
            <w:tcW w:w="3330" w:type="dxa"/>
          </w:tcPr>
          <w:p w14:paraId="657B61F6" w14:textId="77777777" w:rsidR="002C695C" w:rsidRPr="002C695C" w:rsidRDefault="002C695C" w:rsidP="00ED5CB7">
            <w:pPr>
              <w:keepNext/>
              <w:keepLines/>
              <w:spacing w:after="60" w:line="240" w:lineRule="auto"/>
              <w:rPr>
                <w:rFonts w:ascii="Arial Narrow" w:hAnsi="Arial Narrow"/>
                <w:b/>
                <w:sz w:val="20"/>
              </w:rPr>
            </w:pPr>
            <w:r w:rsidRPr="002C695C">
              <w:rPr>
                <w:rFonts w:ascii="Arial Narrow" w:hAnsi="Arial Narrow"/>
                <w:b/>
                <w:sz w:val="20"/>
              </w:rPr>
              <w:t>Population for intervention</w:t>
            </w:r>
          </w:p>
        </w:tc>
        <w:tc>
          <w:tcPr>
            <w:tcW w:w="4415" w:type="dxa"/>
          </w:tcPr>
          <w:p w14:paraId="496A1001" w14:textId="77777777" w:rsidR="002C695C" w:rsidRPr="002C695C" w:rsidRDefault="002C695C" w:rsidP="00ED5CB7">
            <w:pPr>
              <w:keepNext/>
              <w:keepLines/>
              <w:spacing w:after="60" w:line="240" w:lineRule="auto"/>
              <w:rPr>
                <w:rFonts w:ascii="Arial Narrow" w:hAnsi="Arial Narrow"/>
                <w:b/>
                <w:sz w:val="20"/>
              </w:rPr>
            </w:pPr>
            <w:r w:rsidRPr="002C695C">
              <w:rPr>
                <w:rFonts w:ascii="Arial Narrow" w:hAnsi="Arial Narrow"/>
                <w:b/>
                <w:sz w:val="20"/>
              </w:rPr>
              <w:t>Population for comparator</w:t>
            </w:r>
          </w:p>
        </w:tc>
      </w:tr>
      <w:tr w:rsidR="002C695C" w:rsidRPr="002C695C" w14:paraId="0102EC5D" w14:textId="77777777" w:rsidTr="00175863">
        <w:tc>
          <w:tcPr>
            <w:tcW w:w="1271" w:type="dxa"/>
            <w:hideMark/>
          </w:tcPr>
          <w:p w14:paraId="3FE6E0EC" w14:textId="77777777" w:rsidR="002C695C" w:rsidRPr="002C695C" w:rsidRDefault="002C695C" w:rsidP="00ED5CB7">
            <w:pPr>
              <w:keepNext/>
              <w:keepLines/>
              <w:spacing w:before="40" w:after="40" w:line="240" w:lineRule="auto"/>
              <w:rPr>
                <w:rFonts w:ascii="Arial Narrow" w:hAnsi="Arial Narrow"/>
                <w:sz w:val="20"/>
              </w:rPr>
            </w:pPr>
            <w:r w:rsidRPr="002C695C">
              <w:rPr>
                <w:rFonts w:ascii="Arial Narrow" w:hAnsi="Arial Narrow"/>
                <w:sz w:val="20"/>
              </w:rPr>
              <w:t>PICO Set 1 - Newborns</w:t>
            </w:r>
          </w:p>
        </w:tc>
        <w:tc>
          <w:tcPr>
            <w:tcW w:w="3330" w:type="dxa"/>
          </w:tcPr>
          <w:p w14:paraId="174FA3DD" w14:textId="67ACB887" w:rsidR="002C695C" w:rsidRPr="002C695C" w:rsidRDefault="002C695C" w:rsidP="00ED5CB7">
            <w:pPr>
              <w:keepNext/>
              <w:keepLines/>
              <w:spacing w:before="40" w:after="40" w:line="240" w:lineRule="auto"/>
              <w:rPr>
                <w:rFonts w:ascii="Arial Narrow" w:hAnsi="Arial Narrow"/>
                <w:sz w:val="20"/>
              </w:rPr>
            </w:pPr>
            <w:r w:rsidRPr="002C695C">
              <w:rPr>
                <w:rFonts w:ascii="Arial Narrow" w:hAnsi="Arial Narrow"/>
                <w:sz w:val="20"/>
              </w:rPr>
              <w:t>All newborn babies in Australia</w:t>
            </w:r>
            <w:r w:rsidR="00152087">
              <w:rPr>
                <w:rFonts w:ascii="Arial Narrow" w:hAnsi="Arial Narrow"/>
                <w:sz w:val="20"/>
              </w:rPr>
              <w:t xml:space="preserve"> screened through NBS</w:t>
            </w:r>
          </w:p>
        </w:tc>
        <w:tc>
          <w:tcPr>
            <w:tcW w:w="4415" w:type="dxa"/>
          </w:tcPr>
          <w:p w14:paraId="654E1EDD" w14:textId="06902F76" w:rsidR="002C695C" w:rsidRPr="002C695C" w:rsidRDefault="002C695C" w:rsidP="00ED5CB7">
            <w:pPr>
              <w:keepNext/>
              <w:keepLines/>
              <w:spacing w:before="40" w:after="40" w:line="240" w:lineRule="auto"/>
              <w:rPr>
                <w:rFonts w:ascii="Arial Narrow" w:hAnsi="Arial Narrow"/>
                <w:sz w:val="20"/>
              </w:rPr>
            </w:pPr>
            <w:r w:rsidRPr="002C695C">
              <w:rPr>
                <w:rFonts w:ascii="Arial Narrow" w:hAnsi="Arial Narrow"/>
                <w:sz w:val="20"/>
              </w:rPr>
              <w:t xml:space="preserve">Affected individuals being investigated for </w:t>
            </w:r>
            <w:r w:rsidR="00526F94">
              <w:rPr>
                <w:rFonts w:ascii="Arial Narrow" w:hAnsi="Arial Narrow"/>
                <w:sz w:val="20"/>
              </w:rPr>
              <w:t>GSD II</w:t>
            </w:r>
            <w:r w:rsidRPr="002C695C">
              <w:rPr>
                <w:rFonts w:ascii="Arial Narrow" w:hAnsi="Arial Narrow"/>
                <w:sz w:val="20"/>
              </w:rPr>
              <w:t xml:space="preserve"> due to signs/symptoms</w:t>
            </w:r>
          </w:p>
        </w:tc>
      </w:tr>
      <w:tr w:rsidR="002C695C" w:rsidRPr="002C695C" w14:paraId="5C222B38" w14:textId="77777777" w:rsidTr="00175863">
        <w:tc>
          <w:tcPr>
            <w:tcW w:w="1271" w:type="dxa"/>
            <w:hideMark/>
          </w:tcPr>
          <w:p w14:paraId="68326AB9" w14:textId="77777777" w:rsidR="002C695C" w:rsidRPr="002C695C" w:rsidRDefault="002C695C" w:rsidP="00ED5CB7">
            <w:pPr>
              <w:keepNext/>
              <w:keepLines/>
              <w:spacing w:before="40" w:after="40" w:line="240" w:lineRule="auto"/>
              <w:rPr>
                <w:rFonts w:ascii="Arial Narrow" w:hAnsi="Arial Narrow"/>
                <w:snapToGrid w:val="0"/>
                <w:sz w:val="20"/>
              </w:rPr>
            </w:pPr>
            <w:r w:rsidRPr="002C695C">
              <w:rPr>
                <w:rFonts w:ascii="Arial Narrow" w:hAnsi="Arial Narrow"/>
                <w:snapToGrid w:val="0"/>
                <w:sz w:val="20"/>
              </w:rPr>
              <w:t>PICO Set 2 – Family members</w:t>
            </w:r>
          </w:p>
        </w:tc>
        <w:tc>
          <w:tcPr>
            <w:tcW w:w="3330" w:type="dxa"/>
          </w:tcPr>
          <w:p w14:paraId="71352B39" w14:textId="3C04CA07" w:rsidR="002C695C" w:rsidRPr="002C695C" w:rsidRDefault="002C695C" w:rsidP="00ED5CB7">
            <w:pPr>
              <w:keepNext/>
              <w:keepLines/>
              <w:spacing w:before="40" w:after="40" w:line="240" w:lineRule="auto"/>
              <w:rPr>
                <w:rFonts w:ascii="Arial Narrow" w:hAnsi="Arial Narrow"/>
                <w:snapToGrid w:val="0"/>
                <w:sz w:val="20"/>
                <w:szCs w:val="20"/>
              </w:rPr>
            </w:pPr>
            <w:r w:rsidRPr="02E2EE7D">
              <w:rPr>
                <w:rFonts w:ascii="Arial Narrow" w:hAnsi="Arial Narrow"/>
                <w:snapToGrid w:val="0"/>
                <w:sz w:val="20"/>
                <w:szCs w:val="20"/>
              </w:rPr>
              <w:t>Biological parents and siblings of an index case</w:t>
            </w:r>
            <w:bookmarkStart w:id="17" w:name="_Ref184646659"/>
            <w:r w:rsidR="00BA7835" w:rsidRPr="02E2EE7D">
              <w:rPr>
                <w:rStyle w:val="FootnoteReference"/>
                <w:rFonts w:ascii="Arial Narrow" w:hAnsi="Arial Narrow"/>
                <w:snapToGrid w:val="0"/>
                <w:sz w:val="20"/>
                <w:szCs w:val="20"/>
              </w:rPr>
              <w:footnoteReference w:id="16"/>
            </w:r>
            <w:bookmarkEnd w:id="17"/>
            <w:r w:rsidRPr="02E2EE7D">
              <w:rPr>
                <w:rFonts w:ascii="Arial Narrow" w:hAnsi="Arial Narrow"/>
                <w:snapToGrid w:val="0"/>
                <w:sz w:val="20"/>
                <w:szCs w:val="20"/>
              </w:rPr>
              <w:t xml:space="preserve"> identified through NBS with two pathogenic/likely pathogenic (P/LP) variants</w:t>
            </w:r>
            <w:r w:rsidR="00526F94" w:rsidRPr="02E2EE7D">
              <w:rPr>
                <w:rFonts w:ascii="Arial Narrow" w:hAnsi="Arial Narrow"/>
                <w:snapToGrid w:val="0"/>
                <w:sz w:val="20"/>
                <w:szCs w:val="20"/>
              </w:rPr>
              <w:t>,</w:t>
            </w:r>
            <w:r w:rsidRPr="02E2EE7D">
              <w:rPr>
                <w:rFonts w:ascii="Arial Narrow" w:hAnsi="Arial Narrow"/>
                <w:snapToGrid w:val="0"/>
                <w:sz w:val="20"/>
                <w:szCs w:val="20"/>
              </w:rPr>
              <w:t xml:space="preserve"> one P/LP variant and one </w:t>
            </w:r>
            <w:r w:rsidR="00E55372" w:rsidRPr="02E2EE7D">
              <w:rPr>
                <w:rFonts w:ascii="Arial Narrow" w:hAnsi="Arial Narrow"/>
                <w:snapToGrid w:val="0"/>
                <w:sz w:val="20"/>
                <w:szCs w:val="20"/>
              </w:rPr>
              <w:t>v</w:t>
            </w:r>
            <w:r w:rsidR="00295AC7" w:rsidRPr="02E2EE7D">
              <w:rPr>
                <w:rFonts w:ascii="Arial Narrow" w:hAnsi="Arial Narrow"/>
                <w:snapToGrid w:val="0"/>
                <w:sz w:val="20"/>
                <w:szCs w:val="20"/>
              </w:rPr>
              <w:t xml:space="preserve">ariant of uncertain </w:t>
            </w:r>
            <w:r w:rsidR="00BA7835" w:rsidRPr="02E2EE7D">
              <w:rPr>
                <w:rFonts w:ascii="Arial Narrow" w:hAnsi="Arial Narrow"/>
                <w:snapToGrid w:val="0"/>
                <w:sz w:val="20"/>
                <w:szCs w:val="20"/>
              </w:rPr>
              <w:t>significance (</w:t>
            </w:r>
            <w:r w:rsidRPr="02E2EE7D">
              <w:rPr>
                <w:rFonts w:ascii="Arial Narrow" w:hAnsi="Arial Narrow"/>
                <w:snapToGrid w:val="0"/>
                <w:sz w:val="20"/>
                <w:szCs w:val="20"/>
              </w:rPr>
              <w:t>VUS</w:t>
            </w:r>
            <w:r w:rsidR="00BA7835" w:rsidRPr="02E2EE7D">
              <w:rPr>
                <w:rFonts w:ascii="Arial Narrow" w:hAnsi="Arial Narrow"/>
                <w:snapToGrid w:val="0"/>
                <w:sz w:val="20"/>
                <w:szCs w:val="20"/>
              </w:rPr>
              <w:t>)</w:t>
            </w:r>
            <w:r w:rsidR="00526F94" w:rsidRPr="02E2EE7D">
              <w:rPr>
                <w:rFonts w:ascii="Arial Narrow" w:hAnsi="Arial Narrow"/>
                <w:snapToGrid w:val="0"/>
                <w:sz w:val="20"/>
                <w:szCs w:val="20"/>
              </w:rPr>
              <w:t>, or two VUS</w:t>
            </w:r>
            <w:r w:rsidR="00E55372" w:rsidRPr="02E2EE7D">
              <w:rPr>
                <w:rFonts w:ascii="Arial Narrow" w:hAnsi="Arial Narrow"/>
                <w:snapToGrid w:val="0"/>
                <w:sz w:val="20"/>
                <w:szCs w:val="20"/>
              </w:rPr>
              <w:t>s</w:t>
            </w:r>
            <w:r w:rsidRPr="02E2EE7D">
              <w:rPr>
                <w:rFonts w:ascii="Arial Narrow" w:hAnsi="Arial Narrow"/>
                <w:snapToGrid w:val="0"/>
                <w:sz w:val="20"/>
                <w:szCs w:val="20"/>
              </w:rPr>
              <w:t xml:space="preserve"> in the </w:t>
            </w:r>
            <w:r w:rsidRPr="02E2EE7D">
              <w:rPr>
                <w:rFonts w:ascii="Arial Narrow" w:hAnsi="Arial Narrow"/>
                <w:i/>
                <w:iCs/>
                <w:snapToGrid w:val="0"/>
                <w:sz w:val="20"/>
                <w:szCs w:val="20"/>
              </w:rPr>
              <w:t>GAA</w:t>
            </w:r>
            <w:r w:rsidRPr="02E2EE7D">
              <w:rPr>
                <w:rFonts w:ascii="Arial Narrow" w:hAnsi="Arial Narrow"/>
                <w:snapToGrid w:val="0"/>
                <w:sz w:val="20"/>
                <w:szCs w:val="20"/>
              </w:rPr>
              <w:t xml:space="preserve"> gene </w:t>
            </w:r>
          </w:p>
        </w:tc>
        <w:tc>
          <w:tcPr>
            <w:tcW w:w="4415" w:type="dxa"/>
          </w:tcPr>
          <w:p w14:paraId="1FC82438" w14:textId="20C78B3F" w:rsidR="002C695C" w:rsidRPr="002C695C" w:rsidRDefault="002C695C" w:rsidP="00ED5CB7">
            <w:pPr>
              <w:keepNext/>
              <w:keepLines/>
              <w:spacing w:before="40" w:after="40" w:line="240" w:lineRule="auto"/>
              <w:rPr>
                <w:rFonts w:ascii="Arial Narrow" w:hAnsi="Arial Narrow"/>
                <w:i/>
                <w:iCs/>
                <w:snapToGrid w:val="0"/>
                <w:sz w:val="20"/>
                <w:szCs w:val="20"/>
              </w:rPr>
            </w:pPr>
            <w:r w:rsidRPr="02E2EE7D">
              <w:rPr>
                <w:rFonts w:ascii="Arial Narrow" w:hAnsi="Arial Narrow"/>
                <w:snapToGrid w:val="0"/>
                <w:sz w:val="20"/>
                <w:szCs w:val="20"/>
              </w:rPr>
              <w:t>Biological parents and siblings of a proband</w:t>
            </w:r>
            <w:r w:rsidR="006C217D" w:rsidRPr="02E2EE7D">
              <w:rPr>
                <w:rStyle w:val="FootnoteReference"/>
                <w:rFonts w:ascii="Arial Narrow" w:hAnsi="Arial Narrow"/>
                <w:snapToGrid w:val="0"/>
                <w:sz w:val="20"/>
                <w:szCs w:val="20"/>
              </w:rPr>
              <w:footnoteReference w:id="17"/>
            </w:r>
            <w:r w:rsidRPr="02E2EE7D">
              <w:rPr>
                <w:rFonts w:ascii="Arial Narrow" w:hAnsi="Arial Narrow"/>
                <w:snapToGrid w:val="0"/>
                <w:sz w:val="20"/>
                <w:szCs w:val="20"/>
              </w:rPr>
              <w:t xml:space="preserve"> identified after symptom onset with two pathogenic/likely pathogenic (P/LP) variants</w:t>
            </w:r>
            <w:r w:rsidR="00526F94" w:rsidRPr="02E2EE7D">
              <w:rPr>
                <w:rFonts w:ascii="Arial Narrow" w:hAnsi="Arial Narrow"/>
                <w:snapToGrid w:val="0"/>
                <w:sz w:val="20"/>
                <w:szCs w:val="20"/>
              </w:rPr>
              <w:t>,</w:t>
            </w:r>
            <w:r w:rsidRPr="02E2EE7D">
              <w:rPr>
                <w:rFonts w:ascii="Arial Narrow" w:hAnsi="Arial Narrow"/>
                <w:snapToGrid w:val="0"/>
                <w:sz w:val="20"/>
                <w:szCs w:val="20"/>
              </w:rPr>
              <w:t xml:space="preserve"> one P/LP variant and one VUS</w:t>
            </w:r>
            <w:r w:rsidR="00526F94" w:rsidRPr="02E2EE7D">
              <w:rPr>
                <w:rFonts w:ascii="Arial Narrow" w:hAnsi="Arial Narrow"/>
                <w:snapToGrid w:val="0"/>
                <w:sz w:val="20"/>
                <w:szCs w:val="20"/>
              </w:rPr>
              <w:t>, or two VUS</w:t>
            </w:r>
            <w:r w:rsidRPr="02E2EE7D">
              <w:rPr>
                <w:rFonts w:ascii="Arial Narrow" w:hAnsi="Arial Narrow"/>
                <w:snapToGrid w:val="0"/>
                <w:sz w:val="20"/>
                <w:szCs w:val="20"/>
              </w:rPr>
              <w:t xml:space="preserve"> in the</w:t>
            </w:r>
            <w:r w:rsidRPr="02E2EE7D">
              <w:rPr>
                <w:rFonts w:ascii="Arial Narrow" w:hAnsi="Arial Narrow"/>
                <w:i/>
                <w:iCs/>
                <w:snapToGrid w:val="0"/>
                <w:sz w:val="20"/>
                <w:szCs w:val="20"/>
              </w:rPr>
              <w:t xml:space="preserve"> GAA</w:t>
            </w:r>
            <w:r w:rsidRPr="02E2EE7D">
              <w:rPr>
                <w:rFonts w:ascii="Arial Narrow" w:hAnsi="Arial Narrow"/>
                <w:snapToGrid w:val="0"/>
                <w:sz w:val="20"/>
                <w:szCs w:val="20"/>
              </w:rPr>
              <w:t xml:space="preserve"> gene </w:t>
            </w:r>
            <w:r w:rsidR="7D1AC0C1" w:rsidRPr="02E2EE7D">
              <w:rPr>
                <w:rFonts w:ascii="Arial Narrow" w:hAnsi="Arial Narrow"/>
                <w:i/>
                <w:iCs/>
                <w:snapToGrid w:val="0"/>
                <w:sz w:val="20"/>
                <w:szCs w:val="20"/>
              </w:rPr>
              <w:t xml:space="preserve">(noting that if 1 or 2 VUSs </w:t>
            </w:r>
            <w:r w:rsidR="388B019D" w:rsidRPr="02E2EE7D">
              <w:rPr>
                <w:rFonts w:ascii="Arial Narrow" w:hAnsi="Arial Narrow"/>
                <w:i/>
                <w:iCs/>
                <w:snapToGrid w:val="0"/>
                <w:sz w:val="20"/>
                <w:szCs w:val="20"/>
              </w:rPr>
              <w:t>are</w:t>
            </w:r>
            <w:r w:rsidR="7D1AC0C1" w:rsidRPr="02E2EE7D">
              <w:rPr>
                <w:rFonts w:ascii="Arial Narrow" w:hAnsi="Arial Narrow"/>
                <w:i/>
                <w:iCs/>
                <w:snapToGrid w:val="0"/>
                <w:sz w:val="20"/>
                <w:szCs w:val="20"/>
              </w:rPr>
              <w:t xml:space="preserve"> identified in a symptomatic patient, </w:t>
            </w:r>
            <w:r w:rsidR="258BDA24" w:rsidRPr="02E2EE7D">
              <w:rPr>
                <w:rFonts w:ascii="Arial Narrow" w:hAnsi="Arial Narrow"/>
                <w:i/>
                <w:iCs/>
                <w:snapToGrid w:val="0"/>
                <w:sz w:val="20"/>
                <w:szCs w:val="20"/>
              </w:rPr>
              <w:t>they</w:t>
            </w:r>
            <w:r w:rsidR="7D1AC0C1" w:rsidRPr="02E2EE7D">
              <w:rPr>
                <w:rFonts w:ascii="Arial Narrow" w:hAnsi="Arial Narrow"/>
                <w:i/>
                <w:iCs/>
                <w:snapToGrid w:val="0"/>
                <w:sz w:val="20"/>
                <w:szCs w:val="20"/>
              </w:rPr>
              <w:t xml:space="preserve"> would be reclassified </w:t>
            </w:r>
            <w:r w:rsidR="29952708" w:rsidRPr="02E2EE7D">
              <w:rPr>
                <w:rFonts w:ascii="Arial Narrow" w:hAnsi="Arial Narrow"/>
                <w:i/>
                <w:iCs/>
                <w:snapToGrid w:val="0"/>
                <w:sz w:val="20"/>
                <w:szCs w:val="20"/>
              </w:rPr>
              <w:t>as</w:t>
            </w:r>
            <w:r w:rsidR="7D1AC0C1" w:rsidRPr="02E2EE7D">
              <w:rPr>
                <w:rFonts w:ascii="Arial Narrow" w:hAnsi="Arial Narrow"/>
                <w:i/>
                <w:iCs/>
                <w:snapToGrid w:val="0"/>
                <w:sz w:val="20"/>
                <w:szCs w:val="20"/>
              </w:rPr>
              <w:t xml:space="preserve"> P/LP)</w:t>
            </w:r>
          </w:p>
        </w:tc>
      </w:tr>
    </w:tbl>
    <w:p w14:paraId="653EC621" w14:textId="5C6D5D93" w:rsidR="008D1AF8" w:rsidRDefault="008A4289" w:rsidP="00ED5CB7">
      <w:pPr>
        <w:pStyle w:val="Tablenotes"/>
        <w:keepNext/>
        <w:keepLines/>
      </w:pPr>
      <w:r w:rsidRPr="02E2EE7D">
        <w:rPr>
          <w:i/>
          <w:iCs/>
        </w:rPr>
        <w:t>GAA = acid alpha-glucosidase</w:t>
      </w:r>
      <w:r w:rsidRPr="02E2EE7D">
        <w:t xml:space="preserve">; GSD II = glycogen storage disease Type II; NBS = newborn bloodspot screening; P/LP = pathogenic or likely pathogenic (variant); PICO = Population/Intervention/Comparator/Outcomes; VUS = </w:t>
      </w:r>
      <w:r w:rsidR="00295AC7" w:rsidRPr="02E2EE7D">
        <w:t>Variants of uncertain s</w:t>
      </w:r>
      <w:r w:rsidRPr="02E2EE7D">
        <w:t>ignificance</w:t>
      </w:r>
    </w:p>
    <w:p w14:paraId="14C7741E" w14:textId="094F2F48" w:rsidR="00E74FCB" w:rsidRDefault="00A5799C" w:rsidP="002C695C">
      <w:pPr>
        <w:pStyle w:val="Heading3"/>
        <w:rPr>
          <w:sz w:val="26"/>
          <w:szCs w:val="26"/>
        </w:rPr>
      </w:pPr>
      <w:bookmarkStart w:id="18" w:name="_Toc184839265"/>
      <w:r w:rsidRPr="00A5799C">
        <w:t>P</w:t>
      </w:r>
      <w:r w:rsidR="002C695C">
        <w:t>ICO Set</w:t>
      </w:r>
      <w:r w:rsidRPr="00A5799C">
        <w:t xml:space="preserve"> 1: Newborns</w:t>
      </w:r>
      <w:bookmarkEnd w:id="18"/>
    </w:p>
    <w:p w14:paraId="641FA04B" w14:textId="70F7BC30" w:rsidR="00696981" w:rsidRDefault="00696981" w:rsidP="00696981">
      <w:r w:rsidRPr="02E2EE7D">
        <w:t xml:space="preserve">The target population for screening is all babies born in Australia who participate in universal NBS programs. NBS uptake is currently estimated at 99.3% of Australian newborns </w:t>
      </w:r>
      <w:r>
        <w:fldChar w:fldCharType="begin">
          <w:fldData xml:space="preserve">PEVuZE5vdGU+PENpdGU+PEF1dGhvcj5IdXluaDwvQXV0aG9yPjxZZWFyPjIwMjI8L1llYXI+PFJl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==
</w:fldData>
        </w:fldChar>
      </w:r>
      <w:r>
        <w:instrText xml:space="preserve"> ADDIN EN.CITE </w:instrText>
      </w:r>
      <w:r>
        <w:fldChar w:fldCharType="begin">
          <w:fldData xml:space="preserve">PEVuZE5vdGU+PENpdGU+PEF1dGhvcj5IdXluaDwvQXV0aG9yPjxZZWFyPjIwMjI8L1llYXI+PFJl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==
</w:fldData>
        </w:fldChar>
      </w:r>
      <w:r>
        <w:instrText xml:space="preserve"> ADDIN EN.CITE.DATA </w:instrText>
      </w:r>
      <w:r>
        <w:fldChar w:fldCharType="end"/>
      </w:r>
      <w:r>
        <w:fldChar w:fldCharType="separate"/>
      </w:r>
      <w:r w:rsidR="00D0543B" w:rsidRPr="02E2EE7D">
        <w:rPr>
          <w:noProof/>
        </w:rPr>
        <w:t>(Huynh et al. 2022)</w:t>
      </w:r>
      <w:r>
        <w:fldChar w:fldCharType="end"/>
      </w:r>
      <w:r w:rsidRPr="02E2EE7D">
        <w:t xml:space="preserve">. </w:t>
      </w:r>
    </w:p>
    <w:p w14:paraId="3CB5A82C" w14:textId="16810701" w:rsidR="00696981" w:rsidRDefault="00696981" w:rsidP="00696981">
      <w:r w:rsidRPr="02E2EE7D">
        <w:t xml:space="preserve">GSD II is </w:t>
      </w:r>
      <w:r w:rsidR="00693EDF" w:rsidRPr="02E2EE7D">
        <w:t>an</w:t>
      </w:r>
      <w:r w:rsidRPr="02E2EE7D">
        <w:t xml:space="preserve"> LSD that leads to progressive neuromuscular deterioration and often death when untreated. GSD II is caused by an inherited deficiency of the lysosomal enzyme alpha-glucosidase which is required to break down glycogen. Pathogenic</w:t>
      </w:r>
      <w:r w:rsidR="006C217D" w:rsidRPr="02E2EE7D">
        <w:t>/likely pathogenic</w:t>
      </w:r>
      <w:r w:rsidRPr="02E2EE7D">
        <w:t xml:space="preserve"> </w:t>
      </w:r>
      <w:r w:rsidR="0040471B" w:rsidRPr="02E2EE7D">
        <w:t xml:space="preserve">(P/LP) </w:t>
      </w:r>
      <w:r w:rsidRPr="02E2EE7D">
        <w:t>variants of the alpha-glucosidase gene (</w:t>
      </w:r>
      <w:r w:rsidRPr="02E2EE7D">
        <w:rPr>
          <w:i/>
          <w:iCs/>
        </w:rPr>
        <w:t>GAA</w:t>
      </w:r>
      <w:r w:rsidRPr="02E2EE7D">
        <w:t xml:space="preserve">) cause reduced </w:t>
      </w:r>
      <w:r w:rsidR="001B0333" w:rsidRPr="02E2EE7D">
        <w:t>functionality</w:t>
      </w:r>
      <w:r w:rsidRPr="02E2EE7D">
        <w:t xml:space="preserve"> of the gene and hence a deficiency of the enzyme</w:t>
      </w:r>
      <w:r w:rsidR="001B0333" w:rsidRPr="02E2EE7D">
        <w:t>.</w:t>
      </w:r>
      <w:r w:rsidRPr="02E2EE7D">
        <w:t xml:space="preserve"> </w:t>
      </w:r>
      <w:r w:rsidR="00152087" w:rsidRPr="02E2EE7D">
        <w:t>Benign</w:t>
      </w:r>
      <w:r w:rsidRPr="02E2EE7D">
        <w:t xml:space="preserve"> variants, variants of uncertain significance (VUS) and </w:t>
      </w:r>
      <w:proofErr w:type="spellStart"/>
      <w:r w:rsidRPr="02E2EE7D">
        <w:t>pseudodeficiency</w:t>
      </w:r>
      <w:proofErr w:type="spellEnd"/>
      <w:r w:rsidRPr="02E2EE7D">
        <w:t xml:space="preserve"> variants are also identified through genetic sequencing. </w:t>
      </w:r>
      <w:proofErr w:type="spellStart"/>
      <w:r w:rsidRPr="02E2EE7D">
        <w:t>Pseudodeficiency</w:t>
      </w:r>
      <w:proofErr w:type="spellEnd"/>
      <w:r w:rsidRPr="02E2EE7D">
        <w:t xml:space="preserve"> </w:t>
      </w:r>
      <w:r w:rsidRPr="02E2EE7D">
        <w:rPr>
          <w:i/>
          <w:iCs/>
        </w:rPr>
        <w:t xml:space="preserve">GAA </w:t>
      </w:r>
      <w:r w:rsidR="001B0333" w:rsidRPr="02E2EE7D">
        <w:t xml:space="preserve">gene </w:t>
      </w:r>
      <w:r w:rsidRPr="02E2EE7D">
        <w:t xml:space="preserve">variants are associated with lower GAA enzyme levels, but do not </w:t>
      </w:r>
      <w:r w:rsidR="001B0333" w:rsidRPr="02E2EE7D">
        <w:t>lead to symptomatic disease</w:t>
      </w:r>
      <w:r w:rsidR="00A83098" w:rsidRPr="02E2EE7D">
        <w:t xml:space="preserve"> – individuals with such variants are </w:t>
      </w:r>
      <w:r w:rsidR="003F4D50" w:rsidRPr="02E2EE7D">
        <w:t xml:space="preserve">do not require ERT </w:t>
      </w:r>
      <w:r w:rsidR="003F4D50">
        <w:t xml:space="preserve">and are </w:t>
      </w:r>
      <w:r w:rsidR="00A83098" w:rsidRPr="02E2EE7D">
        <w:t xml:space="preserve">ineligible for </w:t>
      </w:r>
      <w:r w:rsidR="0036714B" w:rsidRPr="02E2EE7D">
        <w:t>LSDP-funded</w:t>
      </w:r>
      <w:r w:rsidRPr="02E2EE7D">
        <w:t xml:space="preserve"> </w:t>
      </w:r>
      <w:r w:rsidR="003F4D50" w:rsidRPr="02E2EE7D">
        <w:t>ERT therapy.</w:t>
      </w:r>
    </w:p>
    <w:p w14:paraId="754F1271" w14:textId="3BB9337F" w:rsidR="00696981" w:rsidRDefault="00696981" w:rsidP="00696981">
      <w:r w:rsidRPr="02E2EE7D">
        <w:t xml:space="preserve">The two main </w:t>
      </w:r>
      <w:r w:rsidR="00A83098" w:rsidRPr="02E2EE7D">
        <w:t xml:space="preserve">phenotypic </w:t>
      </w:r>
      <w:r w:rsidRPr="02E2EE7D">
        <w:t>categories of clinically determined GSD II are infantile-onset (</w:t>
      </w:r>
      <w:r w:rsidR="00ED1976" w:rsidRPr="02E2EE7D">
        <w:t>IOGSD II</w:t>
      </w:r>
      <w:r w:rsidRPr="02E2EE7D">
        <w:t>) and late-onset (</w:t>
      </w:r>
      <w:r w:rsidR="00ED1976" w:rsidRPr="02E2EE7D">
        <w:t>LOGSD II</w:t>
      </w:r>
      <w:r w:rsidRPr="02E2EE7D">
        <w:t>). All cases have the potential to be identified through universal NBS</w:t>
      </w:r>
      <w:r w:rsidR="001B0333" w:rsidRPr="02E2EE7D">
        <w:t>,</w:t>
      </w:r>
      <w:r w:rsidRPr="02E2EE7D">
        <w:t xml:space="preserve"> however screening may </w:t>
      </w:r>
      <w:r w:rsidR="0067359B" w:rsidRPr="02E2EE7D">
        <w:t>also</w:t>
      </w:r>
      <w:r w:rsidRPr="02E2EE7D">
        <w:t xml:space="preserve"> identify asymptomatic or uncertain cases that cannot be definitively </w:t>
      </w:r>
      <w:r w:rsidR="00A83098" w:rsidRPr="02E2EE7D">
        <w:t>predicted to</w:t>
      </w:r>
      <w:r w:rsidRPr="02E2EE7D">
        <w:t xml:space="preserve"> develop </w:t>
      </w:r>
      <w:r w:rsidR="00A83098" w:rsidRPr="02E2EE7D">
        <w:t>symptoms</w:t>
      </w:r>
      <w:r w:rsidRPr="02E2EE7D">
        <w:t xml:space="preserve"> late</w:t>
      </w:r>
      <w:r w:rsidR="00A83098" w:rsidRPr="02E2EE7D">
        <w:t>r</w:t>
      </w:r>
      <w:r w:rsidRPr="02E2EE7D">
        <w:t xml:space="preserve"> in life</w:t>
      </w:r>
      <w:r w:rsidR="00A83098" w:rsidRPr="02E2EE7D">
        <w:t>, or the severity of disease in those who do develop symptoms</w:t>
      </w:r>
      <w:r w:rsidRPr="02E2EE7D">
        <w:t>.</w:t>
      </w:r>
      <w:r w:rsidR="2455F402" w:rsidRPr="02E2EE7D">
        <w:t xml:space="preserve"> </w:t>
      </w:r>
      <w:r w:rsidR="00CB41BA" w:rsidRPr="02E2EE7D">
        <w:t>Screening</w:t>
      </w:r>
      <w:r w:rsidR="003F4D50">
        <w:t xml:space="preserve">, </w:t>
      </w:r>
      <w:r w:rsidR="00CB41BA" w:rsidRPr="02E2EE7D">
        <w:t xml:space="preserve">followed by </w:t>
      </w:r>
      <w:r w:rsidR="003F4D50">
        <w:t xml:space="preserve">clinical assessment and further </w:t>
      </w:r>
      <w:r w:rsidR="00CB41BA" w:rsidRPr="02E2EE7D">
        <w:t>diagnostic testing</w:t>
      </w:r>
      <w:r w:rsidR="003F4D50">
        <w:t>,</w:t>
      </w:r>
      <w:r w:rsidR="003F4D50" w:rsidRPr="02E2EE7D">
        <w:t xml:space="preserve"> </w:t>
      </w:r>
      <w:r w:rsidR="00CB41BA" w:rsidRPr="02E2EE7D">
        <w:t>can differentiate between individuals with IOGSD II and LOGSD II, but cannot determine all individuals LOGSD II who will not become symptomatic</w:t>
      </w:r>
      <w:r w:rsidR="00362F2A" w:rsidRPr="02E2EE7D">
        <w:t xml:space="preserve"> (i.e. it cannot always distinguish between LOGSD II and a </w:t>
      </w:r>
      <w:proofErr w:type="spellStart"/>
      <w:r w:rsidR="00362F2A" w:rsidRPr="02E2EE7D">
        <w:t>pseudodeficiency</w:t>
      </w:r>
      <w:proofErr w:type="spellEnd"/>
      <w:r w:rsidR="00362F2A" w:rsidRPr="02E2EE7D">
        <w:t>)</w:t>
      </w:r>
      <w:r w:rsidR="00CB41BA" w:rsidRPr="02E2EE7D">
        <w:t xml:space="preserve">. The </w:t>
      </w:r>
      <w:r w:rsidR="00362F2A" w:rsidRPr="02E2EE7D">
        <w:t xml:space="preserve">uncertainty around the risk of </w:t>
      </w:r>
      <w:r w:rsidR="00CB41BA" w:rsidRPr="02E2EE7D">
        <w:t xml:space="preserve">LOGSD II </w:t>
      </w:r>
      <w:r w:rsidR="00362F2A" w:rsidRPr="02E2EE7D">
        <w:t>is due to</w:t>
      </w:r>
      <w:r w:rsidR="00F041D4" w:rsidRPr="02E2EE7D">
        <w:t xml:space="preserve"> the lack of information about some variants, and due to the highly variable individual phenotypic expression of some variants and genotypes.</w:t>
      </w:r>
      <w:r w:rsidR="00CB41BA" w:rsidRPr="02E2EE7D">
        <w:t xml:space="preserve"> </w:t>
      </w:r>
      <w:r w:rsidR="00C60A0D" w:rsidRPr="02E2EE7D">
        <w:t xml:space="preserve">In Australia, the implementation of NBS </w:t>
      </w:r>
      <w:r w:rsidR="006E4DB4" w:rsidRPr="02E2EE7D">
        <w:t>may</w:t>
      </w:r>
      <w:r w:rsidR="2455F402" w:rsidRPr="02E2EE7D">
        <w:t xml:space="preserve"> result in</w:t>
      </w:r>
      <w:r w:rsidR="00C60A0D" w:rsidRPr="02E2EE7D">
        <w:t xml:space="preserve"> 1.28 cases per 308,000 births </w:t>
      </w:r>
      <w:r w:rsidR="003F4D50">
        <w:t xml:space="preserve">each year </w:t>
      </w:r>
      <w:r w:rsidR="00C60A0D" w:rsidRPr="02E2EE7D">
        <w:t xml:space="preserve">having </w:t>
      </w:r>
      <w:r w:rsidR="003F4D50">
        <w:t xml:space="preserve">a positive test </w:t>
      </w:r>
      <w:r w:rsidR="0036714B" w:rsidRPr="02E2EE7D">
        <w:t>for</w:t>
      </w:r>
      <w:r w:rsidR="2455F402" w:rsidRPr="02E2EE7D">
        <w:t xml:space="preserve"> IOGSD II and </w:t>
      </w:r>
      <w:r w:rsidR="00497EDD">
        <w:t>10</w:t>
      </w:r>
      <w:r w:rsidR="00A12224" w:rsidRPr="02E2EE7D">
        <w:t xml:space="preserve"> </w:t>
      </w:r>
      <w:r w:rsidR="00C60A0D" w:rsidRPr="02E2EE7D">
        <w:t>cases</w:t>
      </w:r>
      <w:r w:rsidR="2455F402" w:rsidRPr="02E2EE7D">
        <w:t xml:space="preserve"> </w:t>
      </w:r>
      <w:r w:rsidR="00603080">
        <w:t>being diagnosed with</w:t>
      </w:r>
      <w:r w:rsidR="00497EDD">
        <w:t xml:space="preserve"> </w:t>
      </w:r>
      <w:r w:rsidR="2455F402" w:rsidRPr="02E2EE7D">
        <w:t xml:space="preserve">LOGSD II. </w:t>
      </w:r>
    </w:p>
    <w:p w14:paraId="75835E93" w14:textId="227573F7" w:rsidR="00696981" w:rsidRDefault="00ED1976" w:rsidP="00696981">
      <w:r w:rsidRPr="02E2EE7D">
        <w:t>IOGSD II is the most severe form of the disease and is associated with very low or no GAA</w:t>
      </w:r>
      <w:r w:rsidRPr="02E2EE7D">
        <w:rPr>
          <w:i/>
          <w:iCs/>
        </w:rPr>
        <w:t xml:space="preserve"> </w:t>
      </w:r>
      <w:r w:rsidRPr="02E2EE7D">
        <w:t>activity</w:t>
      </w:r>
      <w:r w:rsidR="005F587C">
        <w:t xml:space="preserve"> (although noting some cases of LOSGD II also have low GAA activity)</w:t>
      </w:r>
      <w:r w:rsidR="00080CE4" w:rsidRPr="02E2EE7D">
        <w:t>.</w:t>
      </w:r>
      <w:r w:rsidRPr="02E2EE7D">
        <w:t xml:space="preserve"> IOGSD II is distinguished by the presence </w:t>
      </w:r>
      <w:r w:rsidR="0067359B" w:rsidRPr="02E2EE7D">
        <w:t xml:space="preserve">of symptoms </w:t>
      </w:r>
      <w:r w:rsidRPr="02E2EE7D">
        <w:t xml:space="preserve">at birth or early development of cardiomyopathy. </w:t>
      </w:r>
      <w:r w:rsidR="001B0333" w:rsidRPr="02E2EE7D">
        <w:t>S</w:t>
      </w:r>
      <w:r w:rsidR="00696981" w:rsidRPr="02E2EE7D">
        <w:t>evere symptoms</w:t>
      </w:r>
      <w:r w:rsidR="001B0333" w:rsidRPr="02E2EE7D">
        <w:t xml:space="preserve">, including </w:t>
      </w:r>
      <w:r w:rsidRPr="02E2EE7D">
        <w:t xml:space="preserve">severe cardiomegaly (enlarged heart), hypertrophic cardiomyopathy (thickening of the heart muscle), hypotonia (low muscle tone), and respiratory problems that eventually require </w:t>
      </w:r>
      <w:r w:rsidR="002B3451" w:rsidRPr="02E2EE7D">
        <w:t>a ventilator</w:t>
      </w:r>
      <w:r w:rsidR="001B0333" w:rsidRPr="02E2EE7D">
        <w:t>,</w:t>
      </w:r>
      <w:r w:rsidR="00696981" w:rsidRPr="02E2EE7D">
        <w:t xml:space="preserve"> appear within the first few months of life. Without treatment, most patients have unremitting deterioration and will die within the first</w:t>
      </w:r>
      <w:r w:rsidR="00CA3848">
        <w:t xml:space="preserve"> year</w:t>
      </w:r>
      <w:r w:rsidR="00696981" w:rsidRPr="02E2EE7D">
        <w:t xml:space="preserve">. </w:t>
      </w:r>
    </w:p>
    <w:p w14:paraId="7D3CB734" w14:textId="3330CF1A" w:rsidR="0069060F" w:rsidRDefault="00ED1976" w:rsidP="02E2EE7D">
      <w:pPr>
        <w:rPr>
          <w:rFonts w:ascii="Segoe UI" w:hAnsi="Segoe UI" w:cs="Segoe UI"/>
        </w:rPr>
      </w:pPr>
      <w:r w:rsidRPr="02E2EE7D">
        <w:t>LOGSD II, t</w:t>
      </w:r>
      <w:r w:rsidR="00696981" w:rsidRPr="02E2EE7D">
        <w:t xml:space="preserve">he </w:t>
      </w:r>
      <w:r w:rsidRPr="02E2EE7D">
        <w:t>second disease</w:t>
      </w:r>
      <w:r w:rsidR="00696981" w:rsidRPr="02E2EE7D">
        <w:t xml:space="preserve"> category</w:t>
      </w:r>
      <w:r w:rsidR="00A57D88" w:rsidRPr="02E2EE7D">
        <w:t>,</w:t>
      </w:r>
      <w:r w:rsidR="00696981" w:rsidRPr="02E2EE7D">
        <w:t xml:space="preserve"> can be diagnosed at any age</w:t>
      </w:r>
      <w:r w:rsidRPr="02E2EE7D">
        <w:t>. A</w:t>
      </w:r>
      <w:r w:rsidR="00696981" w:rsidRPr="02E2EE7D">
        <w:t>n Australian study of children and adults being diagnosed with GSD II through the National Referral Laboratory between 2009 and 2020 report</w:t>
      </w:r>
      <w:r w:rsidR="00CB20E2" w:rsidRPr="02E2EE7D">
        <w:t>ed</w:t>
      </w:r>
      <w:r w:rsidR="00696981" w:rsidRPr="02E2EE7D">
        <w:t xml:space="preserve"> the age at diagnosis to range from 10 weeks to 69.7 years (median age 36 years</w:t>
      </w:r>
      <w:r w:rsidR="008B47C4">
        <w:t>, Chin et al 2021</w:t>
      </w:r>
      <w:r w:rsidR="00696981" w:rsidRPr="02E2EE7D">
        <w:t>). Symptom</w:t>
      </w:r>
      <w:r w:rsidRPr="02E2EE7D">
        <w:t xml:space="preserve"> development is </w:t>
      </w:r>
      <w:r w:rsidR="00696981" w:rsidRPr="02E2EE7D">
        <w:t>s</w:t>
      </w:r>
      <w:r w:rsidRPr="02E2EE7D">
        <w:t>lower and variable, but they</w:t>
      </w:r>
      <w:r w:rsidR="00696981" w:rsidRPr="02E2EE7D">
        <w:t xml:space="preserve"> include</w:t>
      </w:r>
      <w:r w:rsidR="002F2464" w:rsidRPr="02E2EE7D">
        <w:t xml:space="preserve"> </w:t>
      </w:r>
      <w:r w:rsidR="00696981" w:rsidRPr="02E2EE7D">
        <w:t>muscle weakness</w:t>
      </w:r>
      <w:r w:rsidR="002F2464" w:rsidRPr="02E2EE7D">
        <w:t xml:space="preserve">, respiratory problems, </w:t>
      </w:r>
      <w:r w:rsidR="00696981" w:rsidRPr="02E2EE7D">
        <w:t>difficulty exercising</w:t>
      </w:r>
      <w:r w:rsidR="002F2464" w:rsidRPr="02E2EE7D">
        <w:t xml:space="preserve">, </w:t>
      </w:r>
      <w:r w:rsidR="00696981" w:rsidRPr="02E2EE7D">
        <w:t>and</w:t>
      </w:r>
      <w:r w:rsidR="002F2464" w:rsidRPr="02E2EE7D">
        <w:t xml:space="preserve"> </w:t>
      </w:r>
      <w:r w:rsidR="00696981" w:rsidRPr="02E2EE7D">
        <w:t xml:space="preserve">difficulty chewing or swallowing. Patients do not develop cardiomyopathy but </w:t>
      </w:r>
      <w:r w:rsidR="0069060F" w:rsidRPr="02E2EE7D">
        <w:t xml:space="preserve">can </w:t>
      </w:r>
      <w:r w:rsidR="00696981" w:rsidRPr="02E2EE7D">
        <w:t xml:space="preserve">have significant morbidity and mortality due to </w:t>
      </w:r>
      <w:r w:rsidR="00696981" w:rsidRPr="02E2EE7D">
        <w:rPr>
          <w:rFonts w:cs="Calibri"/>
        </w:rPr>
        <w:t>skeletal muscle myopathy and diaphragmatic insufficiency.</w:t>
      </w:r>
      <w:r w:rsidR="00696981" w:rsidRPr="02E2EE7D">
        <w:t xml:space="preserve"> </w:t>
      </w:r>
      <w:r w:rsidR="002F2464" w:rsidRPr="02E2EE7D">
        <w:t>T</w:t>
      </w:r>
      <w:r w:rsidR="00696981" w:rsidRPr="02E2EE7D">
        <w:t>here is considerable variation in the age of symptom onset, and clinical presentation can range from asymptomatic to severe</w:t>
      </w:r>
      <w:r w:rsidR="002F2464" w:rsidRPr="02E2EE7D">
        <w:t>, with</w:t>
      </w:r>
      <w:r w:rsidR="00696981" w:rsidRPr="02E2EE7D">
        <w:t xml:space="preserve"> variability even in patients with identical genetic variants, suggesting that secondary factors may influence the clinical course</w:t>
      </w:r>
      <w:r w:rsidR="00E516D6" w:rsidRPr="02E2EE7D">
        <w:t>.</w:t>
      </w:r>
    </w:p>
    <w:p w14:paraId="50C71C31" w14:textId="40888CF7" w:rsidR="00696981" w:rsidRDefault="69EF2654" w:rsidP="00696981">
      <w:r w:rsidRPr="02E2EE7D">
        <w:t xml:space="preserve">In the absence of NBS, </w:t>
      </w:r>
      <w:r w:rsidR="2D644DB3" w:rsidRPr="02E2EE7D">
        <w:t>t</w:t>
      </w:r>
      <w:r w:rsidR="00696981" w:rsidRPr="02E2EE7D">
        <w:t xml:space="preserve">he diagnosis of the late-onset form is often difficult because </w:t>
      </w:r>
      <w:r w:rsidR="0069060F" w:rsidRPr="02E2EE7D">
        <w:t xml:space="preserve">of the variable and non-specific clinical picture, and </w:t>
      </w:r>
      <w:r w:rsidR="00696981" w:rsidRPr="02E2EE7D">
        <w:t xml:space="preserve">it can resemble a range of other neuromuscular disorders. </w:t>
      </w:r>
      <w:r w:rsidR="0069060F" w:rsidRPr="02E2EE7D">
        <w:t>A</w:t>
      </w:r>
      <w:r w:rsidR="00696981" w:rsidRPr="02E2EE7D">
        <w:t xml:space="preserve"> high level of clinical </w:t>
      </w:r>
      <w:r w:rsidR="002F2464" w:rsidRPr="02E2EE7D">
        <w:t>awareness</w:t>
      </w:r>
      <w:r w:rsidR="00696981" w:rsidRPr="02E2EE7D">
        <w:t xml:space="preserve"> is needed for a timely diagnosis. Imaging and histologic studies suggest that there is muscle damage by the time that cases of </w:t>
      </w:r>
      <w:r w:rsidR="009C695C" w:rsidRPr="02E2EE7D">
        <w:t>LO</w:t>
      </w:r>
      <w:r w:rsidR="00696981" w:rsidRPr="02E2EE7D">
        <w:t>GSD II are clinically detected</w:t>
      </w:r>
      <w:r w:rsidR="00E516D6" w:rsidRPr="02E2EE7D">
        <w:t>.</w:t>
      </w:r>
    </w:p>
    <w:p w14:paraId="35DABBA0" w14:textId="1B6775A0" w:rsidR="00531D12" w:rsidRDefault="00531D12" w:rsidP="002C695C">
      <w:pPr>
        <w:pStyle w:val="Heading3"/>
        <w:rPr>
          <w:sz w:val="26"/>
          <w:szCs w:val="26"/>
        </w:rPr>
      </w:pPr>
      <w:bookmarkStart w:id="19" w:name="_Toc184839266"/>
      <w:r>
        <w:t>P</w:t>
      </w:r>
      <w:r w:rsidR="002C695C">
        <w:t>ICO Set</w:t>
      </w:r>
      <w:r>
        <w:t xml:space="preserve"> 2: Family members</w:t>
      </w:r>
      <w:bookmarkEnd w:id="19"/>
    </w:p>
    <w:p w14:paraId="682971A3" w14:textId="0F396A3C" w:rsidR="00423D91" w:rsidRDefault="00423D91" w:rsidP="00423D91">
      <w:r>
        <w:t>GSD II has a</w:t>
      </w:r>
      <w:r w:rsidR="0040471B">
        <w:t>n autosomal</w:t>
      </w:r>
      <w:r>
        <w:t xml:space="preserve"> recessive mode of inheritance, therefore both parents of an index case</w:t>
      </w:r>
      <w:r w:rsidR="00F041D4" w:rsidRPr="00350FBE">
        <w:rPr>
          <w:vertAlign w:val="superscript"/>
        </w:rPr>
        <w:fldChar w:fldCharType="begin"/>
      </w:r>
      <w:r w:rsidR="00F041D4" w:rsidRPr="00350FBE">
        <w:rPr>
          <w:vertAlign w:val="superscript"/>
        </w:rPr>
        <w:instrText xml:space="preserve"> NOTEREF _Ref184646659 \h </w:instrText>
      </w:r>
      <w:r w:rsidR="00F041D4">
        <w:rPr>
          <w:vertAlign w:val="superscript"/>
        </w:rPr>
        <w:instrText xml:space="preserve"> \* MERGEFORMAT </w:instrText>
      </w:r>
      <w:r w:rsidR="00F041D4" w:rsidRPr="00350FBE">
        <w:rPr>
          <w:vertAlign w:val="superscript"/>
        </w:rPr>
      </w:r>
      <w:r w:rsidR="00F041D4" w:rsidRPr="00350FBE">
        <w:rPr>
          <w:vertAlign w:val="superscript"/>
        </w:rPr>
        <w:fldChar w:fldCharType="separate"/>
      </w:r>
      <w:r w:rsidR="004E584A">
        <w:rPr>
          <w:vertAlign w:val="superscript"/>
        </w:rPr>
        <w:t>2</w:t>
      </w:r>
      <w:r w:rsidR="00F041D4" w:rsidRPr="00350FBE">
        <w:rPr>
          <w:vertAlign w:val="superscript"/>
        </w:rPr>
        <w:fldChar w:fldCharType="end"/>
      </w:r>
      <w:r>
        <w:t xml:space="preserve"> with two P/LP variants can be assumed to be carriers, with a one in four chance that future offspring would also be affected. </w:t>
      </w:r>
    </w:p>
    <w:p w14:paraId="18F969A3" w14:textId="73D7A4FC" w:rsidR="00423D91" w:rsidRDefault="00423D91" w:rsidP="00423D91">
      <w:r>
        <w:t xml:space="preserve">When a case of </w:t>
      </w:r>
      <w:r w:rsidR="00E516D6">
        <w:t>IO</w:t>
      </w:r>
      <w:r>
        <w:t xml:space="preserve">GSD II is diagnosed, it is proposed that </w:t>
      </w:r>
      <w:r w:rsidR="00CA3848">
        <w:t xml:space="preserve">segregation </w:t>
      </w:r>
      <w:r>
        <w:t xml:space="preserve">testing is offered to biological parents to </w:t>
      </w:r>
      <w:r w:rsidR="00CA3848">
        <w:t xml:space="preserve">confirm </w:t>
      </w:r>
      <w:r w:rsidR="003A61C4">
        <w:t>either the</w:t>
      </w:r>
      <w:r w:rsidR="00CA3848">
        <w:t xml:space="preserve"> inheritance of variants </w:t>
      </w:r>
      <w:r w:rsidR="00B329AC">
        <w:t xml:space="preserve">(whether </w:t>
      </w:r>
      <w:r w:rsidR="00B329AC">
        <w:rPr>
          <w:iCs/>
          <w:szCs w:val="24"/>
        </w:rPr>
        <w:t xml:space="preserve">2 detected variants have been inherited from separate parents) </w:t>
      </w:r>
      <w:r w:rsidR="00CA3848">
        <w:t xml:space="preserve">and </w:t>
      </w:r>
      <w:r>
        <w:t xml:space="preserve">allow for reproductive </w:t>
      </w:r>
      <w:r w:rsidR="0040471B">
        <w:t xml:space="preserve">decision making and </w:t>
      </w:r>
      <w:r>
        <w:t>planning</w:t>
      </w:r>
      <w:r w:rsidR="003A61C4">
        <w:t>, or de novo variant(s) that have no additional risk for subsequent offspring</w:t>
      </w:r>
      <w:r>
        <w:t xml:space="preserve">. </w:t>
      </w:r>
      <w:r w:rsidR="00E516D6">
        <w:t xml:space="preserve">Due to the severity </w:t>
      </w:r>
      <w:r w:rsidR="00C86B9F">
        <w:t xml:space="preserve">and early presentation </w:t>
      </w:r>
      <w:r w:rsidR="00E516D6">
        <w:t xml:space="preserve">of IOGSD II, it is unlikely that any older siblings would be considered at risk of having </w:t>
      </w:r>
      <w:r w:rsidR="0014112A">
        <w:t>IO</w:t>
      </w:r>
      <w:r w:rsidR="00E516D6">
        <w:t xml:space="preserve">GSD II. However, older siblings may be carriers of GSD II and </w:t>
      </w:r>
      <w:r>
        <w:t xml:space="preserve">should </w:t>
      </w:r>
      <w:r w:rsidR="00C86B9F">
        <w:t>be offered</w:t>
      </w:r>
      <w:r>
        <w:t xml:space="preserve"> genetic counselling and </w:t>
      </w:r>
      <w:r w:rsidR="00C86B9F">
        <w:t xml:space="preserve">carrier </w:t>
      </w:r>
      <w:r>
        <w:t>testing</w:t>
      </w:r>
      <w:r w:rsidR="00C86B9F">
        <w:t xml:space="preserve"> upon reaching reproductive age</w:t>
      </w:r>
      <w:r>
        <w:t xml:space="preserve">. </w:t>
      </w:r>
      <w:r w:rsidR="00CA3848">
        <w:t xml:space="preserve">Other family members may also request carrier testing to inform their reproductive decision making. </w:t>
      </w:r>
    </w:p>
    <w:p w14:paraId="33564983" w14:textId="2D75D7A9" w:rsidR="00423D91" w:rsidRDefault="00423D91" w:rsidP="00423D91">
      <w:r w:rsidRPr="02E2EE7D">
        <w:t xml:space="preserve">When a case of </w:t>
      </w:r>
      <w:r w:rsidR="00E516D6" w:rsidRPr="02E2EE7D">
        <w:t>LO</w:t>
      </w:r>
      <w:r w:rsidRPr="02E2EE7D">
        <w:t xml:space="preserve">GSD II is identified, it may be appropriate to also offer </w:t>
      </w:r>
      <w:r w:rsidR="00C86B9F" w:rsidRPr="02E2EE7D">
        <w:t xml:space="preserve">cascade </w:t>
      </w:r>
      <w:r w:rsidR="00CA3848">
        <w:t xml:space="preserve">and carrier </w:t>
      </w:r>
      <w:r w:rsidRPr="02E2EE7D">
        <w:t xml:space="preserve">testing to other members of the broader family and their children, as </w:t>
      </w:r>
      <w:r w:rsidR="009C695C" w:rsidRPr="02E2EE7D">
        <w:t>LO</w:t>
      </w:r>
      <w:r w:rsidRPr="02E2EE7D">
        <w:t xml:space="preserve">GSD II symptoms may not yet have been observed or diagnosed. </w:t>
      </w:r>
    </w:p>
    <w:p w14:paraId="05663AAB" w14:textId="441D7C45" w:rsidR="00A5799C" w:rsidRPr="00A5799C" w:rsidRDefault="00CA5801" w:rsidP="00A57D88">
      <w:pPr>
        <w:pStyle w:val="Heading3"/>
      </w:pPr>
      <w:bookmarkStart w:id="20" w:name="_Toc184839267"/>
      <w:r>
        <w:t>P</w:t>
      </w:r>
      <w:r w:rsidR="00A57D88">
        <w:t>revalence in Australia</w:t>
      </w:r>
      <w:bookmarkEnd w:id="20"/>
    </w:p>
    <w:p w14:paraId="5EAF22CD" w14:textId="46A31F9B" w:rsidR="0069060F" w:rsidRPr="002F2464" w:rsidRDefault="0069060F" w:rsidP="02E2EE7D">
      <w:r w:rsidRPr="02E2EE7D">
        <w:t xml:space="preserve">GSD II has an estimated </w:t>
      </w:r>
      <w:r w:rsidR="006E7CD7" w:rsidRPr="02E2EE7D">
        <w:t xml:space="preserve">birth </w:t>
      </w:r>
      <w:r w:rsidR="003130F5" w:rsidRPr="02E2EE7D">
        <w:t>prevalence of 1 per 46,000 live births</w:t>
      </w:r>
      <w:r w:rsidR="001261CE" w:rsidRPr="02E2EE7D">
        <w:t xml:space="preserve"> in Australia</w:t>
      </w:r>
      <w:r w:rsidRPr="02E2EE7D">
        <w:t>, based on diagnostic testing after presentation with symptoms</w:t>
      </w:r>
      <w:r w:rsidR="00CA3848">
        <w:t xml:space="preserve"> </w:t>
      </w:r>
      <w:r w:rsidRPr="02E2EE7D">
        <w:t>or family history</w:t>
      </w:r>
      <w:r w:rsidR="00CA3848" w:rsidRPr="02E2EE7D">
        <w:t xml:space="preserve">, </w:t>
      </w:r>
      <w:r w:rsidR="00E55372" w:rsidRPr="02E2EE7D">
        <w:t>between 2009 and 2020</w:t>
      </w:r>
      <w:r w:rsidR="00577B0D">
        <w:t>,</w:t>
      </w:r>
      <w:r w:rsidR="008B47C4">
        <w:rPr>
          <w:vertAlign w:val="superscript"/>
        </w:rPr>
        <w:t xml:space="preserve"> </w:t>
      </w:r>
      <w:r w:rsidR="008B47C4" w:rsidRPr="00DF68C6">
        <w:t>Chin</w:t>
      </w:r>
      <w:r w:rsidR="008B47C4">
        <w:rPr>
          <w:vertAlign w:val="superscript"/>
        </w:rPr>
        <w:t xml:space="preserve"> </w:t>
      </w:r>
      <w:r w:rsidR="008B47C4">
        <w:t>et al 2021)</w:t>
      </w:r>
      <w:r w:rsidRPr="02E2EE7D">
        <w:t>. However, it varies based on ancestry. A recent global estimation of incidence was 1/23,000</w:t>
      </w:r>
      <w:r w:rsidR="006419BD" w:rsidRPr="02E2EE7D">
        <w:rPr>
          <w:rStyle w:val="FootnoteReference"/>
        </w:rPr>
        <w:footnoteReference w:id="18"/>
      </w:r>
      <w:r w:rsidRPr="02E2EE7D">
        <w:t>. Base</w:t>
      </w:r>
      <w:r w:rsidR="000C714C" w:rsidRPr="02E2EE7D">
        <w:t>d</w:t>
      </w:r>
      <w:r w:rsidRPr="02E2EE7D">
        <w:t xml:space="preserve"> on data</w:t>
      </w:r>
      <w:r w:rsidRPr="02E2EE7D" w:rsidDel="00C2614D">
        <w:t xml:space="preserve"> </w:t>
      </w:r>
      <w:r w:rsidR="00C2614D" w:rsidRPr="02E2EE7D">
        <w:t xml:space="preserve">provided by </w:t>
      </w:r>
      <w:r w:rsidRPr="02E2EE7D">
        <w:t xml:space="preserve">the LSDP, it was estimated that approximately </w:t>
      </w:r>
      <w:r w:rsidR="00ED5CB7">
        <w:br/>
      </w:r>
      <w:r w:rsidR="00E025B8" w:rsidRPr="00E025B8">
        <w:rPr>
          <w:b/>
          <w:bCs/>
        </w:rPr>
        <w:t>REDACTED</w:t>
      </w:r>
      <w:r w:rsidRPr="02E2EE7D">
        <w:t xml:space="preserve"> babies would be diagnosed with GSD II per year, if NBS programs</w:t>
      </w:r>
      <w:r w:rsidR="0040471B" w:rsidRPr="02E2EE7D">
        <w:t xml:space="preserve"> are introduced</w:t>
      </w:r>
      <w:r w:rsidRPr="02E2EE7D">
        <w:t xml:space="preserve">. Of these, </w:t>
      </w:r>
      <w:r w:rsidR="00E025B8" w:rsidRPr="00E025B8">
        <w:rPr>
          <w:b/>
          <w:bCs/>
        </w:rPr>
        <w:t>REDACTED</w:t>
      </w:r>
      <w:r w:rsidRPr="02E2EE7D">
        <w:t xml:space="preserve"> </w:t>
      </w:r>
      <w:r w:rsidR="009C4B47" w:rsidRPr="02E2EE7D">
        <w:t xml:space="preserve">were predicted to </w:t>
      </w:r>
      <w:r w:rsidRPr="02E2EE7D">
        <w:t>have IOGSD II. NBS for GSD II is expected to mostly identify LOGSD II,</w:t>
      </w:r>
      <w:r w:rsidR="00C63184" w:rsidRPr="02E2EE7D">
        <w:t xml:space="preserve"> in</w:t>
      </w:r>
      <w:r w:rsidRPr="02E2EE7D">
        <w:t xml:space="preserve"> which</w:t>
      </w:r>
      <w:r w:rsidR="003B69FA" w:rsidRPr="02E2EE7D">
        <w:t xml:space="preserve"> most patients have symptom onset in late childhood or adulthood (although some patients do </w:t>
      </w:r>
      <w:r w:rsidR="00C63184" w:rsidRPr="02E2EE7D">
        <w:t xml:space="preserve">present with severe symptoms in </w:t>
      </w:r>
      <w:r w:rsidRPr="02E2EE7D">
        <w:t>early childhood</w:t>
      </w:r>
      <w:r w:rsidR="003B69FA" w:rsidRPr="02E2EE7D">
        <w:t>)</w:t>
      </w:r>
      <w:r w:rsidR="00C63184" w:rsidRPr="02E2EE7D">
        <w:t xml:space="preserve">. </w:t>
      </w:r>
      <w:r w:rsidR="009C4B47" w:rsidRPr="02E2EE7D">
        <w:t xml:space="preserve"> The proportion of LOGSD II to IOGSD II cases is predicted to increase with NBS as additional non-symptomatic</w:t>
      </w:r>
      <w:r w:rsidR="003B69FA" w:rsidRPr="02E2EE7D">
        <w:t>/very mild</w:t>
      </w:r>
      <w:r w:rsidR="009C4B47" w:rsidRPr="02E2EE7D">
        <w:t xml:space="preserve"> cases </w:t>
      </w:r>
      <w:r w:rsidR="0058784B">
        <w:t xml:space="preserve">of LOGSD II </w:t>
      </w:r>
      <w:r w:rsidR="009C4B47" w:rsidRPr="02E2EE7D">
        <w:t>will be identified</w:t>
      </w:r>
      <w:r w:rsidRPr="02E2EE7D">
        <w:t xml:space="preserve">. </w:t>
      </w:r>
    </w:p>
    <w:p w14:paraId="7FD6FB12" w14:textId="0C43A7CE" w:rsidR="0069060F" w:rsidRPr="000317E4" w:rsidRDefault="0069060F" w:rsidP="02E2EE7D">
      <w:pPr>
        <w:rPr>
          <w:i/>
          <w:iCs/>
        </w:rPr>
      </w:pPr>
      <w:r w:rsidRPr="02E2EE7D">
        <w:t xml:space="preserve">In addition to </w:t>
      </w:r>
      <w:r w:rsidR="4F4E1FDF" w:rsidRPr="02E2EE7D">
        <w:t>IO</w:t>
      </w:r>
      <w:r w:rsidRPr="02E2EE7D">
        <w:t xml:space="preserve">GSD II and </w:t>
      </w:r>
      <w:r w:rsidR="132AD1B7" w:rsidRPr="02E2EE7D">
        <w:t>LO</w:t>
      </w:r>
      <w:r w:rsidRPr="02E2EE7D">
        <w:t xml:space="preserve">GSD II, screening </w:t>
      </w:r>
      <w:r w:rsidR="006419BD" w:rsidRPr="02E2EE7D">
        <w:t xml:space="preserve">is predicted to </w:t>
      </w:r>
      <w:r w:rsidRPr="02E2EE7D">
        <w:t xml:space="preserve">detect </w:t>
      </w:r>
      <w:r w:rsidR="009C4B47" w:rsidRPr="02E2EE7D">
        <w:t>a similar number of</w:t>
      </w:r>
      <w:r w:rsidR="006419BD" w:rsidRPr="02E2EE7D">
        <w:t xml:space="preserve"> </w:t>
      </w:r>
      <w:proofErr w:type="spellStart"/>
      <w:r w:rsidRPr="02E2EE7D">
        <w:t>pseudodeficiency</w:t>
      </w:r>
      <w:proofErr w:type="spellEnd"/>
      <w:r w:rsidRPr="02E2EE7D">
        <w:t xml:space="preserve"> </w:t>
      </w:r>
      <w:r w:rsidR="006419BD" w:rsidRPr="02E2EE7D">
        <w:t>cases per year</w:t>
      </w:r>
      <w:r w:rsidRPr="02E2EE7D">
        <w:t xml:space="preserve">. These would be considered as false positive if reported, but a second-tier genetic panel may identify some common </w:t>
      </w:r>
      <w:proofErr w:type="spellStart"/>
      <w:r w:rsidRPr="02E2EE7D">
        <w:t>pseudodeficiency</w:t>
      </w:r>
      <w:proofErr w:type="spellEnd"/>
      <w:r w:rsidRPr="02E2EE7D">
        <w:t xml:space="preserve"> alleles and therefore rule out some false positive cases. </w:t>
      </w:r>
    </w:p>
    <w:p w14:paraId="756AD141" w14:textId="79F807B8" w:rsidR="0069060F" w:rsidRDefault="0069060F" w:rsidP="0069060F">
      <w:r w:rsidRPr="02E2EE7D">
        <w:t>A small number of cases may be diagnosed prenatally (2/81 diagnosed between 2009 and 2020 in Australia</w:t>
      </w:r>
      <w:r w:rsidR="00CC6095">
        <w:fldChar w:fldCharType="begin"/>
      </w:r>
      <w:r w:rsidR="00CC6095">
        <w:instrText xml:space="preserve"> ADDIN EN.CITE &lt;EndNote&gt;&lt;Cite&gt;&lt;Author&gt;Chin&lt;/Author&gt;&lt;Year&gt;2022&lt;/Year&gt;&lt;RecNum&gt;14&lt;/RecNum&gt;&lt;DisplayText&gt;(Chin &amp;amp; Fuller 2022)&lt;/DisplayText&gt;&lt;record&gt;&lt;rec-number&gt;14&lt;/rec-number&gt;&lt;foreign-keys&gt;&lt;key app="EN" db-id="2x2zxatf22afpcea0ecx2wv1zvdas0x52t0e" timestamp="1725245231"&gt;14&lt;/key&gt;&lt;/foreign-keys&gt;&lt;ref-type name="Journal Article"&gt;17&lt;/ref-type&gt;&lt;contributors&gt;&lt;authors&gt;&lt;author&gt;Chin, S.&lt;/author&gt;&lt;author&gt;Fuller, M.&lt;/author&gt;&lt;/authors&gt;&lt;/contributors&gt;&lt;auth-address&gt;Genetics and Molecular Pathology, SA Pathology at Women&amp;apos;s and Children&amp;apos;s Hospital.&amp;#xD;Adelaide Medical School, University of Adelaide, Adelaide, South Australia, 5005.&lt;/auth-address&gt;&lt;titles&gt;&lt;title&gt;Prevalence of lysosomal storage disorders in Australia from 2009 to 2020&lt;/title&gt;&lt;secondary-title&gt;Lancet Reg Health West Pac&lt;/secondary-title&gt;&lt;/titles&gt;&lt;periodical&gt;&lt;full-title&gt;Lancet Reg Health West Pac&lt;/full-title&gt;&lt;/periodical&gt;&lt;pages&gt;100344&lt;/pages&gt;&lt;volume&gt;19&lt;/volume&gt;&lt;edition&gt;20211212&lt;/edition&gt;&lt;dates&gt;&lt;year&gt;2022&lt;/year&gt;&lt;pub-dates&gt;&lt;date&gt;Feb&lt;/date&gt;&lt;/pub-dates&gt;&lt;/dates&gt;&lt;isbn&gt;2666-6065&lt;/isbn&gt;&lt;accession-num&gt;35024668&lt;/accession-num&gt;&lt;urls&gt;&lt;related-urls&gt;&lt;url&gt;https://www.ncbi.nlm.nih.gov/pmc/articles/PMC8671750/pdf/main.pdf&lt;/url&gt;&lt;/related-urls&gt;&lt;/urls&gt;&lt;custom1&gt;We declare that we have no conflicts of interest.&lt;/custom1&gt;&lt;custom2&gt;PMC8671750&lt;/custom2&gt;&lt;electronic-resource-num&gt;10.1016/j.lanwpc.2021.100344&lt;/electronic-resource-num&gt;&lt;remote-database-provider&gt;NLM&lt;/remote-database-provider&gt;&lt;language&gt;eng&lt;/language&gt;&lt;/record&gt;&lt;/Cite&gt;&lt;/EndNote&gt;</w:instrText>
      </w:r>
      <w:r w:rsidR="00CC6095">
        <w:fldChar w:fldCharType="separate"/>
      </w:r>
      <w:r w:rsidR="00CC6095">
        <w:rPr>
          <w:noProof/>
        </w:rPr>
        <w:t>(Chin &amp; Fuller 2022</w:t>
      </w:r>
      <w:r w:rsidR="00CC6095">
        <w:fldChar w:fldCharType="end"/>
      </w:r>
      <w:r w:rsidRPr="02E2EE7D">
        <w:t xml:space="preserve">), and the introduction of NBS for GSD II is not expected to alter the management or outcomes in this group. However, they are still considered part of the target population, as any babies born with prior diagnoses would still undergo </w:t>
      </w:r>
      <w:r w:rsidR="00C63184" w:rsidRPr="02E2EE7D">
        <w:t>NBS and</w:t>
      </w:r>
      <w:r w:rsidRPr="02E2EE7D">
        <w:t xml:space="preserve"> incur the costs of the </w:t>
      </w:r>
      <w:r w:rsidR="000B442C" w:rsidRPr="02E2EE7D">
        <w:t>first-tier</w:t>
      </w:r>
      <w:r w:rsidRPr="02E2EE7D">
        <w:t xml:space="preserve"> screening. </w:t>
      </w:r>
    </w:p>
    <w:p w14:paraId="68861460" w14:textId="27CE8CC0" w:rsidR="00E74FCB" w:rsidRDefault="008A62F7" w:rsidP="00ED5CB7">
      <w:pPr>
        <w:pStyle w:val="Heading2"/>
        <w:numPr>
          <w:ilvl w:val="0"/>
          <w:numId w:val="36"/>
        </w:numPr>
        <w:ind w:hanging="720"/>
      </w:pPr>
      <w:bookmarkStart w:id="21" w:name="_Toc184839268"/>
      <w:r w:rsidRPr="00CE28E3">
        <w:t>Comparator</w:t>
      </w:r>
      <w:bookmarkEnd w:id="21"/>
    </w:p>
    <w:p w14:paraId="59AB8F8E" w14:textId="05308590" w:rsidR="00E74FCB" w:rsidRDefault="00C23E8F" w:rsidP="001355C0">
      <w:pPr>
        <w:pStyle w:val="Heading3"/>
      </w:pPr>
      <w:bookmarkStart w:id="22" w:name="_Toc184839269"/>
      <w:r w:rsidRPr="00C23E8F">
        <w:t xml:space="preserve">PICO </w:t>
      </w:r>
      <w:r w:rsidR="00B64796">
        <w:t>S</w:t>
      </w:r>
      <w:r w:rsidRPr="00C23E8F">
        <w:t>et 1</w:t>
      </w:r>
      <w:r w:rsidR="00B64796">
        <w:t xml:space="preserve">: </w:t>
      </w:r>
      <w:r w:rsidR="00492AFF">
        <w:t xml:space="preserve">Diagnostic testing for GSD II </w:t>
      </w:r>
      <w:r w:rsidR="00B64796">
        <w:t>following symptom onset</w:t>
      </w:r>
      <w:bookmarkEnd w:id="22"/>
      <w:r w:rsidR="00492AFF">
        <w:t xml:space="preserve"> </w:t>
      </w:r>
    </w:p>
    <w:p w14:paraId="4839B272" w14:textId="51EBDFB5" w:rsidR="00874F95" w:rsidRDefault="00874F95" w:rsidP="00874F95">
      <w:r>
        <w:t xml:space="preserve">The comparator for universal newborn screening for GSD II is no newborn screening </w:t>
      </w:r>
      <w:r w:rsidR="00964053">
        <w:t xml:space="preserve">with </w:t>
      </w:r>
      <w:r>
        <w:t xml:space="preserve">diagnosis </w:t>
      </w:r>
      <w:r w:rsidR="00A83098">
        <w:t xml:space="preserve">made following </w:t>
      </w:r>
      <w:r>
        <w:t>symptom onset</w:t>
      </w:r>
      <w:r w:rsidR="00B64796">
        <w:t>, as is performed currently</w:t>
      </w:r>
      <w:r>
        <w:t xml:space="preserve">. </w:t>
      </w:r>
    </w:p>
    <w:p w14:paraId="01440E82" w14:textId="3EAAC26F" w:rsidR="00874F95" w:rsidRDefault="00874F95" w:rsidP="00874F95">
      <w:r w:rsidRPr="02E2EE7D">
        <w:t xml:space="preserve">In babies with </w:t>
      </w:r>
      <w:r w:rsidR="00B64796" w:rsidRPr="02E2EE7D">
        <w:t>IO</w:t>
      </w:r>
      <w:r w:rsidRPr="02E2EE7D">
        <w:t xml:space="preserve">GSD II, </w:t>
      </w:r>
      <w:r w:rsidR="00C63184" w:rsidRPr="02E2EE7D">
        <w:t xml:space="preserve">symptom onset </w:t>
      </w:r>
      <w:r w:rsidRPr="02E2EE7D">
        <w:t xml:space="preserve">would usually occur in the first few weeks or months of life. </w:t>
      </w:r>
      <w:r w:rsidR="0091667D" w:rsidRPr="02E2EE7D">
        <w:t xml:space="preserve">In the absence of screening, the process of determining </w:t>
      </w:r>
      <w:r w:rsidR="00964053">
        <w:t>a</w:t>
      </w:r>
      <w:r w:rsidR="00964053" w:rsidRPr="02E2EE7D">
        <w:t xml:space="preserve"> </w:t>
      </w:r>
      <w:r w:rsidR="00A83098" w:rsidRPr="02E2EE7D">
        <w:t xml:space="preserve">diagnosis </w:t>
      </w:r>
      <w:r w:rsidR="00964053">
        <w:t xml:space="preserve">of IOGSD II </w:t>
      </w:r>
      <w:r w:rsidR="0091667D" w:rsidRPr="02E2EE7D">
        <w:t xml:space="preserve">can take 1 – 3 months. </w:t>
      </w:r>
      <w:r w:rsidRPr="02E2EE7D">
        <w:t xml:space="preserve">In </w:t>
      </w:r>
      <w:r w:rsidR="00B64796" w:rsidRPr="02E2EE7D">
        <w:t>LO</w:t>
      </w:r>
      <w:r w:rsidRPr="02E2EE7D">
        <w:t xml:space="preserve">GSD II, symptom onset </w:t>
      </w:r>
      <w:r w:rsidR="00B64796" w:rsidRPr="02E2EE7D">
        <w:t xml:space="preserve">may occur at any time from </w:t>
      </w:r>
      <w:r w:rsidR="00CA3848">
        <w:t>childhood</w:t>
      </w:r>
      <w:r w:rsidR="00CA3848" w:rsidRPr="02E2EE7D">
        <w:t xml:space="preserve"> </w:t>
      </w:r>
      <w:r w:rsidR="00B64796" w:rsidRPr="02E2EE7D">
        <w:t>until old age.</w:t>
      </w:r>
      <w:r w:rsidR="0091667D" w:rsidRPr="02E2EE7D">
        <w:t xml:space="preserve"> The delay </w:t>
      </w:r>
      <w:r w:rsidR="00F8E13E" w:rsidRPr="02E2EE7D">
        <w:t xml:space="preserve">from symptom presentation to diagnosis </w:t>
      </w:r>
      <w:r w:rsidR="4010A1D4" w:rsidRPr="02E2EE7D">
        <w:t xml:space="preserve">has been reported to vary from </w:t>
      </w:r>
      <w:r w:rsidR="0AA30EB9" w:rsidRPr="02E2EE7D">
        <w:t>less than</w:t>
      </w:r>
      <w:r w:rsidR="4010A1D4" w:rsidRPr="02E2EE7D">
        <w:t xml:space="preserve"> one year to 32 years, and in another </w:t>
      </w:r>
      <w:r w:rsidR="63DCC094" w:rsidRPr="02E2EE7D">
        <w:t>study, more than half of the patients were diagnosed more than five years from symptom onset</w:t>
      </w:r>
      <w:r w:rsidR="1ED3CA35" w:rsidRPr="02E2EE7D">
        <w:t xml:space="preserve"> </w:t>
      </w:r>
      <w:r>
        <w:fldChar w:fldCharType="begin"/>
      </w:r>
      <w:r>
        <w:instrText xml:space="preserve"> ADDIN EN.CITE &lt;EndNote&gt;&lt;Cite&gt;&lt;Author&gt;Lisi&lt;/Author&gt;&lt;Year&gt;2016&lt;/Year&gt;&lt;RecNum&gt;118&lt;/RecNum&gt;&lt;DisplayText&gt;(Lisi, E et al. 2016)&lt;/DisplayText&gt;&lt;record&gt;&lt;rec-number&gt;118&lt;/rec-number&gt;&lt;foreign-keys&gt;&lt;key app="EN" db-id="2x2zxatf22afpcea0ecx2wv1zvdas0x52t0e" timestamp="1728967008"&gt;118&lt;/key&gt;&lt;/foreign-keys&gt;&lt;ref-type name="Journal Article"&gt;17&lt;/ref-type&gt;&lt;contributors&gt;&lt;authors&gt;&lt;author&gt;Lisi, E.&lt;/author&gt;&lt;author&gt;Gillespie, S.&lt;/author&gt;&lt;author&gt;Laney, D.&lt;/author&gt;&lt;author&gt;Ali, N.&lt;/author&gt;&lt;/authors&gt;&lt;/contributors&gt;&lt;titles&gt;&lt;title&gt;Patients&amp;apos; perspectives on newborn screening for later-onset lysosomal storage diseases&lt;/title&gt;&lt;secondary-title&gt;Molecular Genetics and Metabolism&lt;/secondary-title&gt;&lt;/titles&gt;&lt;periodical&gt;&lt;full-title&gt;Molecular Genetics and Metabolism&lt;/full-title&gt;&lt;/periodical&gt;&lt;pages&gt;109-114&lt;/pages&gt;&lt;volume&gt;119&lt;/volume&gt;&lt;number&gt;1&lt;/number&gt;&lt;keywords&gt;&lt;keyword&gt;Newborn screening&lt;/keyword&gt;&lt;keyword&gt;Lysosomal storage diseases&lt;/keyword&gt;&lt;keyword&gt;Patient opinions&lt;/keyword&gt;&lt;keyword&gt;Patient perspectives&lt;/keyword&gt;&lt;/keywords&gt;&lt;dates&gt;&lt;year&gt;2016&lt;/year&gt;&lt;pub-dates&gt;&lt;date&gt;2016/09/01/&lt;/date&gt;&lt;/pub-dates&gt;&lt;/dates&gt;&lt;isbn&gt;1096-7192&lt;/isbn&gt;&lt;urls&gt;&lt;related-urls&gt;&lt;url&gt;https://www.sciencedirect.com/science/article/pii/S1096719216301482&lt;/url&gt;&lt;/related-urls&gt;&lt;/urls&gt;&lt;electronic-resource-num&gt;https://doi.org/10.1016/j.ymgme.2016.07.009&lt;/electronic-resource-num&gt;&lt;/record&gt;&lt;/Cite&gt;&lt;/EndNote&gt;</w:instrText>
      </w:r>
      <w:r>
        <w:fldChar w:fldCharType="separate"/>
      </w:r>
      <w:r w:rsidR="00350FBE" w:rsidRPr="02E2EE7D">
        <w:rPr>
          <w:noProof/>
        </w:rPr>
        <w:t>(Lisi, E et al. 2016)</w:t>
      </w:r>
      <w:r>
        <w:fldChar w:fldCharType="end"/>
      </w:r>
      <w:r w:rsidR="00005A2A" w:rsidRPr="02E2EE7D">
        <w:t>.</w:t>
      </w:r>
      <w:r w:rsidR="1ED3CA35" w:rsidRPr="02E2EE7D">
        <w:t xml:space="preserve"> </w:t>
      </w:r>
    </w:p>
    <w:p w14:paraId="2AED308C" w14:textId="76FB0103" w:rsidR="00874F95" w:rsidRDefault="00874F95" w:rsidP="00874F95">
      <w:r w:rsidRPr="02E2EE7D">
        <w:t xml:space="preserve">The </w:t>
      </w:r>
      <w:r w:rsidR="00964053">
        <w:t xml:space="preserve">proposed </w:t>
      </w:r>
      <w:r w:rsidR="00964053" w:rsidRPr="02E2EE7D">
        <w:t xml:space="preserve">diagnostic testing of infants found to be positive on NBS </w:t>
      </w:r>
      <w:r w:rsidR="00964053">
        <w:t xml:space="preserve">is </w:t>
      </w:r>
      <w:proofErr w:type="gramStart"/>
      <w:r w:rsidR="00964053">
        <w:t>similar to</w:t>
      </w:r>
      <w:proofErr w:type="gramEnd"/>
      <w:r w:rsidR="00964053">
        <w:t xml:space="preserve"> the </w:t>
      </w:r>
      <w:r w:rsidRPr="02E2EE7D">
        <w:t>process of diagnostic testing for GSD II after symptom onset</w:t>
      </w:r>
      <w:r w:rsidR="00CA51B1">
        <w:t>.</w:t>
      </w:r>
      <w:r w:rsidR="00FA00AF" w:rsidRPr="02E2EE7D">
        <w:t xml:space="preserve"> Testing </w:t>
      </w:r>
      <w:r w:rsidR="00D96024" w:rsidRPr="02E2EE7D">
        <w:t>would normally start with assessing</w:t>
      </w:r>
      <w:r w:rsidRPr="02E2EE7D">
        <w:t xml:space="preserve"> GAA enzyme activity on </w:t>
      </w:r>
      <w:r w:rsidR="7760132F" w:rsidRPr="02E2EE7D">
        <w:t>dried bloodspot (</w:t>
      </w:r>
      <w:r w:rsidRPr="02E2EE7D">
        <w:t>DBS</w:t>
      </w:r>
      <w:r w:rsidR="1727E8C7" w:rsidRPr="02E2EE7D">
        <w:t>)</w:t>
      </w:r>
      <w:r w:rsidRPr="02E2EE7D">
        <w:t>, or leukocytes</w:t>
      </w:r>
      <w:r w:rsidR="00FA00AF" w:rsidRPr="02E2EE7D">
        <w:t xml:space="preserve">, </w:t>
      </w:r>
      <w:r w:rsidR="00D96024" w:rsidRPr="02E2EE7D">
        <w:t>but as this result is not always conclusive</w:t>
      </w:r>
      <w:r w:rsidR="00CA3848">
        <w:t>,</w:t>
      </w:r>
      <w:r w:rsidR="00D96024" w:rsidRPr="02E2EE7D">
        <w:t xml:space="preserve"> further testing that includes </w:t>
      </w:r>
      <w:r w:rsidR="00FA00AF" w:rsidRPr="02E2EE7D">
        <w:t>urinary gluco</w:t>
      </w:r>
      <w:r w:rsidR="009A5AA8" w:rsidRPr="02E2EE7D">
        <w:t xml:space="preserve">se </w:t>
      </w:r>
      <w:proofErr w:type="spellStart"/>
      <w:r w:rsidR="00FA00AF" w:rsidRPr="02E2EE7D">
        <w:t>tetrasaccharide</w:t>
      </w:r>
      <w:proofErr w:type="spellEnd"/>
      <w:r w:rsidR="00FA00AF" w:rsidRPr="02E2EE7D">
        <w:t xml:space="preserve"> (HEX4) analysis,</w:t>
      </w:r>
      <w:r w:rsidR="00B64796" w:rsidRPr="02E2EE7D">
        <w:t xml:space="preserve"> genetic analysis and clinical assessment</w:t>
      </w:r>
      <w:r w:rsidR="00D96024" w:rsidRPr="02E2EE7D">
        <w:t xml:space="preserve"> is likely to also be performed</w:t>
      </w:r>
      <w:r w:rsidRPr="02E2EE7D">
        <w:t>.</w:t>
      </w:r>
      <w:r w:rsidR="00D96024" w:rsidRPr="02E2EE7D">
        <w:t xml:space="preserve"> Testing </w:t>
      </w:r>
      <w:r w:rsidR="077CEECC" w:rsidRPr="02E2EE7D">
        <w:t>of</w:t>
      </w:r>
      <w:r w:rsidR="00D96024" w:rsidRPr="02E2EE7D">
        <w:t xml:space="preserve"> symptomatic individuals may occur in a different order, depending </w:t>
      </w:r>
      <w:r w:rsidR="00BB2DB3" w:rsidRPr="00BB2DB3">
        <w:t>based on the specific clinical presentation of the child</w:t>
      </w:r>
      <w:r w:rsidR="00D96024" w:rsidRPr="02E2EE7D">
        <w:t>.</w:t>
      </w:r>
      <w:r w:rsidRPr="02E2EE7D">
        <w:t xml:space="preserve"> </w:t>
      </w:r>
    </w:p>
    <w:p w14:paraId="686C41DA" w14:textId="77777777" w:rsidR="00874F95" w:rsidRDefault="00874F95" w:rsidP="00874F95">
      <w:pPr>
        <w:spacing w:after="120"/>
      </w:pPr>
      <w:r>
        <w:t>The range of tests performed includes:</w:t>
      </w:r>
    </w:p>
    <w:p w14:paraId="1C27291E" w14:textId="77777777" w:rsidR="00874F95" w:rsidRDefault="00874F95" w:rsidP="0078218A">
      <w:pPr>
        <w:pStyle w:val="ListParagraph"/>
        <w:numPr>
          <w:ilvl w:val="0"/>
          <w:numId w:val="9"/>
        </w:numPr>
        <w:spacing w:before="0" w:after="0" w:line="276" w:lineRule="auto"/>
      </w:pPr>
      <w:r>
        <w:t>History, clinical examination (may include electrophysiological testing for older children)</w:t>
      </w:r>
    </w:p>
    <w:p w14:paraId="256128AF" w14:textId="77777777" w:rsidR="00874F95" w:rsidRDefault="00874F95" w:rsidP="0078218A">
      <w:pPr>
        <w:pStyle w:val="ListParagraph"/>
        <w:numPr>
          <w:ilvl w:val="0"/>
          <w:numId w:val="9"/>
        </w:numPr>
        <w:spacing w:before="0" w:after="0" w:line="276" w:lineRule="auto"/>
      </w:pPr>
      <w:r w:rsidRPr="02E2EE7D">
        <w:t>Cardiac assessment (chest radiography, echocardiogram or electrocardiogram, particularly in younger children)</w:t>
      </w:r>
    </w:p>
    <w:p w14:paraId="1B6291AD" w14:textId="5B2B65F3" w:rsidR="00874F95" w:rsidRDefault="00874F95" w:rsidP="0078218A">
      <w:pPr>
        <w:pStyle w:val="ListParagraph"/>
        <w:numPr>
          <w:ilvl w:val="0"/>
          <w:numId w:val="9"/>
        </w:numPr>
        <w:spacing w:before="0" w:after="200" w:line="276" w:lineRule="auto"/>
      </w:pPr>
      <w:r w:rsidRPr="02E2EE7D">
        <w:t>GAA enzyme assay on DBS or leukocytes, urinary HEX4, which is required to meet LSDP eligibility criteria</w:t>
      </w:r>
      <w:r w:rsidR="0068112A" w:rsidRPr="02E2EE7D">
        <w:t>, should access to treatment be required via the LSDP</w:t>
      </w:r>
    </w:p>
    <w:p w14:paraId="2F7B53FE" w14:textId="2AF2F50B" w:rsidR="00874F95" w:rsidRDefault="00874F95" w:rsidP="0078218A">
      <w:pPr>
        <w:pStyle w:val="ListParagraph"/>
        <w:numPr>
          <w:ilvl w:val="0"/>
          <w:numId w:val="9"/>
        </w:numPr>
        <w:spacing w:before="0" w:after="200" w:line="276" w:lineRule="auto"/>
      </w:pPr>
      <w:r w:rsidRPr="02E2EE7D">
        <w:t>Respiratory function (age dependent)</w:t>
      </w:r>
      <w:r w:rsidR="0036714B" w:rsidRPr="02E2EE7D">
        <w:t>. This is not required in children &lt;5 years of age for LSDP eligibility consideration</w:t>
      </w:r>
    </w:p>
    <w:p w14:paraId="2908D49F" w14:textId="77777777" w:rsidR="00CA3848" w:rsidRDefault="00874F95" w:rsidP="0078218A">
      <w:pPr>
        <w:pStyle w:val="ListParagraph"/>
        <w:numPr>
          <w:ilvl w:val="0"/>
          <w:numId w:val="9"/>
        </w:numPr>
        <w:spacing w:before="0" w:after="200" w:line="276" w:lineRule="auto"/>
      </w:pPr>
      <w:r>
        <w:t xml:space="preserve">Molecular genetic testing of </w:t>
      </w:r>
      <w:r w:rsidRPr="5789C240">
        <w:rPr>
          <w:i/>
          <w:iCs/>
        </w:rPr>
        <w:t>GAA</w:t>
      </w:r>
      <w:r>
        <w:t xml:space="preserve"> gene</w:t>
      </w:r>
    </w:p>
    <w:p w14:paraId="29520F51" w14:textId="7A4FEE86" w:rsidR="00874F95" w:rsidRDefault="00CA3848" w:rsidP="0078218A">
      <w:pPr>
        <w:pStyle w:val="ListParagraph"/>
        <w:numPr>
          <w:ilvl w:val="0"/>
          <w:numId w:val="9"/>
        </w:numPr>
        <w:spacing w:before="0" w:after="200" w:line="276" w:lineRule="auto"/>
      </w:pPr>
      <w:r>
        <w:t>Muscle MRI</w:t>
      </w:r>
      <w:r w:rsidR="52A40701">
        <w:t>.</w:t>
      </w:r>
    </w:p>
    <w:p w14:paraId="03EDD592" w14:textId="4F8F3C36" w:rsidR="00C23E8F" w:rsidRPr="00C23E8F" w:rsidRDefault="00C23E8F" w:rsidP="00B64796">
      <w:pPr>
        <w:pStyle w:val="Heading3"/>
      </w:pPr>
      <w:bookmarkStart w:id="23" w:name="_Toc184839270"/>
      <w:r w:rsidRPr="00C23E8F">
        <w:t>PICO set 2</w:t>
      </w:r>
      <w:r w:rsidR="00B64796">
        <w:t>: Family members</w:t>
      </w:r>
      <w:bookmarkEnd w:id="23"/>
    </w:p>
    <w:p w14:paraId="5D07F639" w14:textId="0C6CFCDA" w:rsidR="005267C8" w:rsidRDefault="001423E4" w:rsidP="00C23E8F">
      <w:r>
        <w:t xml:space="preserve">The comparator is testing offered to the family members of a presenting individual diagnosed with GSD II </w:t>
      </w:r>
      <w:r w:rsidR="00D96024">
        <w:t>following the onset of</w:t>
      </w:r>
      <w:r>
        <w:t xml:space="preserve"> symptoms</w:t>
      </w:r>
      <w:r w:rsidR="005267C8">
        <w:t xml:space="preserve"> as follows:</w:t>
      </w:r>
    </w:p>
    <w:p w14:paraId="6746C862" w14:textId="5933C987" w:rsidR="005267C8" w:rsidRDefault="001423E4" w:rsidP="0078218A">
      <w:pPr>
        <w:pStyle w:val="ListParagraph"/>
        <w:numPr>
          <w:ilvl w:val="0"/>
          <w:numId w:val="17"/>
        </w:numPr>
      </w:pPr>
      <w:r w:rsidRPr="02E2EE7D">
        <w:t xml:space="preserve">Parents would be offered testing for P/LP variants to determine </w:t>
      </w:r>
      <w:r w:rsidR="00CA3848">
        <w:t>segregation of the identified variants</w:t>
      </w:r>
      <w:r w:rsidRPr="02E2EE7D">
        <w:t xml:space="preserve">, </w:t>
      </w:r>
    </w:p>
    <w:p w14:paraId="05A5E862" w14:textId="77777777" w:rsidR="005267C8" w:rsidRDefault="005267C8" w:rsidP="0078218A">
      <w:pPr>
        <w:pStyle w:val="ListParagraph"/>
        <w:numPr>
          <w:ilvl w:val="0"/>
          <w:numId w:val="17"/>
        </w:numPr>
      </w:pPr>
      <w:r>
        <w:t>S</w:t>
      </w:r>
      <w:r w:rsidR="001423E4">
        <w:t xml:space="preserve">iblings would be offered biochemical testing to detect GAA enzyme levels followed by genetic testing if they have low enzyme levels. </w:t>
      </w:r>
    </w:p>
    <w:p w14:paraId="5AE5469F" w14:textId="1CD6B227" w:rsidR="005267C8" w:rsidRDefault="00981E62" w:rsidP="00C23E8F">
      <w:r w:rsidRPr="02E2EE7D">
        <w:t xml:space="preserve">The </w:t>
      </w:r>
      <w:r w:rsidR="001423E4" w:rsidRPr="02E2EE7D">
        <w:t>testing protocol</w:t>
      </w:r>
      <w:r w:rsidR="00A51456">
        <w:t xml:space="preserve"> for family members</w:t>
      </w:r>
      <w:r w:rsidR="001423E4" w:rsidRPr="02E2EE7D">
        <w:t xml:space="preserve"> itself would be identical, regardless of whether the proband or index case is identified through NBS or after symptom onset</w:t>
      </w:r>
      <w:r w:rsidR="75CE4BFB" w:rsidRPr="02E2EE7D">
        <w:t>;</w:t>
      </w:r>
      <w:r w:rsidR="001423E4" w:rsidRPr="02E2EE7D">
        <w:t xml:space="preserve"> the only thing that would differ is the timing of testing, due to the difference in timing of diagnosis of the index case</w:t>
      </w:r>
      <w:r w:rsidR="4A7DACAA" w:rsidRPr="02E2EE7D">
        <w:t>s</w:t>
      </w:r>
      <w:r w:rsidR="7B7B859F" w:rsidRPr="02E2EE7D">
        <w:t>/probands</w:t>
      </w:r>
      <w:r w:rsidR="4A7DACAA" w:rsidRPr="02E2EE7D">
        <w:t xml:space="preserve"> with </w:t>
      </w:r>
      <w:r w:rsidR="7EC366F9" w:rsidRPr="02E2EE7D">
        <w:t>GSD II</w:t>
      </w:r>
      <w:r w:rsidR="001423E4" w:rsidRPr="02E2EE7D">
        <w:t xml:space="preserve">. </w:t>
      </w:r>
      <w:r w:rsidR="0AEEB2A3" w:rsidRPr="02E2EE7D">
        <w:t>The difference in timing would be less than a year when the index case</w:t>
      </w:r>
      <w:r w:rsidR="6FFD58DA" w:rsidRPr="02E2EE7D">
        <w:t>/proband</w:t>
      </w:r>
      <w:r w:rsidR="0AEEB2A3" w:rsidRPr="02E2EE7D">
        <w:t xml:space="preserve"> has IOGSD </w:t>
      </w:r>
      <w:proofErr w:type="gramStart"/>
      <w:r w:rsidR="0AEEB2A3" w:rsidRPr="02E2EE7D">
        <w:t>II, but</w:t>
      </w:r>
      <w:proofErr w:type="gramEnd"/>
      <w:r w:rsidR="0AEEB2A3" w:rsidRPr="02E2EE7D">
        <w:t xml:space="preserve"> may be decades if the index case</w:t>
      </w:r>
      <w:r w:rsidR="0619A49C" w:rsidRPr="02E2EE7D">
        <w:t>/proband</w:t>
      </w:r>
      <w:r w:rsidR="0AEEB2A3" w:rsidRPr="02E2EE7D">
        <w:t xml:space="preserve"> has </w:t>
      </w:r>
      <w:r w:rsidR="6F8FB312" w:rsidRPr="02E2EE7D">
        <w:t>LOGSD II.</w:t>
      </w:r>
    </w:p>
    <w:p w14:paraId="223CE7EF" w14:textId="77777777" w:rsidR="00ED5CB7" w:rsidRPr="00ED5CB7" w:rsidRDefault="00ED5CB7" w:rsidP="00ED5CB7">
      <w:pPr>
        <w:pStyle w:val="Heading2"/>
        <w:numPr>
          <w:ilvl w:val="0"/>
          <w:numId w:val="36"/>
        </w:numPr>
        <w:ind w:hanging="720"/>
      </w:pPr>
      <w:bookmarkStart w:id="24" w:name="_Toc69491421"/>
      <w:bookmarkStart w:id="25" w:name="_Hlk193982804"/>
      <w:r w:rsidRPr="003A793E">
        <w:t>Summary of public consultation input</w:t>
      </w:r>
      <w:bookmarkEnd w:id="24"/>
    </w:p>
    <w:bookmarkEnd w:id="25"/>
    <w:p w14:paraId="48AA802C" w14:textId="77777777" w:rsidR="00ED5CB7" w:rsidRPr="00ED5CB7" w:rsidRDefault="00ED5CB7" w:rsidP="00ED5CB7">
      <w:r w:rsidRPr="00ED5CB7">
        <w:t xml:space="preserve">Consultation input was received from 12 organisations and 19 individuals, 7 of whom were individuals with the condition, 10 identified as carers or </w:t>
      </w:r>
      <w:proofErr w:type="gramStart"/>
      <w:r w:rsidRPr="00ED5CB7">
        <w:t>other</w:t>
      </w:r>
      <w:proofErr w:type="gramEnd"/>
      <w:r w:rsidRPr="00ED5CB7">
        <w:t xml:space="preserve"> interested individual, one researcher and one specialist. The organisations that provided input were: </w:t>
      </w:r>
    </w:p>
    <w:p w14:paraId="5003FBCA" w14:textId="77777777" w:rsidR="00ED5CB7" w:rsidRPr="00ED5CB7" w:rsidRDefault="00ED5CB7" w:rsidP="00ED5CB7">
      <w:pPr>
        <w:pStyle w:val="ListParagraph"/>
        <w:numPr>
          <w:ilvl w:val="0"/>
          <w:numId w:val="37"/>
        </w:numPr>
        <w:spacing w:before="0"/>
      </w:pPr>
      <w:r w:rsidRPr="00ED5CB7">
        <w:t xml:space="preserve">Australian Pompe Association </w:t>
      </w:r>
    </w:p>
    <w:p w14:paraId="43DF4C20" w14:textId="77777777" w:rsidR="00ED5CB7" w:rsidRPr="00ED5CB7" w:rsidRDefault="00ED5CB7" w:rsidP="00ED5CB7">
      <w:pPr>
        <w:pStyle w:val="ListParagraph"/>
        <w:numPr>
          <w:ilvl w:val="0"/>
          <w:numId w:val="37"/>
        </w:numPr>
        <w:spacing w:before="0"/>
      </w:pPr>
      <w:r w:rsidRPr="00ED5CB7">
        <w:t xml:space="preserve">Western Australian Newborn Bloodspot Screening Program (WA NBS) </w:t>
      </w:r>
    </w:p>
    <w:p w14:paraId="687835FF" w14:textId="77777777" w:rsidR="00ED5CB7" w:rsidRPr="00ED5CB7" w:rsidRDefault="00ED5CB7" w:rsidP="00ED5CB7">
      <w:pPr>
        <w:pStyle w:val="ListParagraph"/>
        <w:numPr>
          <w:ilvl w:val="0"/>
          <w:numId w:val="37"/>
        </w:numPr>
        <w:spacing w:before="0"/>
      </w:pPr>
      <w:r w:rsidRPr="00ED5CB7">
        <w:t xml:space="preserve">Australasian Society of Inborn Errors of Metabolism (ASIEM) [special interest group of Human Genetics Society of Australasia (HGSA)] </w:t>
      </w:r>
    </w:p>
    <w:p w14:paraId="66BC77B0" w14:textId="77777777" w:rsidR="00ED5CB7" w:rsidRPr="00ED5CB7" w:rsidRDefault="00ED5CB7" w:rsidP="00ED5CB7">
      <w:pPr>
        <w:pStyle w:val="ListParagraph"/>
        <w:numPr>
          <w:ilvl w:val="0"/>
          <w:numId w:val="37"/>
        </w:numPr>
        <w:spacing w:before="0"/>
      </w:pPr>
      <w:r w:rsidRPr="00ED5CB7">
        <w:t>Rare Voices Australia (RVA)</w:t>
      </w:r>
    </w:p>
    <w:p w14:paraId="67488509" w14:textId="77777777" w:rsidR="00ED5CB7" w:rsidRPr="00ED5CB7" w:rsidRDefault="00ED5CB7" w:rsidP="00ED5CB7">
      <w:pPr>
        <w:pStyle w:val="ListParagraph"/>
        <w:numPr>
          <w:ilvl w:val="0"/>
          <w:numId w:val="37"/>
        </w:numPr>
        <w:spacing w:before="0"/>
      </w:pPr>
      <w:r w:rsidRPr="00ED5CB7">
        <w:t xml:space="preserve">Genetic Alliance Australia (GAA) </w:t>
      </w:r>
    </w:p>
    <w:p w14:paraId="64248BE6" w14:textId="0C8D8319" w:rsidR="00ED5CB7" w:rsidRPr="00ED5CB7" w:rsidRDefault="00ED5CB7" w:rsidP="00ED5CB7">
      <w:pPr>
        <w:pStyle w:val="ListParagraph"/>
        <w:numPr>
          <w:ilvl w:val="0"/>
          <w:numId w:val="37"/>
        </w:numPr>
        <w:spacing w:before="0"/>
      </w:pPr>
      <w:r>
        <w:t xml:space="preserve">Genetic Support Network Victoria </w:t>
      </w:r>
      <w:r w:rsidR="22F2269C">
        <w:t>(GSNV)</w:t>
      </w:r>
    </w:p>
    <w:p w14:paraId="6917EA64" w14:textId="77777777" w:rsidR="00ED5CB7" w:rsidRPr="00ED5CB7" w:rsidRDefault="00ED5CB7" w:rsidP="00ED5CB7">
      <w:pPr>
        <w:pStyle w:val="ListParagraph"/>
        <w:numPr>
          <w:ilvl w:val="0"/>
          <w:numId w:val="37"/>
        </w:numPr>
        <w:spacing w:before="0"/>
      </w:pPr>
      <w:r w:rsidRPr="00ED5CB7">
        <w:t xml:space="preserve">Australian Genomics </w:t>
      </w:r>
    </w:p>
    <w:p w14:paraId="5587F77C" w14:textId="77777777" w:rsidR="00ED5CB7" w:rsidRPr="00ED5CB7" w:rsidRDefault="00ED5CB7" w:rsidP="00ED5CB7">
      <w:pPr>
        <w:pStyle w:val="ListParagraph"/>
        <w:numPr>
          <w:ilvl w:val="0"/>
          <w:numId w:val="37"/>
        </w:numPr>
        <w:spacing w:before="0"/>
      </w:pPr>
      <w:r w:rsidRPr="00ED5CB7">
        <w:t xml:space="preserve">Statewide Biochemical Genetics Service within SA Pathology (SA Pathology) – the national diagnosis service for GSD II. </w:t>
      </w:r>
    </w:p>
    <w:p w14:paraId="5C2E453C" w14:textId="77777777" w:rsidR="00ED5CB7" w:rsidRPr="00ED5CB7" w:rsidRDefault="00ED5CB7" w:rsidP="00ED5CB7">
      <w:pPr>
        <w:pStyle w:val="ListParagraph"/>
        <w:numPr>
          <w:ilvl w:val="0"/>
          <w:numId w:val="37"/>
        </w:numPr>
        <w:spacing w:before="0"/>
      </w:pPr>
      <w:r w:rsidRPr="00ED5CB7">
        <w:t>Sanofi-Aventis Australia (Sanofi) x 2</w:t>
      </w:r>
    </w:p>
    <w:p w14:paraId="7622EBEE" w14:textId="77777777" w:rsidR="00ED5CB7" w:rsidRPr="00ED5CB7" w:rsidRDefault="00ED5CB7" w:rsidP="00ED5CB7">
      <w:pPr>
        <w:pStyle w:val="ListParagraph"/>
        <w:numPr>
          <w:ilvl w:val="0"/>
          <w:numId w:val="37"/>
        </w:numPr>
        <w:spacing w:before="0"/>
      </w:pPr>
      <w:r w:rsidRPr="00ED5CB7">
        <w:t xml:space="preserve">New South Wales Newborn Screening Programme (NSW NBS) </w:t>
      </w:r>
    </w:p>
    <w:p w14:paraId="34C20133" w14:textId="77777777" w:rsidR="00ED5CB7" w:rsidRPr="00ED5CB7" w:rsidRDefault="00ED5CB7" w:rsidP="00ED5CB7">
      <w:pPr>
        <w:pStyle w:val="ListParagraph"/>
        <w:numPr>
          <w:ilvl w:val="0"/>
          <w:numId w:val="37"/>
        </w:numPr>
        <w:spacing w:before="0"/>
      </w:pPr>
      <w:r w:rsidRPr="00ED5CB7">
        <w:t>Royal College of Pathologists of Australasia (RCPA)</w:t>
      </w:r>
    </w:p>
    <w:p w14:paraId="11B4BF32" w14:textId="77777777" w:rsidR="00ED5CB7" w:rsidRPr="00ED5CB7" w:rsidRDefault="00ED5CB7" w:rsidP="00ED5CB7">
      <w:pPr>
        <w:pStyle w:val="ListParagraph"/>
        <w:numPr>
          <w:ilvl w:val="0"/>
          <w:numId w:val="37"/>
        </w:numPr>
        <w:spacing w:before="0"/>
      </w:pPr>
      <w:r w:rsidRPr="00ED5CB7">
        <w:t xml:space="preserve">Royal Australian and New Zealand College of Obstetricians and Gynaecologists (RANZCOG) </w:t>
      </w:r>
    </w:p>
    <w:p w14:paraId="5E17A772" w14:textId="77777777" w:rsidR="00ED5CB7" w:rsidRDefault="00ED5CB7" w:rsidP="00ED5CB7">
      <w:pPr>
        <w:rPr>
          <w:color w:val="FF0000"/>
          <w:sz w:val="24"/>
          <w:szCs w:val="24"/>
        </w:rPr>
      </w:pPr>
      <w:r w:rsidRPr="5082527A">
        <w:rPr>
          <w:b/>
          <w:bCs/>
          <w:sz w:val="24"/>
          <w:szCs w:val="24"/>
        </w:rPr>
        <w:t xml:space="preserve">Level of support for public funding </w:t>
      </w:r>
    </w:p>
    <w:p w14:paraId="4C7FA8CA" w14:textId="77777777" w:rsidR="00ED5CB7" w:rsidRPr="00ED5CB7" w:rsidRDefault="00ED5CB7" w:rsidP="00ED5CB7">
      <w:r w:rsidRPr="00ED5CB7">
        <w:t xml:space="preserve">The consultation feedback received was supportive of public funding for Newborn bloodspot screening (NBS) for GSD II. The consultation feedback highlighted concerns regarding the testing methods </w:t>
      </w:r>
      <w:proofErr w:type="gramStart"/>
      <w:r w:rsidRPr="00ED5CB7">
        <w:t>and also</w:t>
      </w:r>
      <w:proofErr w:type="gramEnd"/>
      <w:r w:rsidRPr="00ED5CB7">
        <w:t xml:space="preserve"> raised that LOGSD II (an adult-onset condition) will be the main condition diagnosed through NBS for GSD II.</w:t>
      </w:r>
    </w:p>
    <w:p w14:paraId="587B2832" w14:textId="77777777" w:rsidR="00ED5CB7" w:rsidRPr="00EB0EC8" w:rsidRDefault="00ED5CB7" w:rsidP="00ED5CB7">
      <w:pPr>
        <w:rPr>
          <w:sz w:val="24"/>
          <w:szCs w:val="24"/>
        </w:rPr>
      </w:pPr>
      <w:r w:rsidRPr="5082527A">
        <w:rPr>
          <w:b/>
          <w:bCs/>
          <w:sz w:val="24"/>
          <w:szCs w:val="24"/>
        </w:rPr>
        <w:t xml:space="preserve">Perceived Advantages </w:t>
      </w:r>
    </w:p>
    <w:p w14:paraId="07C1E5B4" w14:textId="51608D0E" w:rsidR="00ED5CB7" w:rsidRPr="00ED5CB7" w:rsidRDefault="00ED5CB7" w:rsidP="00ED5CB7">
      <w:pPr>
        <w:pStyle w:val="ListParagraph"/>
        <w:numPr>
          <w:ilvl w:val="0"/>
          <w:numId w:val="38"/>
        </w:numPr>
        <w:spacing w:before="0"/>
      </w:pPr>
      <w:r>
        <w:t>Timely diagnosis</w:t>
      </w:r>
      <w:r w:rsidR="705CDC6F">
        <w:t>.</w:t>
      </w:r>
    </w:p>
    <w:p w14:paraId="3495CE35" w14:textId="42064CCB" w:rsidR="00ED5CB7" w:rsidRPr="00ED5CB7" w:rsidRDefault="00ED5CB7" w:rsidP="00ED5CB7">
      <w:pPr>
        <w:pStyle w:val="ListParagraph"/>
        <w:numPr>
          <w:ilvl w:val="0"/>
          <w:numId w:val="38"/>
        </w:numPr>
        <w:spacing w:before="0"/>
      </w:pPr>
      <w:r>
        <w:t>Avoiding diagnostic odyssey</w:t>
      </w:r>
      <w:r w:rsidR="705CDC6F">
        <w:t>.</w:t>
      </w:r>
    </w:p>
    <w:p w14:paraId="72149A59" w14:textId="3F6EB983" w:rsidR="00ED5CB7" w:rsidRPr="00ED5CB7" w:rsidRDefault="00ED5CB7" w:rsidP="00ED5CB7">
      <w:pPr>
        <w:pStyle w:val="ListParagraph"/>
        <w:numPr>
          <w:ilvl w:val="0"/>
          <w:numId w:val="38"/>
        </w:numPr>
        <w:spacing w:before="0"/>
      </w:pPr>
      <w:r>
        <w:t>Earlier treatment to reduce symptoms, reduce disease progression, reduce disability, improve quality of life and prevent deaths</w:t>
      </w:r>
      <w:r w:rsidR="09EECB15">
        <w:t>.</w:t>
      </w:r>
    </w:p>
    <w:p w14:paraId="1B723308" w14:textId="2964DEE7" w:rsidR="00ED5CB7" w:rsidRPr="00ED5CB7" w:rsidRDefault="00ED5CB7" w:rsidP="00ED5CB7">
      <w:pPr>
        <w:pStyle w:val="ListParagraph"/>
        <w:numPr>
          <w:ilvl w:val="0"/>
          <w:numId w:val="38"/>
        </w:numPr>
        <w:spacing w:before="0"/>
      </w:pPr>
      <w:r>
        <w:t>Improve equity of access</w:t>
      </w:r>
      <w:r w:rsidR="1DBD0871">
        <w:t>.</w:t>
      </w:r>
    </w:p>
    <w:p w14:paraId="6C62EED1" w14:textId="6C1743DB" w:rsidR="00ED5CB7" w:rsidRPr="00ED5CB7" w:rsidRDefault="00ED5CB7" w:rsidP="00ED5CB7">
      <w:pPr>
        <w:pStyle w:val="ListParagraph"/>
        <w:numPr>
          <w:ilvl w:val="0"/>
          <w:numId w:val="38"/>
        </w:numPr>
        <w:spacing w:before="0"/>
      </w:pPr>
      <w:r>
        <w:t>Allowing preconception testing and cascade testing to ensure that families are aware of genetic diseases like Pompe</w:t>
      </w:r>
      <w:r w:rsidR="1DBD0871">
        <w:t>.</w:t>
      </w:r>
    </w:p>
    <w:p w14:paraId="2A70C415" w14:textId="77777777" w:rsidR="00ED5CB7" w:rsidRPr="00B01D6C" w:rsidRDefault="00ED5CB7" w:rsidP="00ED5CB7">
      <w:pPr>
        <w:rPr>
          <w:sz w:val="24"/>
          <w:szCs w:val="24"/>
        </w:rPr>
      </w:pPr>
      <w:r w:rsidRPr="5082527A">
        <w:rPr>
          <w:b/>
          <w:bCs/>
          <w:sz w:val="24"/>
          <w:szCs w:val="24"/>
        </w:rPr>
        <w:t xml:space="preserve">Perceived Disadvantages </w:t>
      </w:r>
    </w:p>
    <w:p w14:paraId="431F32B8" w14:textId="0B65729B" w:rsidR="00ED5CB7" w:rsidRPr="00ED5CB7" w:rsidRDefault="00ED5CB7" w:rsidP="00ED5CB7">
      <w:pPr>
        <w:pStyle w:val="ListParagraph"/>
        <w:numPr>
          <w:ilvl w:val="0"/>
          <w:numId w:val="39"/>
        </w:numPr>
        <w:spacing w:before="0"/>
      </w:pPr>
      <w:r>
        <w:t>Limitations with the proposed screening tests</w:t>
      </w:r>
      <w:r w:rsidR="6E981501">
        <w:t>.</w:t>
      </w:r>
    </w:p>
    <w:p w14:paraId="1EE99590" w14:textId="7D0E6A80" w:rsidR="00ED5CB7" w:rsidRPr="00ED5CB7" w:rsidRDefault="00ED5CB7" w:rsidP="00ED5CB7">
      <w:pPr>
        <w:pStyle w:val="ListParagraph"/>
        <w:numPr>
          <w:ilvl w:val="0"/>
          <w:numId w:val="39"/>
        </w:numPr>
        <w:spacing w:before="0"/>
      </w:pPr>
      <w:r w:rsidRPr="00ED5CB7">
        <w:t xml:space="preserve">NBS currently captures the full spectrum of </w:t>
      </w:r>
      <w:r w:rsidR="0041743F">
        <w:t>GSD II</w:t>
      </w:r>
      <w:r w:rsidRPr="00ED5CB7">
        <w:t xml:space="preserve"> and is unable to differentiate between IOGSD II and LOGSD II. </w:t>
      </w:r>
    </w:p>
    <w:p w14:paraId="021B6B31" w14:textId="737D4992" w:rsidR="00ED5CB7" w:rsidRPr="00ED5CB7" w:rsidRDefault="00ED5CB7" w:rsidP="00ED5CB7">
      <w:pPr>
        <w:pStyle w:val="ListParagraph"/>
        <w:numPr>
          <w:ilvl w:val="0"/>
          <w:numId w:val="39"/>
        </w:numPr>
        <w:spacing w:before="0"/>
      </w:pPr>
      <w:r w:rsidRPr="00ED5CB7">
        <w:t>Ethical concerns related to identifying LOGSD II in newborns due to limited evidence to support very early diagnosis of LOGSD II cases.</w:t>
      </w:r>
    </w:p>
    <w:p w14:paraId="70EBDAEA" w14:textId="77777777" w:rsidR="00ED5CB7" w:rsidRPr="00ED5CB7" w:rsidRDefault="00ED5CB7" w:rsidP="00ED5CB7">
      <w:pPr>
        <w:pStyle w:val="ListParagraph"/>
        <w:numPr>
          <w:ilvl w:val="0"/>
          <w:numId w:val="39"/>
        </w:numPr>
        <w:spacing w:before="0"/>
      </w:pPr>
      <w:r w:rsidRPr="00ED5CB7">
        <w:t>Complexities also include ethical issues associated with screening a baby for an adult disease, managing counselling and future expectations of the patient.</w:t>
      </w:r>
    </w:p>
    <w:p w14:paraId="233A31FB" w14:textId="77777777" w:rsidR="00ED5CB7" w:rsidRPr="00D47FD2" w:rsidRDefault="00ED5CB7" w:rsidP="00ED5CB7">
      <w:pPr>
        <w:rPr>
          <w:b/>
          <w:bCs/>
          <w:sz w:val="24"/>
          <w:szCs w:val="24"/>
        </w:rPr>
      </w:pPr>
      <w:r w:rsidRPr="5807BD94">
        <w:rPr>
          <w:b/>
          <w:bCs/>
          <w:sz w:val="24"/>
          <w:szCs w:val="24"/>
        </w:rPr>
        <w:t xml:space="preserve">Support for Implementation /issues </w:t>
      </w:r>
    </w:p>
    <w:p w14:paraId="0A9C350A" w14:textId="77777777" w:rsidR="00ED5CB7" w:rsidRPr="00ED5CB7" w:rsidRDefault="00ED5CB7" w:rsidP="00ED5CB7">
      <w:pPr>
        <w:rPr>
          <w:rFonts w:eastAsia="Calibri" w:cs="Calibri"/>
        </w:rPr>
      </w:pPr>
      <w:r w:rsidRPr="00ED5CB7">
        <w:rPr>
          <w:rFonts w:eastAsia="Calibri" w:cs="Calibri"/>
        </w:rPr>
        <w:t xml:space="preserve">Other services identified in the consultation feedback requiring resourcing before or after the intervention included staffing, equipment, facilities for NBS labs, resources for first and second tier testing, services to manage false positives, confirmatory diagnostic testing (including genetic testing), genetic counselling, clinical guidelines and treatment algorithms specific for Australia, counselling for families of newborns identified as having LOGSD II, tertiary metabolic services and multidisciplinary care for GSD II including ERT. Consultation input also noted that a range of health services may be required to care for people with symptomatic GSD II. </w:t>
      </w:r>
    </w:p>
    <w:p w14:paraId="545D8179" w14:textId="217BEF55" w:rsidR="00ED5CB7" w:rsidRPr="00ED5CB7" w:rsidRDefault="00ED5CB7" w:rsidP="00C23E8F">
      <w:pPr>
        <w:rPr>
          <w:rFonts w:eastAsia="Calibri" w:cs="Calibri"/>
        </w:rPr>
      </w:pPr>
      <w:r w:rsidRPr="00ED5CB7">
        <w:rPr>
          <w:rFonts w:eastAsia="Calibri" w:cs="Calibri"/>
        </w:rPr>
        <w:t xml:space="preserve">Consumers who responded included people with GSD II (predominantly late onset or not specified) and family members caring for or friends of people with GSD II. Several respondents stated there is a long, difficult and costly process before being diagnosed with GSD II and during this time some developed worsening symptoms. Consumers supported the service and highlighted the ‘value of knowing’ being important to them as it would inform reproductive decision making, lead to parents being better prepared for a child’s disabilities, and people with LOGSD II being able to make decisions that accommodate future disability. </w:t>
      </w:r>
    </w:p>
    <w:p w14:paraId="03C7A1F1" w14:textId="7F43765C" w:rsidR="00772829" w:rsidRPr="00CE28E3" w:rsidRDefault="00772829" w:rsidP="00ED5CB7">
      <w:pPr>
        <w:pStyle w:val="Heading2"/>
        <w:numPr>
          <w:ilvl w:val="0"/>
          <w:numId w:val="36"/>
        </w:numPr>
        <w:ind w:hanging="720"/>
      </w:pPr>
      <w:bookmarkStart w:id="26" w:name="_Toc184839271"/>
      <w:r w:rsidRPr="00CE28E3">
        <w:t>Characteristics of the evidence base</w:t>
      </w:r>
      <w:bookmarkEnd w:id="26"/>
    </w:p>
    <w:p w14:paraId="1E0DFFF1" w14:textId="4DFC0C30" w:rsidR="0034368A" w:rsidRPr="009D7739" w:rsidRDefault="006F393C" w:rsidP="0034368A">
      <w:r>
        <w:t>The summary of i</w:t>
      </w:r>
      <w:r w:rsidR="0034368A">
        <w:t xml:space="preserve">ncluded evidence </w:t>
      </w:r>
      <w:r>
        <w:t xml:space="preserve">is presented </w:t>
      </w:r>
      <w:r w:rsidR="0034368A">
        <w:t xml:space="preserve">in </w:t>
      </w:r>
      <w:r w:rsidR="0034368A">
        <w:fldChar w:fldCharType="begin"/>
      </w:r>
      <w:r w:rsidR="0034368A">
        <w:instrText xml:space="preserve"> REF _Ref69725659 \h </w:instrText>
      </w:r>
      <w:r w:rsidR="0034368A">
        <w:fldChar w:fldCharType="separate"/>
      </w:r>
      <w:r w:rsidR="00263379" w:rsidRPr="00CE28E3">
        <w:t>Table</w:t>
      </w:r>
      <w:r w:rsidR="00263379">
        <w:t> </w:t>
      </w:r>
      <w:r w:rsidR="00263379">
        <w:rPr>
          <w:noProof/>
        </w:rPr>
        <w:t>2</w:t>
      </w:r>
      <w:r w:rsidR="0034368A">
        <w:fldChar w:fldCharType="end"/>
      </w:r>
      <w:r w:rsidR="0034368A">
        <w:t>.</w:t>
      </w:r>
    </w:p>
    <w:p w14:paraId="23A66950" w14:textId="6C2CBFE2" w:rsidR="00E76E2C" w:rsidRDefault="00E76E2C" w:rsidP="00E76E2C">
      <w:pPr>
        <w:pStyle w:val="Heading3"/>
      </w:pPr>
      <w:bookmarkStart w:id="27" w:name="_Toc184839272"/>
      <w:r>
        <w:t>PICO Set 1: Newborns</w:t>
      </w:r>
      <w:bookmarkEnd w:id="27"/>
    </w:p>
    <w:p w14:paraId="03B34BEF" w14:textId="60BDF71F" w:rsidR="00B96F94" w:rsidRDefault="00A1088E" w:rsidP="00A1088E">
      <w:pPr>
        <w:rPr>
          <w:b/>
          <w:bCs/>
        </w:rPr>
      </w:pPr>
      <w:r w:rsidRPr="02E2EE7D">
        <w:t>One systematic review (SR) published in 2013 met inclusion criteria. Kemper et al. (2013)</w:t>
      </w:r>
      <w:r w:rsidR="0012092B" w:rsidRPr="02E2EE7D">
        <w:rPr>
          <w:rStyle w:val="FootnoteReference"/>
        </w:rPr>
        <w:footnoteReference w:id="19"/>
      </w:r>
      <w:r w:rsidRPr="02E2EE7D">
        <w:t xml:space="preserve"> made indirect comparisons between sub-populations that had undergone NBS and that had been diagnosed following symptom onset from Taiwan, and the Pompe registry population data sets. </w:t>
      </w:r>
      <w:r w:rsidR="009D1CA6" w:rsidRPr="02E2EE7D">
        <w:t xml:space="preserve">An additional 11 </w:t>
      </w:r>
      <w:r w:rsidRPr="02E2EE7D">
        <w:t xml:space="preserve">primary studies </w:t>
      </w:r>
      <w:r w:rsidR="58A91DC6" w:rsidRPr="02E2EE7D">
        <w:t xml:space="preserve">evaluating NBS </w:t>
      </w:r>
      <w:r w:rsidRPr="02E2EE7D">
        <w:t>published from 2013 onwards were also included for direct test to health outcome evidence</w:t>
      </w:r>
      <w:r w:rsidR="52607398" w:rsidRPr="02E2EE7D">
        <w:t>;</w:t>
      </w:r>
      <w:r w:rsidRPr="02E2EE7D">
        <w:t xml:space="preserve"> these</w:t>
      </w:r>
      <w:r w:rsidR="009D1CA6" w:rsidRPr="02E2EE7D">
        <w:t xml:space="preserve"> </w:t>
      </w:r>
      <w:r w:rsidRPr="02E2EE7D">
        <w:t xml:space="preserve">were based </w:t>
      </w:r>
      <w:r w:rsidR="21468C26" w:rsidRPr="02E2EE7D">
        <w:t xml:space="preserve">in </w:t>
      </w:r>
      <w:r w:rsidR="42CCCB8B" w:rsidRPr="02E2EE7D">
        <w:t>Taiwan,</w:t>
      </w:r>
      <w:r w:rsidRPr="02E2EE7D">
        <w:t xml:space="preserve"> Italy</w:t>
      </w:r>
      <w:r w:rsidR="40F86DD7" w:rsidRPr="02E2EE7D">
        <w:t>, Japan and the United States</w:t>
      </w:r>
      <w:r w:rsidRPr="02E2EE7D">
        <w:t xml:space="preserve">. </w:t>
      </w:r>
      <w:r w:rsidR="6876736B" w:rsidRPr="02E2EE7D">
        <w:t>Four</w:t>
      </w:r>
      <w:r w:rsidRPr="02E2EE7D">
        <w:t xml:space="preserve"> </w:t>
      </w:r>
      <w:r w:rsidR="009D1CA6" w:rsidRPr="02E2EE7D">
        <w:t>publications</w:t>
      </w:r>
      <w:r w:rsidRPr="02E2EE7D">
        <w:t xml:space="preserve"> were cohort studies with historical comparators, and </w:t>
      </w:r>
      <w:r w:rsidR="093964A4" w:rsidRPr="02E2EE7D">
        <w:t>two studies were</w:t>
      </w:r>
      <w:r w:rsidRPr="02E2EE7D">
        <w:t xml:space="preserve"> case series with naïve indirect comparison</w:t>
      </w:r>
      <w:r w:rsidR="6046A9D9" w:rsidRPr="02E2EE7D">
        <w:t>s</w:t>
      </w:r>
      <w:r w:rsidRPr="02E2EE7D">
        <w:t xml:space="preserve">. </w:t>
      </w:r>
      <w:r w:rsidR="4A158394" w:rsidRPr="02E2EE7D">
        <w:t>Two of the comparat</w:t>
      </w:r>
      <w:r w:rsidR="55038C45" w:rsidRPr="02E2EE7D">
        <w:t>ive</w:t>
      </w:r>
      <w:r w:rsidR="4A158394" w:rsidRPr="02E2EE7D">
        <w:t xml:space="preserve"> studies evaluated </w:t>
      </w:r>
      <w:r w:rsidR="5700EEA6" w:rsidRPr="02E2EE7D">
        <w:t>enzyme replacement therapy (</w:t>
      </w:r>
      <w:r w:rsidR="4A158394" w:rsidRPr="02E2EE7D">
        <w:t>ERT</w:t>
      </w:r>
      <w:r w:rsidR="761ADD38" w:rsidRPr="02E2EE7D">
        <w:t>)</w:t>
      </w:r>
      <w:r w:rsidR="4A158394" w:rsidRPr="02E2EE7D">
        <w:t xml:space="preserve"> administered </w:t>
      </w:r>
      <w:r w:rsidR="61D35960" w:rsidRPr="02E2EE7D">
        <w:t xml:space="preserve">fortnightly </w:t>
      </w:r>
      <w:r w:rsidR="4A158394" w:rsidRPr="02E2EE7D">
        <w:t>at higher doses than the approved do</w:t>
      </w:r>
      <w:r w:rsidR="3AC096F7" w:rsidRPr="02E2EE7D">
        <w:t>s</w:t>
      </w:r>
      <w:r w:rsidR="4A158394" w:rsidRPr="02E2EE7D">
        <w:t>e regimen in Australia of 20mg/kg</w:t>
      </w:r>
      <w:r w:rsidR="13511AFF" w:rsidRPr="02E2EE7D">
        <w:t xml:space="preserve"> </w:t>
      </w:r>
      <w:r w:rsidR="35AE1D01" w:rsidRPr="02E2EE7D">
        <w:t>of body weight.</w:t>
      </w:r>
      <w:r w:rsidRPr="02E2EE7D">
        <w:t xml:space="preserve"> The remaining seven </w:t>
      </w:r>
      <w:r w:rsidR="19CE6435" w:rsidRPr="02E2EE7D">
        <w:t xml:space="preserve">publications </w:t>
      </w:r>
      <w:r w:rsidRPr="02E2EE7D">
        <w:t>were case series, including the Italian study. There was</w:t>
      </w:r>
      <w:r w:rsidR="00247DB0" w:rsidRPr="02E2EE7D">
        <w:t xml:space="preserve"> </w:t>
      </w:r>
      <w:r w:rsidRPr="02E2EE7D">
        <w:t xml:space="preserve">overlap between the </w:t>
      </w:r>
      <w:r w:rsidR="3C4B0685" w:rsidRPr="02E2EE7D">
        <w:t xml:space="preserve">patients included in the </w:t>
      </w:r>
      <w:r w:rsidRPr="02E2EE7D">
        <w:t>Taiwanese studies, but the</w:t>
      </w:r>
      <w:r w:rsidR="588F82F0" w:rsidRPr="02E2EE7D">
        <w:t xml:space="preserve"> publications were </w:t>
      </w:r>
      <w:r w:rsidR="0DF8A64E" w:rsidRPr="02E2EE7D">
        <w:t>still</w:t>
      </w:r>
      <w:r w:rsidRPr="02E2EE7D">
        <w:t xml:space="preserve"> included for their separate analyses. Risk of bias was assessed as high for the SR </w:t>
      </w:r>
      <w:r w:rsidR="004979AB" w:rsidRPr="02E2EE7D">
        <w:t xml:space="preserve">using the </w:t>
      </w:r>
      <w:r w:rsidR="68C2B52A" w:rsidRPr="02E2EE7D">
        <w:t>Assessing the Methodological Quality of Systematic Reviews – 2 (</w:t>
      </w:r>
      <w:r w:rsidR="004979AB" w:rsidRPr="02E2EE7D">
        <w:t>AMSTAR 2</w:t>
      </w:r>
      <w:r w:rsidR="0AE14C8B" w:rsidRPr="02E2EE7D">
        <w:t>)</w:t>
      </w:r>
      <w:r w:rsidR="004979AB" w:rsidRPr="02E2EE7D">
        <w:t xml:space="preserve"> </w:t>
      </w:r>
      <w:proofErr w:type="gramStart"/>
      <w:r w:rsidR="004979AB" w:rsidRPr="02E2EE7D">
        <w:t>checklist</w:t>
      </w:r>
      <w:proofErr w:type="gramEnd"/>
      <w:r w:rsidR="004979AB" w:rsidRPr="02E2EE7D">
        <w:t xml:space="preserve"> for </w:t>
      </w:r>
      <w:r w:rsidR="00025897" w:rsidRPr="02E2EE7D">
        <w:t>SR</w:t>
      </w:r>
      <w:r w:rsidR="004979AB" w:rsidRPr="02E2EE7D">
        <w:t>s. The risk of bias was rated</w:t>
      </w:r>
      <w:r w:rsidRPr="02E2EE7D" w:rsidDel="000C56BD">
        <w:t xml:space="preserve"> </w:t>
      </w:r>
      <w:r w:rsidR="000C56BD" w:rsidRPr="02E2EE7D">
        <w:t xml:space="preserve">moderate </w:t>
      </w:r>
      <w:r w:rsidRPr="02E2EE7D">
        <w:t>for the primary studies in the direct evidence</w:t>
      </w:r>
      <w:r w:rsidR="6E7BC223" w:rsidRPr="02E2EE7D">
        <w:t xml:space="preserve"> section</w:t>
      </w:r>
      <w:r w:rsidRPr="02E2EE7D">
        <w:t xml:space="preserve"> </w:t>
      </w:r>
      <w:r w:rsidR="000C56BD" w:rsidRPr="02E2EE7D">
        <w:t xml:space="preserve">that provided comparative evidence, </w:t>
      </w:r>
      <w:r w:rsidR="7E3A959D" w:rsidRPr="02E2EE7D">
        <w:t xml:space="preserve">because of the </w:t>
      </w:r>
      <w:r w:rsidR="6CCC782D" w:rsidRPr="02E2EE7D">
        <w:t>use of historical controls</w:t>
      </w:r>
      <w:r w:rsidR="000C56BD" w:rsidRPr="02E2EE7D">
        <w:t>, comparator populations</w:t>
      </w:r>
      <w:r w:rsidR="1445C0B5" w:rsidRPr="02E2EE7D">
        <w:t xml:space="preserve"> from other jurisdictions</w:t>
      </w:r>
      <w:r w:rsidR="7F25D769" w:rsidRPr="02E2EE7D">
        <w:t xml:space="preserve">, and lack of control for confounding factors. </w:t>
      </w:r>
    </w:p>
    <w:p w14:paraId="2C2AA002" w14:textId="0A69461C" w:rsidR="00A1088E" w:rsidRDefault="00A1088E" w:rsidP="00A1088E">
      <w:r w:rsidRPr="02E2EE7D">
        <w:t xml:space="preserve">There were 40 case series that met the inclusion criteria for evidence on test accuracy. </w:t>
      </w:r>
      <w:r w:rsidR="004979AB" w:rsidRPr="02E2EE7D">
        <w:t xml:space="preserve">The case series reporting on NBS programs were assessed using the </w:t>
      </w:r>
      <w:r w:rsidR="752FBF84" w:rsidRPr="02E2EE7D">
        <w:t xml:space="preserve">Quality Assessment of Diagnostic Accuracy </w:t>
      </w:r>
      <w:proofErr w:type="gramStart"/>
      <w:r w:rsidR="752FBF84" w:rsidRPr="02E2EE7D">
        <w:t>Studies–2</w:t>
      </w:r>
      <w:proofErr w:type="gramEnd"/>
      <w:r w:rsidR="752FBF84" w:rsidRPr="02E2EE7D">
        <w:t xml:space="preserve"> (</w:t>
      </w:r>
      <w:r w:rsidR="004979AB" w:rsidRPr="02E2EE7D">
        <w:t>QUADAS</w:t>
      </w:r>
      <w:r w:rsidR="1FC0D590" w:rsidRPr="02E2EE7D">
        <w:t>-</w:t>
      </w:r>
      <w:r w:rsidR="004979AB" w:rsidRPr="02E2EE7D">
        <w:t>2</w:t>
      </w:r>
      <w:r w:rsidR="1791720A" w:rsidRPr="02E2EE7D">
        <w:t>)</w:t>
      </w:r>
      <w:r w:rsidR="004979AB" w:rsidRPr="02E2EE7D">
        <w:t xml:space="preserve"> checklist for test accuracy studies. </w:t>
      </w:r>
      <w:r w:rsidRPr="02E2EE7D">
        <w:t xml:space="preserve">Twenty-nine case series provided evidence </w:t>
      </w:r>
      <w:r w:rsidR="009D1CA6" w:rsidRPr="02E2EE7D">
        <w:t>on</w:t>
      </w:r>
      <w:r w:rsidRPr="02E2EE7D">
        <w:t xml:space="preserve"> test results from NBS programs from 21 different jurisdictions. The SR by Kemper et al. (2013) contributed data f</w:t>
      </w:r>
      <w:r w:rsidR="2A8111AD" w:rsidRPr="02E2EE7D">
        <w:t>rom</w:t>
      </w:r>
      <w:r w:rsidRPr="02E2EE7D">
        <w:t xml:space="preserve"> three countries. The protocols used either tandem mass spectrometry (MS/MS) or fluorometry methodology for first-tier screening and a range of follow-up retesting, second-tier screening and/or confirmation methods. There were no protocols that matched the proposed method for Australian NBS,</w:t>
      </w:r>
      <w:r w:rsidR="004F5771" w:rsidRPr="02E2EE7D">
        <w:t xml:space="preserve"> with a ‘rapid genetic test’ to rule out common </w:t>
      </w:r>
      <w:proofErr w:type="spellStart"/>
      <w:r w:rsidR="004F5771" w:rsidRPr="02E2EE7D">
        <w:t>pseudodeficiencies</w:t>
      </w:r>
      <w:proofErr w:type="spellEnd"/>
      <w:r w:rsidRPr="02E2EE7D">
        <w:t xml:space="preserve">. The </w:t>
      </w:r>
      <w:r w:rsidR="004979AB" w:rsidRPr="02E2EE7D">
        <w:t>populations</w:t>
      </w:r>
      <w:r w:rsidRPr="02E2EE7D">
        <w:t xml:space="preserve"> ranged in size from 3,000 to 994,975 newborns, and the studies were assessed as low to moderate for risk of bias.</w:t>
      </w:r>
    </w:p>
    <w:p w14:paraId="0E4C7254" w14:textId="3833EF1A" w:rsidR="00B22D97" w:rsidRDefault="004F5771" w:rsidP="00B22D97">
      <w:r w:rsidRPr="02E2EE7D">
        <w:t xml:space="preserve">Change in management evidence came from a naïve indirect comparison of 28 case series. </w:t>
      </w:r>
      <w:r w:rsidR="00FF0160" w:rsidRPr="02E2EE7D">
        <w:t>Eight case series included LOGSD II cases identified through NBS, and two of the eight also included IOGSD II cases. One of the case series was based on Pompe registry data. There were 20 case series that reported on cases identified in symptomatic populations.</w:t>
      </w:r>
      <w:r w:rsidR="00D60B37" w:rsidRPr="02E2EE7D">
        <w:t xml:space="preserve"> </w:t>
      </w:r>
      <w:r w:rsidR="00FF0160" w:rsidRPr="02E2EE7D">
        <w:t xml:space="preserve">The case series </w:t>
      </w:r>
      <w:r w:rsidR="007F123C" w:rsidRPr="02E2EE7D">
        <w:t xml:space="preserve">studies </w:t>
      </w:r>
      <w:r w:rsidR="00FF0160" w:rsidRPr="02E2EE7D">
        <w:t xml:space="preserve">were not assessed for bias </w:t>
      </w:r>
      <w:r w:rsidRPr="02E2EE7D">
        <w:t xml:space="preserve">although a naïve indirect comparison of case series </w:t>
      </w:r>
      <w:r w:rsidR="5E871E76" w:rsidRPr="02E2EE7D">
        <w:t>studies</w:t>
      </w:r>
      <w:r w:rsidRPr="02E2EE7D">
        <w:t xml:space="preserve"> is inherently highly at risk of bias due to confounding factors (such as differences between healthcare systems that </w:t>
      </w:r>
      <w:r w:rsidR="007F123C" w:rsidRPr="02E2EE7D">
        <w:t>may</w:t>
      </w:r>
      <w:r w:rsidRPr="02E2EE7D">
        <w:t xml:space="preserve"> lead to differences in timing of diagnosis or availability of ERT).</w:t>
      </w:r>
      <w:r w:rsidR="00FF0160" w:rsidRPr="02E2EE7D">
        <w:t xml:space="preserve"> </w:t>
      </w:r>
      <w:r w:rsidR="007F123C" w:rsidRPr="02E2EE7D">
        <w:t>Consequently, the findings from these studies should be interpreted with some caution</w:t>
      </w:r>
      <w:r w:rsidR="00976724" w:rsidRPr="02E2EE7D">
        <w:t>, as the direction of effect of any bias is unknown</w:t>
      </w:r>
      <w:r w:rsidR="007F123C" w:rsidRPr="02E2EE7D">
        <w:t>.</w:t>
      </w:r>
    </w:p>
    <w:p w14:paraId="6A0E7806" w14:textId="27A17640" w:rsidR="00663FC5" w:rsidRDefault="00663FC5" w:rsidP="00B22D97">
      <w:r w:rsidRPr="02E2EE7D">
        <w:t>A total of 11 studies (two SRs and nine primary studies) met the inclusion criteria for assessing evidence on health outcomes resulting from early compared to late ERT</w:t>
      </w:r>
      <w:r w:rsidR="009265EE" w:rsidRPr="02E2EE7D">
        <w:t xml:space="preserve"> for IOGSD II</w:t>
      </w:r>
      <w:r w:rsidRPr="02E2EE7D">
        <w:t xml:space="preserve">. The SR by Kemper et al. (2013) provided data from the Pompe </w:t>
      </w:r>
      <w:r w:rsidR="00825E40" w:rsidRPr="02E2EE7D">
        <w:t xml:space="preserve">Registry </w:t>
      </w:r>
      <w:r w:rsidR="5AEDF77F" w:rsidRPr="02E2EE7D">
        <w:t xml:space="preserve">and two articles published in 2009 of the Taiwanese NBS-screened </w:t>
      </w:r>
      <w:r w:rsidR="4954B365" w:rsidRPr="02E2EE7D">
        <w:t>cohort.</w:t>
      </w:r>
      <w:r w:rsidRPr="02E2EE7D">
        <w:t xml:space="preserve"> Four case series </w:t>
      </w:r>
      <w:r w:rsidR="00E76E2C" w:rsidRPr="02E2EE7D">
        <w:t>conducted</w:t>
      </w:r>
      <w:r w:rsidRPr="02E2EE7D">
        <w:t xml:space="preserve"> retrospective longitudinal </w:t>
      </w:r>
      <w:r w:rsidR="00E76E2C" w:rsidRPr="02E2EE7D">
        <w:t>evaluations</w:t>
      </w:r>
      <w:r w:rsidRPr="02E2EE7D">
        <w:t xml:space="preserve"> </w:t>
      </w:r>
      <w:r w:rsidR="009C1941" w:rsidRPr="02E2EE7D">
        <w:t xml:space="preserve">in </w:t>
      </w:r>
      <w:r w:rsidRPr="02E2EE7D">
        <w:t>IOGSD II patients</w:t>
      </w:r>
      <w:r w:rsidR="51E0556C" w:rsidRPr="02E2EE7D">
        <w:t>.</w:t>
      </w:r>
      <w:r w:rsidR="00E76E2C" w:rsidRPr="02E2EE7D">
        <w:t xml:space="preserve"> </w:t>
      </w:r>
      <w:r w:rsidRPr="02E2EE7D">
        <w:t xml:space="preserve">A further five case series </w:t>
      </w:r>
      <w:r w:rsidR="00E76E2C" w:rsidRPr="02E2EE7D">
        <w:t>were conducted in LOGSD II cases. One additional SR met the inclusion criteria as it assessed the long-term survival and other health outcomes for LOGSD II patients given ERT</w:t>
      </w:r>
      <w:r w:rsidR="009265EE" w:rsidRPr="02E2EE7D">
        <w:t xml:space="preserve"> upon presentation with signs and symptoms of progression</w:t>
      </w:r>
      <w:r w:rsidR="00E76E2C" w:rsidRPr="02E2EE7D">
        <w:t xml:space="preserve">. A comparison </w:t>
      </w:r>
      <w:r w:rsidR="004F5771" w:rsidRPr="02E2EE7D">
        <w:t>of</w:t>
      </w:r>
      <w:r w:rsidR="00E76E2C" w:rsidRPr="02E2EE7D">
        <w:t xml:space="preserve"> early versus late treatment effectiveness conducted</w:t>
      </w:r>
      <w:r w:rsidR="009B6584" w:rsidRPr="02E2EE7D">
        <w:t xml:space="preserve"> on </w:t>
      </w:r>
      <w:r w:rsidR="00E76E2C" w:rsidRPr="02E2EE7D">
        <w:t xml:space="preserve">effect modifiers of ERT </w:t>
      </w:r>
      <w:r w:rsidR="009B6584" w:rsidRPr="02E2EE7D">
        <w:t>outcomes was</w:t>
      </w:r>
      <w:r w:rsidR="00E76E2C" w:rsidRPr="02E2EE7D">
        <w:t xml:space="preserve"> included from the SR. The </w:t>
      </w:r>
      <w:r w:rsidR="00BF408A">
        <w:t xml:space="preserve">DCAR considered </w:t>
      </w:r>
      <w:r w:rsidR="00E76E2C" w:rsidRPr="02E2EE7D">
        <w:t xml:space="preserve">studies were assessed as moderate to high for risk of bias using the </w:t>
      </w:r>
      <w:r w:rsidR="0F4A1E36" w:rsidRPr="02E2EE7D">
        <w:t>National Heart, Lung and Blood Institute (</w:t>
      </w:r>
      <w:r w:rsidR="00E76E2C" w:rsidRPr="02E2EE7D">
        <w:t>NHLBI</w:t>
      </w:r>
      <w:r w:rsidR="72F88747" w:rsidRPr="02E2EE7D">
        <w:t>)</w:t>
      </w:r>
      <w:r w:rsidR="00E76E2C" w:rsidRPr="02E2EE7D">
        <w:t xml:space="preserve"> Tool for cohort and cross-sectional studies. The </w:t>
      </w:r>
      <w:r w:rsidR="00BF408A">
        <w:t xml:space="preserve">DCAR considered </w:t>
      </w:r>
      <w:r w:rsidR="00E76E2C" w:rsidRPr="02E2EE7D">
        <w:t>data from the SR was based on a naïve comparison of case series data so was also assessed using the NHLBI Tool and found high for risk of bias.</w:t>
      </w:r>
    </w:p>
    <w:p w14:paraId="616E9859" w14:textId="59ABD224" w:rsidR="00E76E2C" w:rsidRDefault="00E76E2C" w:rsidP="009D7739">
      <w:pPr>
        <w:pStyle w:val="Heading3"/>
      </w:pPr>
      <w:bookmarkStart w:id="28" w:name="_Toc184839273"/>
      <w:r>
        <w:t>PICO Set 2: Family members</w:t>
      </w:r>
      <w:bookmarkEnd w:id="28"/>
    </w:p>
    <w:p w14:paraId="10CA4FA2" w14:textId="287C6A37" w:rsidR="009D7739" w:rsidRDefault="009D7739" w:rsidP="009D7739">
      <w:r w:rsidRPr="02E2EE7D">
        <w:t>There were no comparative studies identified that fulfilled the inclusion criteria, reporting on the safety and effectiveness of testing</w:t>
      </w:r>
      <w:r w:rsidR="003D0F56" w:rsidRPr="003D0F56">
        <w:t xml:space="preserve"> of family members</w:t>
      </w:r>
      <w:r w:rsidRPr="02E2EE7D">
        <w:t xml:space="preserve"> following NBS for GSD II. </w:t>
      </w:r>
    </w:p>
    <w:p w14:paraId="75D90810" w14:textId="5B37948E" w:rsidR="009D7739" w:rsidRDefault="009D7739" w:rsidP="009D7739">
      <w:r w:rsidRPr="02E2EE7D">
        <w:t xml:space="preserve">Nine case series met the inclusion criteria for assessing the outcomes of cascade testing in family members following a diagnosis of IOGSD II or LOGSD II in </w:t>
      </w:r>
      <w:r w:rsidR="605A7698" w:rsidRPr="02E2EE7D">
        <w:t>probands or index cases.</w:t>
      </w:r>
      <w:r w:rsidRPr="02E2EE7D">
        <w:t xml:space="preserve"> The case series included either patients diagnosed by NBS, or individuals diagnosed following symptom onset by genetic testing of patient populations at risk of GSD II. The </w:t>
      </w:r>
      <w:r w:rsidR="00C363C8" w:rsidRPr="02E2EE7D">
        <w:t xml:space="preserve">case series </w:t>
      </w:r>
      <w:r w:rsidRPr="02E2EE7D">
        <w:t>ranged in size from 1 to 18 index cases</w:t>
      </w:r>
      <w:r w:rsidR="00C363C8" w:rsidRPr="02E2EE7D">
        <w:t xml:space="preserve"> or probands</w:t>
      </w:r>
      <w:r w:rsidRPr="02E2EE7D">
        <w:t xml:space="preserve">. </w:t>
      </w:r>
      <w:r w:rsidR="709C12DD" w:rsidRPr="02E2EE7D">
        <w:t xml:space="preserve">Given the high risk of bias due to </w:t>
      </w:r>
      <w:proofErr w:type="gramStart"/>
      <w:r w:rsidR="709C12DD" w:rsidRPr="02E2EE7D">
        <w:t xml:space="preserve">a </w:t>
      </w:r>
      <w:r w:rsidR="00D92893" w:rsidRPr="02E2EE7D">
        <w:t xml:space="preserve">number </w:t>
      </w:r>
      <w:r w:rsidR="709C12DD" w:rsidRPr="02E2EE7D">
        <w:t>of</w:t>
      </w:r>
      <w:proofErr w:type="gramEnd"/>
      <w:r w:rsidR="709C12DD" w:rsidRPr="02E2EE7D">
        <w:t xml:space="preserve"> confounding </w:t>
      </w:r>
      <w:r w:rsidR="10536F83" w:rsidRPr="02E2EE7D">
        <w:t>factors,</w:t>
      </w:r>
      <w:r w:rsidR="709C12DD" w:rsidRPr="02E2EE7D">
        <w:t xml:space="preserve"> </w:t>
      </w:r>
      <w:r w:rsidR="00BF408A">
        <w:t xml:space="preserve">the DCAR considered </w:t>
      </w:r>
      <w:r w:rsidR="709C12DD" w:rsidRPr="02E2EE7D">
        <w:t>these</w:t>
      </w:r>
      <w:r w:rsidR="00C363C8" w:rsidRPr="02E2EE7D">
        <w:t xml:space="preserve"> studies </w:t>
      </w:r>
      <w:r w:rsidR="26976231" w:rsidRPr="02E2EE7D">
        <w:t>represent</w:t>
      </w:r>
      <w:r w:rsidR="00C363C8" w:rsidRPr="02E2EE7D">
        <w:t xml:space="preserve"> very low</w:t>
      </w:r>
      <w:r w:rsidR="61E7AE02" w:rsidRPr="02E2EE7D">
        <w:t>-</w:t>
      </w:r>
      <w:r w:rsidR="00C363C8" w:rsidRPr="02E2EE7D">
        <w:t>level evidence and appraisal of risk of bias was not conducted.</w:t>
      </w:r>
    </w:p>
    <w:p w14:paraId="005968B3" w14:textId="58212A5E" w:rsidR="00956ACE" w:rsidRPr="00CE28E3" w:rsidRDefault="00956ACE" w:rsidP="00092CCC">
      <w:pPr>
        <w:pStyle w:val="Caption"/>
        <w:keepLines/>
        <w:rPr>
          <w:sz w:val="16"/>
          <w:szCs w:val="16"/>
        </w:rPr>
      </w:pPr>
      <w:bookmarkStart w:id="29" w:name="ColumnTitle_Table3"/>
      <w:bookmarkStart w:id="30" w:name="_Ref69725659"/>
      <w:bookmarkEnd w:id="29"/>
      <w:r w:rsidRPr="00CE28E3">
        <w:t>Table</w:t>
      </w:r>
      <w:r w:rsidR="004A4FDF">
        <w:t> </w:t>
      </w:r>
      <w:r w:rsidR="00263379">
        <w:fldChar w:fldCharType="begin"/>
      </w:r>
      <w:r w:rsidR="00263379">
        <w:instrText xml:space="preserve"> SEQ Table \* ARABIC </w:instrText>
      </w:r>
      <w:r w:rsidR="00263379">
        <w:fldChar w:fldCharType="separate"/>
      </w:r>
      <w:r w:rsidR="00263379">
        <w:rPr>
          <w:noProof/>
        </w:rPr>
        <w:t>2</w:t>
      </w:r>
      <w:r w:rsidR="00263379">
        <w:rPr>
          <w:noProof/>
        </w:rPr>
        <w:fldChar w:fldCharType="end"/>
      </w:r>
      <w:bookmarkEnd w:id="30"/>
      <w:r w:rsidR="00D10B4A">
        <w:t xml:space="preserve"> </w:t>
      </w:r>
      <w:r w:rsidRPr="00CE28E3">
        <w:t xml:space="preserve">Key features of the included evidence </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3138"/>
        <w:gridCol w:w="2836"/>
        <w:gridCol w:w="1415"/>
      </w:tblGrid>
      <w:tr w:rsidR="00956ACE" w:rsidRPr="00CE28E3" w14:paraId="530E3954" w14:textId="77777777" w:rsidTr="00175863">
        <w:trPr>
          <w:tblHeader/>
        </w:trPr>
        <w:tc>
          <w:tcPr>
            <w:tcW w:w="988" w:type="pct"/>
            <w:tcBorders>
              <w:top w:val="single" w:sz="4" w:space="0" w:color="auto"/>
              <w:left w:val="single" w:sz="4" w:space="0" w:color="auto"/>
              <w:bottom w:val="single" w:sz="4" w:space="0" w:color="auto"/>
              <w:right w:val="single" w:sz="4" w:space="0" w:color="auto"/>
            </w:tcBorders>
            <w:vAlign w:val="center"/>
          </w:tcPr>
          <w:p w14:paraId="0112563A" w14:textId="3CE1178E" w:rsidR="00956ACE" w:rsidRPr="00CE28E3" w:rsidRDefault="00BC4972" w:rsidP="00092CCC">
            <w:pPr>
              <w:pStyle w:val="TableText"/>
              <w:keepNext/>
              <w:keepLines/>
              <w:jc w:val="center"/>
              <w:rPr>
                <w:b/>
              </w:rPr>
            </w:pPr>
            <w:bookmarkStart w:id="31" w:name="ColumnTitle_Table4"/>
            <w:bookmarkStart w:id="32" w:name="_Hlk68276288"/>
            <w:bookmarkEnd w:id="31"/>
            <w:r>
              <w:rPr>
                <w:b/>
              </w:rPr>
              <w:t>Criteri</w:t>
            </w:r>
            <w:r w:rsidR="004D4425">
              <w:rPr>
                <w:b/>
              </w:rPr>
              <w:t>on</w:t>
            </w:r>
          </w:p>
        </w:tc>
        <w:tc>
          <w:tcPr>
            <w:tcW w:w="1704" w:type="pct"/>
            <w:tcBorders>
              <w:top w:val="single" w:sz="4" w:space="0" w:color="auto"/>
              <w:left w:val="single" w:sz="4" w:space="0" w:color="auto"/>
              <w:bottom w:val="single" w:sz="4" w:space="0" w:color="auto"/>
              <w:right w:val="single" w:sz="4" w:space="0" w:color="auto"/>
            </w:tcBorders>
            <w:vAlign w:val="center"/>
            <w:hideMark/>
          </w:tcPr>
          <w:p w14:paraId="37828F38" w14:textId="77777777" w:rsidR="00956ACE" w:rsidRPr="00CE28E3" w:rsidRDefault="00956ACE" w:rsidP="00092CCC">
            <w:pPr>
              <w:pStyle w:val="TableText"/>
              <w:keepNext/>
              <w:keepLines/>
              <w:jc w:val="center"/>
              <w:rPr>
                <w:b/>
              </w:rPr>
            </w:pPr>
            <w:r w:rsidRPr="00CE28E3">
              <w:rPr>
                <w:b/>
              </w:rPr>
              <w:t>Type of evidence supplied</w:t>
            </w:r>
          </w:p>
        </w:tc>
        <w:tc>
          <w:tcPr>
            <w:tcW w:w="1540" w:type="pct"/>
            <w:tcBorders>
              <w:top w:val="single" w:sz="4" w:space="0" w:color="auto"/>
              <w:left w:val="single" w:sz="4" w:space="0" w:color="auto"/>
              <w:bottom w:val="single" w:sz="4" w:space="0" w:color="auto"/>
              <w:right w:val="single" w:sz="4" w:space="0" w:color="auto"/>
            </w:tcBorders>
            <w:vAlign w:val="center"/>
            <w:hideMark/>
          </w:tcPr>
          <w:p w14:paraId="26BD1646" w14:textId="77777777" w:rsidR="00956ACE" w:rsidRPr="00CE28E3" w:rsidRDefault="00956ACE" w:rsidP="00092CCC">
            <w:pPr>
              <w:pStyle w:val="TableText"/>
              <w:keepNext/>
              <w:keepLines/>
              <w:jc w:val="center"/>
              <w:rPr>
                <w:b/>
              </w:rPr>
            </w:pPr>
            <w:r w:rsidRPr="00CE28E3">
              <w:rPr>
                <w:b/>
              </w:rPr>
              <w:t>Extent of evidence supplied</w:t>
            </w:r>
          </w:p>
        </w:tc>
        <w:tc>
          <w:tcPr>
            <w:tcW w:w="768" w:type="pct"/>
            <w:tcBorders>
              <w:top w:val="single" w:sz="4" w:space="0" w:color="auto"/>
              <w:left w:val="single" w:sz="4" w:space="0" w:color="auto"/>
              <w:bottom w:val="single" w:sz="4" w:space="0" w:color="auto"/>
              <w:right w:val="single" w:sz="4" w:space="0" w:color="auto"/>
            </w:tcBorders>
            <w:vAlign w:val="center"/>
            <w:hideMark/>
          </w:tcPr>
          <w:p w14:paraId="3F0C39B2" w14:textId="77777777" w:rsidR="00956ACE" w:rsidRPr="00CE28E3" w:rsidRDefault="00956ACE" w:rsidP="00092CCC">
            <w:pPr>
              <w:pStyle w:val="TableText"/>
              <w:keepNext/>
              <w:keepLines/>
              <w:jc w:val="center"/>
              <w:rPr>
                <w:b/>
              </w:rPr>
            </w:pPr>
            <w:r w:rsidRPr="00CE28E3">
              <w:rPr>
                <w:b/>
              </w:rPr>
              <w:t>Overall risk of bias in evidence base</w:t>
            </w:r>
          </w:p>
        </w:tc>
      </w:tr>
      <w:tr w:rsidR="009D7739" w:rsidRPr="009D7739" w14:paraId="1F2BE803" w14:textId="77777777" w:rsidTr="00175863">
        <w:tc>
          <w:tcPr>
            <w:tcW w:w="5000" w:type="pct"/>
            <w:gridSpan w:val="4"/>
            <w:tcBorders>
              <w:top w:val="single" w:sz="4" w:space="0" w:color="auto"/>
              <w:left w:val="single" w:sz="4" w:space="0" w:color="auto"/>
              <w:bottom w:val="single" w:sz="4" w:space="0" w:color="auto"/>
              <w:right w:val="single" w:sz="4" w:space="0" w:color="auto"/>
            </w:tcBorders>
          </w:tcPr>
          <w:p w14:paraId="7CCB5294" w14:textId="4D140C39" w:rsidR="009D7739" w:rsidRPr="009D7739" w:rsidRDefault="009D7739" w:rsidP="00092CCC">
            <w:pPr>
              <w:pStyle w:val="TableText"/>
              <w:keepNext/>
              <w:keepLines/>
              <w:rPr>
                <w:b/>
                <w:bCs/>
              </w:rPr>
            </w:pPr>
            <w:r w:rsidRPr="009D7739">
              <w:rPr>
                <w:b/>
                <w:bCs/>
              </w:rPr>
              <w:t>PICO Set 1: Newborns</w:t>
            </w:r>
          </w:p>
        </w:tc>
      </w:tr>
      <w:tr w:rsidR="009A3A50" w:rsidRPr="00CE28E3" w14:paraId="7E9046D6" w14:textId="77777777" w:rsidTr="02E2EE7D">
        <w:tc>
          <w:tcPr>
            <w:tcW w:w="988" w:type="pct"/>
            <w:tcBorders>
              <w:top w:val="single" w:sz="4" w:space="0" w:color="auto"/>
              <w:left w:val="single" w:sz="4" w:space="0" w:color="auto"/>
              <w:bottom w:val="single" w:sz="4" w:space="0" w:color="auto"/>
              <w:right w:val="single" w:sz="4" w:space="0" w:color="auto"/>
            </w:tcBorders>
          </w:tcPr>
          <w:p w14:paraId="67B5B80E" w14:textId="526CA33B" w:rsidR="009A3A50" w:rsidRPr="00CE28E3" w:rsidRDefault="009A3A50" w:rsidP="00092CCC">
            <w:pPr>
              <w:pStyle w:val="TableText"/>
              <w:keepNext/>
              <w:keepLines/>
            </w:pPr>
            <w:r>
              <w:t>Direct from test to health outcomes</w:t>
            </w:r>
          </w:p>
        </w:tc>
        <w:tc>
          <w:tcPr>
            <w:tcW w:w="1704" w:type="pct"/>
            <w:tcBorders>
              <w:top w:val="single" w:sz="4" w:space="0" w:color="auto"/>
              <w:left w:val="single" w:sz="4" w:space="0" w:color="auto"/>
              <w:bottom w:val="single" w:sz="4" w:space="0" w:color="auto"/>
              <w:right w:val="single" w:sz="4" w:space="0" w:color="auto"/>
            </w:tcBorders>
          </w:tcPr>
          <w:p w14:paraId="106DAD0F" w14:textId="44587726" w:rsidR="009A3A50" w:rsidRPr="00586EBE" w:rsidRDefault="00586EBE" w:rsidP="00092CCC">
            <w:pPr>
              <w:pStyle w:val="TableText"/>
              <w:keepNext/>
              <w:keepLines/>
            </w:pPr>
            <w:r w:rsidRPr="00586EBE">
              <w:t>SR</w:t>
            </w:r>
          </w:p>
          <w:p w14:paraId="2F661EC2" w14:textId="7032763C" w:rsidR="00586EBE" w:rsidRPr="00586EBE" w:rsidRDefault="00586EBE" w:rsidP="00092CCC">
            <w:pPr>
              <w:pStyle w:val="TableText"/>
              <w:keepNext/>
              <w:keepLines/>
            </w:pPr>
            <w:r w:rsidRPr="00586EBE">
              <w:t>Cohort stud</w:t>
            </w:r>
            <w:r w:rsidR="00663FC5">
              <w:t>ies</w:t>
            </w:r>
            <w:r w:rsidRPr="00586EBE">
              <w:t xml:space="preserve"> with h</w:t>
            </w:r>
            <w:r>
              <w:t>is</w:t>
            </w:r>
            <w:r w:rsidRPr="00586EBE">
              <w:t>torical control</w:t>
            </w:r>
          </w:p>
          <w:p w14:paraId="6EB70EDF" w14:textId="4F8211AB" w:rsidR="00586EBE" w:rsidRPr="00586EBE" w:rsidRDefault="00586EBE" w:rsidP="00092CCC">
            <w:pPr>
              <w:pStyle w:val="TableText"/>
              <w:keepNext/>
              <w:keepLines/>
            </w:pPr>
            <w:r w:rsidRPr="00586EBE">
              <w:t>Case series with naïve comparison</w:t>
            </w:r>
          </w:p>
          <w:p w14:paraId="4162DB69" w14:textId="2D424E01" w:rsidR="00586EBE" w:rsidRPr="00BC4972" w:rsidRDefault="00586EBE" w:rsidP="00092CCC">
            <w:pPr>
              <w:pStyle w:val="TableText"/>
              <w:keepNext/>
              <w:keepLines/>
            </w:pPr>
            <w:r w:rsidRPr="00586EBE">
              <w:t>Case series</w:t>
            </w:r>
          </w:p>
        </w:tc>
        <w:tc>
          <w:tcPr>
            <w:tcW w:w="1540" w:type="pct"/>
            <w:tcBorders>
              <w:top w:val="single" w:sz="4" w:space="0" w:color="auto"/>
              <w:left w:val="single" w:sz="4" w:space="0" w:color="auto"/>
              <w:bottom w:val="single" w:sz="4" w:space="0" w:color="auto"/>
              <w:right w:val="single" w:sz="4" w:space="0" w:color="auto"/>
            </w:tcBorders>
          </w:tcPr>
          <w:p w14:paraId="172D5B0B" w14:textId="6035258E" w:rsidR="00D60B37" w:rsidRDefault="0028154D" w:rsidP="00092CCC">
            <w:pPr>
              <w:pStyle w:val="TableText"/>
              <w:keepNext/>
              <w:keepLines/>
            </w:pPr>
            <w:sdt>
              <w:sdtPr>
                <w:id w:val="1283308038"/>
                <w14:checkbox>
                  <w14:checked w14:val="1"/>
                  <w14:checkedState w14:val="2612" w14:font="MS Gothic"/>
                  <w14:uncheckedState w14:val="2610" w14:font="MS Gothic"/>
                </w14:checkbox>
              </w:sdtPr>
              <w:sdtEndPr/>
              <w:sdtContent>
                <w:r w:rsidR="00FF0160">
                  <w:rPr>
                    <w:rFonts w:ascii="MS Gothic" w:eastAsia="MS Gothic" w:hAnsi="MS Gothic" w:hint="eastAsia"/>
                  </w:rPr>
                  <w:t>☒</w:t>
                </w:r>
              </w:sdtContent>
            </w:sdt>
            <w:r w:rsidR="00D60B37" w:rsidRPr="00CE28E3">
              <w:tab/>
              <w:t>k=</w:t>
            </w:r>
            <w:r w:rsidR="00D60B37">
              <w:t>1 SR</w:t>
            </w:r>
            <w:r w:rsidR="489D64E6">
              <w:t xml:space="preserve"> </w:t>
            </w:r>
            <w:r w:rsidR="795817A8">
              <w:t xml:space="preserve">  </w:t>
            </w:r>
            <w:r w:rsidR="00D60B37" w:rsidRPr="071F6C67">
              <w:t>n=</w:t>
            </w:r>
            <w:r w:rsidR="26FFB173" w:rsidRPr="071F6C67">
              <w:t>14</w:t>
            </w:r>
          </w:p>
          <w:p w14:paraId="7671DE26" w14:textId="14BB81D1" w:rsidR="0071069F" w:rsidRDefault="0028154D" w:rsidP="00092CCC">
            <w:pPr>
              <w:pStyle w:val="TableText"/>
              <w:keepNext/>
              <w:keepLines/>
            </w:pPr>
            <w:sdt>
              <w:sdtPr>
                <w:rPr>
                  <w:rFonts w:ascii="MS Gothic" w:eastAsia="MS Gothic" w:hAnsi="MS Gothic"/>
                </w:rPr>
                <w:id w:val="-2079044465"/>
                <w14:checkbox>
                  <w14:checked w14:val="1"/>
                  <w14:checkedState w14:val="2612" w14:font="MS Gothic"/>
                  <w14:uncheckedState w14:val="2610" w14:font="MS Gothic"/>
                </w14:checkbox>
              </w:sdtPr>
              <w:sdtEndPr/>
              <w:sdtContent>
                <w:r w:rsidR="00FF0160" w:rsidRPr="02E2EE7D">
                  <w:rPr>
                    <w:rFonts w:ascii="MS Gothic" w:eastAsia="MS Gothic" w:hAnsi="MS Gothic"/>
                  </w:rPr>
                  <w:t>☒</w:t>
                </w:r>
              </w:sdtContent>
            </w:sdt>
            <w:r w:rsidR="00D60B37" w:rsidRPr="00CE28E3">
              <w:tab/>
            </w:r>
            <w:r w:rsidR="00D60B37" w:rsidRPr="02E2EE7D">
              <w:t xml:space="preserve">k=11 </w:t>
            </w:r>
            <w:proofErr w:type="spellStart"/>
            <w:proofErr w:type="gramStart"/>
            <w:r w:rsidR="00D60B37" w:rsidRPr="02E2EE7D">
              <w:t>ps</w:t>
            </w:r>
            <w:proofErr w:type="spellEnd"/>
            <w:r w:rsidR="36EE77B4" w:rsidRPr="02E2EE7D">
              <w:t xml:space="preserve">  </w:t>
            </w:r>
            <w:r w:rsidR="00D60B37" w:rsidRPr="02E2EE7D">
              <w:t>n</w:t>
            </w:r>
            <w:proofErr w:type="gramEnd"/>
            <w:r w:rsidR="00D60B37" w:rsidRPr="02E2EE7D">
              <w:t>=</w:t>
            </w:r>
            <w:r w:rsidR="79994599" w:rsidRPr="02E2EE7D">
              <w:t xml:space="preserve"> 441</w:t>
            </w:r>
          </w:p>
          <w:p w14:paraId="08881B52" w14:textId="00725D84" w:rsidR="009A3A50" w:rsidRDefault="009A3A50" w:rsidP="00092CCC">
            <w:pPr>
              <w:pStyle w:val="TableText"/>
              <w:keepNext/>
              <w:keepLines/>
            </w:pPr>
          </w:p>
        </w:tc>
        <w:tc>
          <w:tcPr>
            <w:tcW w:w="768" w:type="pct"/>
            <w:tcBorders>
              <w:top w:val="single" w:sz="4" w:space="0" w:color="auto"/>
              <w:left w:val="single" w:sz="4" w:space="0" w:color="auto"/>
              <w:bottom w:val="single" w:sz="4" w:space="0" w:color="auto"/>
              <w:right w:val="single" w:sz="4" w:space="0" w:color="auto"/>
            </w:tcBorders>
          </w:tcPr>
          <w:p w14:paraId="688CD9E6" w14:textId="284E4BCF" w:rsidR="009A3A50" w:rsidRPr="0071069F" w:rsidRDefault="0012092B" w:rsidP="00092CCC">
            <w:pPr>
              <w:pStyle w:val="TableText"/>
              <w:keepNext/>
              <w:keepLines/>
            </w:pPr>
            <w:r>
              <w:t>Moderate</w:t>
            </w:r>
          </w:p>
        </w:tc>
      </w:tr>
      <w:tr w:rsidR="00956ACE" w:rsidRPr="00CE28E3" w14:paraId="34571304" w14:textId="77777777" w:rsidTr="02E2EE7D">
        <w:tc>
          <w:tcPr>
            <w:tcW w:w="988" w:type="pct"/>
            <w:tcBorders>
              <w:top w:val="single" w:sz="4" w:space="0" w:color="auto"/>
              <w:left w:val="single" w:sz="4" w:space="0" w:color="auto"/>
              <w:bottom w:val="single" w:sz="4" w:space="0" w:color="auto"/>
              <w:right w:val="single" w:sz="4" w:space="0" w:color="auto"/>
            </w:tcBorders>
            <w:hideMark/>
          </w:tcPr>
          <w:p w14:paraId="63BA3949" w14:textId="77777777" w:rsidR="00956ACE" w:rsidRPr="00CE28E3" w:rsidRDefault="00956ACE" w:rsidP="00092CCC">
            <w:pPr>
              <w:pStyle w:val="TableText"/>
              <w:keepNext/>
              <w:keepLines/>
            </w:pPr>
            <w:r w:rsidRPr="00CE28E3">
              <w:t>Accuracy and performance of the test (cross-sectional accuracy)</w:t>
            </w:r>
          </w:p>
        </w:tc>
        <w:tc>
          <w:tcPr>
            <w:tcW w:w="1704" w:type="pct"/>
            <w:tcBorders>
              <w:top w:val="single" w:sz="4" w:space="0" w:color="auto"/>
              <w:left w:val="single" w:sz="4" w:space="0" w:color="auto"/>
              <w:bottom w:val="single" w:sz="4" w:space="0" w:color="auto"/>
              <w:right w:val="single" w:sz="4" w:space="0" w:color="auto"/>
            </w:tcBorders>
            <w:hideMark/>
          </w:tcPr>
          <w:p w14:paraId="021BFED9" w14:textId="7000A47E" w:rsidR="00586EBE" w:rsidRDefault="00586EBE" w:rsidP="00092CCC">
            <w:pPr>
              <w:pStyle w:val="TableText"/>
              <w:keepNext/>
              <w:keepLines/>
            </w:pPr>
            <w:r>
              <w:t>SR</w:t>
            </w:r>
          </w:p>
          <w:p w14:paraId="1CC5CF11" w14:textId="21BFC207" w:rsidR="00956ACE" w:rsidRDefault="00586EBE" w:rsidP="00092CCC">
            <w:pPr>
              <w:pStyle w:val="TableText"/>
              <w:keepNext/>
              <w:keepLines/>
            </w:pPr>
            <w:r>
              <w:t xml:space="preserve">Case series with </w:t>
            </w:r>
            <w:r w:rsidR="00663FC5">
              <w:t>historical</w:t>
            </w:r>
            <w:r>
              <w:t xml:space="preserve"> </w:t>
            </w:r>
            <w:r w:rsidR="00663FC5">
              <w:t>control</w:t>
            </w:r>
          </w:p>
          <w:p w14:paraId="7A348354" w14:textId="131FE40F" w:rsidR="00956ACE" w:rsidRPr="00CE28E3" w:rsidRDefault="00586EBE" w:rsidP="00092CCC">
            <w:pPr>
              <w:pStyle w:val="TableText"/>
              <w:keepNext/>
              <w:keepLines/>
            </w:pPr>
            <w:r>
              <w:t>Case series</w:t>
            </w:r>
          </w:p>
        </w:tc>
        <w:tc>
          <w:tcPr>
            <w:tcW w:w="1540" w:type="pct"/>
            <w:tcBorders>
              <w:top w:val="single" w:sz="4" w:space="0" w:color="auto"/>
              <w:left w:val="single" w:sz="4" w:space="0" w:color="auto"/>
              <w:bottom w:val="single" w:sz="4" w:space="0" w:color="auto"/>
              <w:right w:val="single" w:sz="4" w:space="0" w:color="auto"/>
            </w:tcBorders>
            <w:hideMark/>
          </w:tcPr>
          <w:p w14:paraId="46B87F6D" w14:textId="2447ACE6" w:rsidR="004979AB" w:rsidRDefault="0028154D" w:rsidP="00092CCC">
            <w:pPr>
              <w:pStyle w:val="TableText"/>
              <w:keepNext/>
              <w:keepLines/>
            </w:pPr>
            <w:sdt>
              <w:sdtPr>
                <w:id w:val="1576703048"/>
                <w14:checkbox>
                  <w14:checked w14:val="1"/>
                  <w14:checkedState w14:val="2612" w14:font="MS Gothic"/>
                  <w14:uncheckedState w14:val="2610" w14:font="MS Gothic"/>
                </w14:checkbox>
              </w:sdtPr>
              <w:sdtEndPr/>
              <w:sdtContent>
                <w:r w:rsidR="004979AB" w:rsidRPr="02E2EE7D">
                  <w:rPr>
                    <w:rFonts w:ascii="MS Gothic" w:eastAsia="MS Gothic" w:hAnsi="MS Gothic"/>
                  </w:rPr>
                  <w:t>☒</w:t>
                </w:r>
              </w:sdtContent>
            </w:sdt>
            <w:r w:rsidR="004979AB" w:rsidRPr="00CE28E3">
              <w:tab/>
            </w:r>
            <w:r w:rsidR="004979AB" w:rsidRPr="02E2EE7D">
              <w:t>k=1 SR</w:t>
            </w:r>
            <w:r w:rsidR="004979AB" w:rsidRPr="00CE28E3">
              <w:tab/>
            </w:r>
            <w:r w:rsidR="004979AB" w:rsidRPr="02E2EE7D">
              <w:t>n=548,561</w:t>
            </w:r>
          </w:p>
          <w:p w14:paraId="64A7B6B9" w14:textId="33796DAF" w:rsidR="004979AB" w:rsidRDefault="0028154D" w:rsidP="00092CCC">
            <w:pPr>
              <w:pStyle w:val="TableText"/>
              <w:keepNext/>
              <w:keepLines/>
            </w:pPr>
            <w:sdt>
              <w:sdtPr>
                <w:id w:val="-565638884"/>
                <w14:checkbox>
                  <w14:checked w14:val="1"/>
                  <w14:checkedState w14:val="2612" w14:font="MS Gothic"/>
                  <w14:uncheckedState w14:val="2610" w14:font="MS Gothic"/>
                </w14:checkbox>
              </w:sdtPr>
              <w:sdtEndPr/>
              <w:sdtContent>
                <w:r w:rsidR="004979AB" w:rsidRPr="02E2EE7D">
                  <w:rPr>
                    <w:rFonts w:ascii="MS Gothic" w:eastAsia="MS Gothic" w:hAnsi="MS Gothic"/>
                  </w:rPr>
                  <w:t>☒</w:t>
                </w:r>
              </w:sdtContent>
            </w:sdt>
            <w:r w:rsidR="004979AB" w:rsidRPr="00CE28E3">
              <w:tab/>
            </w:r>
            <w:r w:rsidR="004979AB" w:rsidRPr="02E2EE7D">
              <w:t xml:space="preserve">k=40 </w:t>
            </w:r>
            <w:proofErr w:type="spellStart"/>
            <w:r w:rsidR="00BB7774" w:rsidRPr="02E2EE7D">
              <w:t>ps</w:t>
            </w:r>
            <w:proofErr w:type="spellEnd"/>
            <w:r w:rsidR="004979AB" w:rsidRPr="00CE28E3">
              <w:tab/>
            </w:r>
            <w:r w:rsidR="004979AB" w:rsidRPr="02E2EE7D">
              <w:t>n=</w:t>
            </w:r>
            <w:r w:rsidR="00D60B37" w:rsidRPr="02E2EE7D">
              <w:t>4,831,438</w:t>
            </w:r>
          </w:p>
          <w:p w14:paraId="3D2DAB13" w14:textId="77777777" w:rsidR="004979AB" w:rsidRDefault="004979AB" w:rsidP="00092CCC">
            <w:pPr>
              <w:pStyle w:val="TableText"/>
              <w:keepNext/>
              <w:keepLines/>
            </w:pPr>
          </w:p>
          <w:p w14:paraId="4B9F173D" w14:textId="10EF3B3D" w:rsidR="00956ACE" w:rsidRPr="00CE28E3" w:rsidRDefault="00956ACE" w:rsidP="00092CCC">
            <w:pPr>
              <w:pStyle w:val="TableText"/>
              <w:keepNext/>
              <w:keepLines/>
            </w:pPr>
          </w:p>
        </w:tc>
        <w:tc>
          <w:tcPr>
            <w:tcW w:w="768" w:type="pct"/>
            <w:tcBorders>
              <w:top w:val="single" w:sz="4" w:space="0" w:color="auto"/>
              <w:left w:val="single" w:sz="4" w:space="0" w:color="auto"/>
              <w:bottom w:val="single" w:sz="4" w:space="0" w:color="auto"/>
              <w:right w:val="single" w:sz="4" w:space="0" w:color="auto"/>
            </w:tcBorders>
            <w:hideMark/>
          </w:tcPr>
          <w:p w14:paraId="314B6464" w14:textId="2DF718DA" w:rsidR="00956ACE" w:rsidRPr="00CE28E3" w:rsidRDefault="00663FC5" w:rsidP="00092CCC">
            <w:pPr>
              <w:pStyle w:val="Tabletext0"/>
              <w:keepNext/>
              <w:keepLines/>
            </w:pPr>
            <w:r>
              <w:t>M</w:t>
            </w:r>
            <w:r w:rsidR="00D60B37">
              <w:t>oderate</w:t>
            </w:r>
            <w:r>
              <w:t xml:space="preserve"> </w:t>
            </w:r>
          </w:p>
        </w:tc>
      </w:tr>
      <w:tr w:rsidR="00956ACE" w:rsidRPr="00CE28E3" w14:paraId="020F989B" w14:textId="77777777" w:rsidTr="02E2EE7D">
        <w:tc>
          <w:tcPr>
            <w:tcW w:w="988" w:type="pct"/>
            <w:tcBorders>
              <w:top w:val="single" w:sz="4" w:space="0" w:color="auto"/>
              <w:left w:val="single" w:sz="4" w:space="0" w:color="auto"/>
              <w:bottom w:val="single" w:sz="4" w:space="0" w:color="auto"/>
              <w:right w:val="single" w:sz="4" w:space="0" w:color="auto"/>
            </w:tcBorders>
            <w:hideMark/>
          </w:tcPr>
          <w:p w14:paraId="252A909C" w14:textId="77777777" w:rsidR="00956ACE" w:rsidRPr="00CE28E3" w:rsidRDefault="00956ACE" w:rsidP="00092CCC">
            <w:pPr>
              <w:pStyle w:val="TableText"/>
              <w:keepNext/>
              <w:keepLines/>
            </w:pPr>
            <w:r w:rsidRPr="00CE28E3">
              <w:t xml:space="preserve">Change in patient management </w:t>
            </w:r>
          </w:p>
        </w:tc>
        <w:tc>
          <w:tcPr>
            <w:tcW w:w="1704" w:type="pct"/>
            <w:tcBorders>
              <w:top w:val="single" w:sz="4" w:space="0" w:color="auto"/>
              <w:left w:val="single" w:sz="4" w:space="0" w:color="auto"/>
              <w:bottom w:val="single" w:sz="4" w:space="0" w:color="auto"/>
              <w:right w:val="single" w:sz="4" w:space="0" w:color="auto"/>
            </w:tcBorders>
            <w:hideMark/>
          </w:tcPr>
          <w:p w14:paraId="6CFA7EE5" w14:textId="043A6CB9" w:rsidR="00956ACE" w:rsidRPr="00CE28E3" w:rsidRDefault="00663FC5" w:rsidP="00092CCC">
            <w:pPr>
              <w:pStyle w:val="TableText"/>
              <w:keepNext/>
              <w:keepLines/>
            </w:pPr>
            <w:r>
              <w:t>Case series</w:t>
            </w:r>
          </w:p>
        </w:tc>
        <w:tc>
          <w:tcPr>
            <w:tcW w:w="1540" w:type="pct"/>
            <w:tcBorders>
              <w:top w:val="single" w:sz="4" w:space="0" w:color="auto"/>
              <w:left w:val="single" w:sz="4" w:space="0" w:color="auto"/>
              <w:bottom w:val="single" w:sz="4" w:space="0" w:color="auto"/>
              <w:right w:val="single" w:sz="4" w:space="0" w:color="auto"/>
            </w:tcBorders>
            <w:hideMark/>
          </w:tcPr>
          <w:p w14:paraId="60E3094E" w14:textId="2DB347E0" w:rsidR="00956ACE" w:rsidRPr="00CE28E3" w:rsidRDefault="0028154D" w:rsidP="00092CCC">
            <w:pPr>
              <w:pStyle w:val="TableText"/>
              <w:keepNext/>
              <w:keepLines/>
            </w:pPr>
            <w:sdt>
              <w:sdtPr>
                <w:id w:val="-1943214893"/>
                <w14:checkbox>
                  <w14:checked w14:val="1"/>
                  <w14:checkedState w14:val="2612" w14:font="MS Gothic"/>
                  <w14:uncheckedState w14:val="2610" w14:font="MS Gothic"/>
                </w14:checkbox>
              </w:sdtPr>
              <w:sdtEndPr/>
              <w:sdtContent>
                <w:r w:rsidR="00FF0160">
                  <w:rPr>
                    <w:rFonts w:ascii="MS Gothic" w:eastAsia="MS Gothic" w:hAnsi="MS Gothic" w:hint="eastAsia"/>
                  </w:rPr>
                  <w:t>☒</w:t>
                </w:r>
              </w:sdtContent>
            </w:sdt>
            <w:r w:rsidR="00956ACE" w:rsidRPr="00CE28E3">
              <w:tab/>
              <w:t>k=</w:t>
            </w:r>
            <w:r w:rsidR="00FF0160">
              <w:t>28</w:t>
            </w:r>
            <w:r w:rsidR="00956ACE" w:rsidRPr="00CE28E3">
              <w:tab/>
              <w:t>n=</w:t>
            </w:r>
            <w:r w:rsidR="001D170E">
              <w:t>1,146</w:t>
            </w:r>
          </w:p>
        </w:tc>
        <w:tc>
          <w:tcPr>
            <w:tcW w:w="768" w:type="pct"/>
            <w:tcBorders>
              <w:top w:val="single" w:sz="4" w:space="0" w:color="auto"/>
              <w:left w:val="single" w:sz="4" w:space="0" w:color="auto"/>
              <w:bottom w:val="single" w:sz="4" w:space="0" w:color="auto"/>
              <w:right w:val="single" w:sz="4" w:space="0" w:color="auto"/>
            </w:tcBorders>
            <w:hideMark/>
          </w:tcPr>
          <w:p w14:paraId="00E8E7C1" w14:textId="58884D96" w:rsidR="00956ACE" w:rsidRPr="00CE28E3" w:rsidRDefault="00663FC5" w:rsidP="00092CCC">
            <w:pPr>
              <w:pStyle w:val="Tabletext0"/>
              <w:keepNext/>
              <w:keepLines/>
            </w:pPr>
            <w:r>
              <w:t>Not conducted</w:t>
            </w:r>
          </w:p>
        </w:tc>
      </w:tr>
      <w:tr w:rsidR="00956ACE" w:rsidRPr="00CE28E3" w14:paraId="0A575DD3" w14:textId="77777777" w:rsidTr="02E2EE7D">
        <w:tc>
          <w:tcPr>
            <w:tcW w:w="988" w:type="pct"/>
            <w:tcBorders>
              <w:top w:val="single" w:sz="4" w:space="0" w:color="auto"/>
              <w:left w:val="single" w:sz="4" w:space="0" w:color="auto"/>
              <w:bottom w:val="nil"/>
              <w:right w:val="single" w:sz="4" w:space="0" w:color="auto"/>
            </w:tcBorders>
            <w:hideMark/>
          </w:tcPr>
          <w:p w14:paraId="2B5E1C59" w14:textId="77777777" w:rsidR="00956ACE" w:rsidRPr="00CE28E3" w:rsidRDefault="00956ACE" w:rsidP="00092CCC">
            <w:pPr>
              <w:pStyle w:val="TableText"/>
              <w:keepNext/>
              <w:keepLines/>
            </w:pPr>
            <w:r w:rsidRPr="00CE28E3">
              <w:t xml:space="preserve">Health outcomes  </w:t>
            </w:r>
          </w:p>
        </w:tc>
        <w:tc>
          <w:tcPr>
            <w:tcW w:w="1704" w:type="pct"/>
            <w:tcBorders>
              <w:top w:val="single" w:sz="4" w:space="0" w:color="auto"/>
              <w:left w:val="single" w:sz="4" w:space="0" w:color="auto"/>
              <w:bottom w:val="nil"/>
              <w:right w:val="single" w:sz="4" w:space="0" w:color="auto"/>
            </w:tcBorders>
          </w:tcPr>
          <w:p w14:paraId="5D78F634" w14:textId="77777777" w:rsidR="00956ACE" w:rsidRDefault="00663FC5" w:rsidP="00092CCC">
            <w:pPr>
              <w:pStyle w:val="TableText"/>
              <w:keepNext/>
              <w:keepLines/>
            </w:pPr>
            <w:r>
              <w:t>SRs</w:t>
            </w:r>
          </w:p>
          <w:p w14:paraId="111EEF7C" w14:textId="4694AA7B" w:rsidR="00663FC5" w:rsidRDefault="00663FC5" w:rsidP="00092CCC">
            <w:pPr>
              <w:pStyle w:val="TableText"/>
              <w:keepNext/>
              <w:keepLines/>
            </w:pPr>
            <w:r>
              <w:t>Case series with naïve comparison</w:t>
            </w:r>
          </w:p>
          <w:p w14:paraId="54723D7C" w14:textId="6AD634FF" w:rsidR="00663FC5" w:rsidRPr="00CE28E3" w:rsidRDefault="00663FC5" w:rsidP="00092CCC">
            <w:pPr>
              <w:pStyle w:val="TableText"/>
              <w:keepNext/>
              <w:keepLines/>
            </w:pPr>
            <w:r>
              <w:t>Case series</w:t>
            </w:r>
          </w:p>
        </w:tc>
        <w:tc>
          <w:tcPr>
            <w:tcW w:w="1540" w:type="pct"/>
            <w:tcBorders>
              <w:top w:val="single" w:sz="4" w:space="0" w:color="auto"/>
              <w:left w:val="single" w:sz="4" w:space="0" w:color="auto"/>
              <w:bottom w:val="nil"/>
              <w:right w:val="single" w:sz="4" w:space="0" w:color="auto"/>
            </w:tcBorders>
          </w:tcPr>
          <w:p w14:paraId="3DADA39D" w14:textId="0E2B6012" w:rsidR="00956ACE" w:rsidRPr="00CE28E3" w:rsidRDefault="0028154D" w:rsidP="00092CCC">
            <w:pPr>
              <w:pStyle w:val="TableText"/>
              <w:keepNext/>
              <w:keepLines/>
            </w:pPr>
            <w:sdt>
              <w:sdtPr>
                <w:id w:val="-605892943"/>
                <w14:checkbox>
                  <w14:checked w14:val="1"/>
                  <w14:checkedState w14:val="2612" w14:font="MS Gothic"/>
                  <w14:uncheckedState w14:val="2610" w14:font="MS Gothic"/>
                </w14:checkbox>
              </w:sdtPr>
              <w:sdtEndPr/>
              <w:sdtContent>
                <w:r w:rsidR="00C363C8" w:rsidRPr="02E2EE7D">
                  <w:rPr>
                    <w:rFonts w:ascii="MS Gothic" w:eastAsia="MS Gothic" w:hAnsi="MS Gothic"/>
                  </w:rPr>
                  <w:t>☒</w:t>
                </w:r>
              </w:sdtContent>
            </w:sdt>
            <w:r w:rsidR="00956ACE" w:rsidRPr="00CE28E3">
              <w:tab/>
            </w:r>
            <w:r w:rsidR="00956ACE" w:rsidRPr="02E2EE7D">
              <w:t>k=</w:t>
            </w:r>
            <w:r w:rsidR="00663FC5" w:rsidRPr="02E2EE7D">
              <w:t>2 SR</w:t>
            </w:r>
            <w:r w:rsidR="00956ACE" w:rsidRPr="00CE28E3">
              <w:tab/>
            </w:r>
            <w:r w:rsidR="00956ACE" w:rsidRPr="02E2EE7D">
              <w:t>n=</w:t>
            </w:r>
            <w:r w:rsidR="00E76E2C" w:rsidRPr="02E2EE7D">
              <w:t>966</w:t>
            </w:r>
          </w:p>
          <w:p w14:paraId="2D4F3CA9" w14:textId="13B48FA8" w:rsidR="00663FC5" w:rsidRPr="00CE28E3" w:rsidRDefault="0028154D" w:rsidP="00092CCC">
            <w:pPr>
              <w:pStyle w:val="TableText"/>
              <w:keepNext/>
              <w:keepLines/>
            </w:pPr>
            <w:sdt>
              <w:sdtPr>
                <w:id w:val="-1060324247"/>
                <w14:checkbox>
                  <w14:checked w14:val="1"/>
                  <w14:checkedState w14:val="2612" w14:font="MS Gothic"/>
                  <w14:uncheckedState w14:val="2610" w14:font="MS Gothic"/>
                </w14:checkbox>
              </w:sdtPr>
              <w:sdtEndPr/>
              <w:sdtContent>
                <w:r w:rsidR="00C363C8" w:rsidRPr="02E2EE7D">
                  <w:rPr>
                    <w:rFonts w:ascii="MS Gothic" w:eastAsia="MS Gothic" w:hAnsi="MS Gothic"/>
                  </w:rPr>
                  <w:t>☒</w:t>
                </w:r>
              </w:sdtContent>
            </w:sdt>
            <w:r w:rsidR="00663FC5" w:rsidRPr="00CE28E3">
              <w:tab/>
            </w:r>
            <w:r w:rsidR="00663FC5" w:rsidRPr="02E2EE7D">
              <w:t xml:space="preserve">k=9 </w:t>
            </w:r>
            <w:proofErr w:type="spellStart"/>
            <w:r w:rsidR="00663FC5" w:rsidRPr="02E2EE7D">
              <w:t>ps</w:t>
            </w:r>
            <w:proofErr w:type="spellEnd"/>
            <w:r w:rsidR="00663FC5" w:rsidRPr="00CE28E3">
              <w:tab/>
            </w:r>
            <w:r w:rsidR="00663FC5" w:rsidRPr="02E2EE7D">
              <w:t>n=</w:t>
            </w:r>
            <w:r w:rsidR="009D7739" w:rsidRPr="02E2EE7D">
              <w:t>535</w:t>
            </w:r>
          </w:p>
          <w:p w14:paraId="496A8CDC" w14:textId="77777777" w:rsidR="00956ACE" w:rsidRPr="00CE28E3" w:rsidRDefault="00956ACE" w:rsidP="00092CCC">
            <w:pPr>
              <w:pStyle w:val="TableText"/>
              <w:keepNext/>
              <w:keepLines/>
            </w:pPr>
          </w:p>
        </w:tc>
        <w:tc>
          <w:tcPr>
            <w:tcW w:w="768" w:type="pct"/>
            <w:tcBorders>
              <w:top w:val="single" w:sz="4" w:space="0" w:color="auto"/>
              <w:left w:val="single" w:sz="4" w:space="0" w:color="auto"/>
              <w:bottom w:val="nil"/>
              <w:right w:val="single" w:sz="4" w:space="0" w:color="auto"/>
            </w:tcBorders>
            <w:hideMark/>
          </w:tcPr>
          <w:p w14:paraId="17AAB10F" w14:textId="7EE25474" w:rsidR="00956ACE" w:rsidRPr="00CE28E3" w:rsidRDefault="009D7739" w:rsidP="00092CCC">
            <w:pPr>
              <w:pStyle w:val="TableText"/>
              <w:keepNext/>
              <w:keepLines/>
            </w:pPr>
            <w:r>
              <w:t>High</w:t>
            </w:r>
          </w:p>
        </w:tc>
      </w:tr>
      <w:tr w:rsidR="009D7739" w:rsidRPr="00CE28E3" w14:paraId="286895A9" w14:textId="77777777" w:rsidTr="00175863">
        <w:tc>
          <w:tcPr>
            <w:tcW w:w="5000" w:type="pct"/>
            <w:gridSpan w:val="4"/>
            <w:tcBorders>
              <w:top w:val="single" w:sz="4" w:space="0" w:color="auto"/>
              <w:left w:val="single" w:sz="4" w:space="0" w:color="auto"/>
              <w:bottom w:val="nil"/>
              <w:right w:val="single" w:sz="4" w:space="0" w:color="auto"/>
            </w:tcBorders>
          </w:tcPr>
          <w:p w14:paraId="2DA18498" w14:textId="1D11B565" w:rsidR="009D7739" w:rsidRPr="009D7739" w:rsidRDefault="009D7739" w:rsidP="00092CCC">
            <w:pPr>
              <w:pStyle w:val="TableText"/>
              <w:keepNext/>
              <w:keepLines/>
              <w:rPr>
                <w:b/>
                <w:bCs/>
              </w:rPr>
            </w:pPr>
            <w:r w:rsidRPr="009D7739">
              <w:rPr>
                <w:b/>
                <w:bCs/>
              </w:rPr>
              <w:t>PICO Set 2: Family members</w:t>
            </w:r>
          </w:p>
        </w:tc>
      </w:tr>
      <w:tr w:rsidR="009D7739" w:rsidRPr="00CE28E3" w14:paraId="501BC4D9" w14:textId="77777777" w:rsidTr="02E2EE7D">
        <w:tc>
          <w:tcPr>
            <w:tcW w:w="988" w:type="pct"/>
            <w:tcBorders>
              <w:top w:val="single" w:sz="4" w:space="0" w:color="auto"/>
              <w:left w:val="single" w:sz="4" w:space="0" w:color="auto"/>
              <w:bottom w:val="single" w:sz="4" w:space="0" w:color="auto"/>
              <w:right w:val="single" w:sz="4" w:space="0" w:color="auto"/>
            </w:tcBorders>
          </w:tcPr>
          <w:p w14:paraId="667F3E99" w14:textId="28681167" w:rsidR="009D7739" w:rsidRPr="00CE28E3" w:rsidRDefault="00C363C8" w:rsidP="00092CCC">
            <w:pPr>
              <w:pStyle w:val="TableText"/>
              <w:keepNext/>
              <w:keepLines/>
            </w:pPr>
            <w:r>
              <w:t>Cascade test outcome</w:t>
            </w:r>
          </w:p>
        </w:tc>
        <w:tc>
          <w:tcPr>
            <w:tcW w:w="1704" w:type="pct"/>
            <w:tcBorders>
              <w:top w:val="single" w:sz="4" w:space="0" w:color="auto"/>
              <w:left w:val="single" w:sz="4" w:space="0" w:color="auto"/>
              <w:bottom w:val="single" w:sz="4" w:space="0" w:color="auto"/>
              <w:right w:val="single" w:sz="4" w:space="0" w:color="auto"/>
            </w:tcBorders>
          </w:tcPr>
          <w:p w14:paraId="3A91616D" w14:textId="6FB3C094" w:rsidR="009D7739" w:rsidRDefault="00C363C8" w:rsidP="00092CCC">
            <w:pPr>
              <w:pStyle w:val="TableText"/>
              <w:keepNext/>
              <w:keepLines/>
            </w:pPr>
            <w:r>
              <w:t>Case series</w:t>
            </w:r>
          </w:p>
        </w:tc>
        <w:tc>
          <w:tcPr>
            <w:tcW w:w="1540" w:type="pct"/>
            <w:tcBorders>
              <w:top w:val="single" w:sz="4" w:space="0" w:color="auto"/>
              <w:left w:val="single" w:sz="4" w:space="0" w:color="auto"/>
              <w:bottom w:val="single" w:sz="4" w:space="0" w:color="auto"/>
              <w:right w:val="single" w:sz="4" w:space="0" w:color="auto"/>
            </w:tcBorders>
          </w:tcPr>
          <w:p w14:paraId="76537760" w14:textId="6DCDE969" w:rsidR="009D7739" w:rsidRDefault="0028154D" w:rsidP="00092CCC">
            <w:pPr>
              <w:pStyle w:val="TableText"/>
              <w:keepNext/>
              <w:keepLines/>
            </w:pPr>
            <w:sdt>
              <w:sdtPr>
                <w:id w:val="-663704412"/>
                <w14:checkbox>
                  <w14:checked w14:val="1"/>
                  <w14:checkedState w14:val="2612" w14:font="MS Gothic"/>
                  <w14:uncheckedState w14:val="2610" w14:font="MS Gothic"/>
                </w14:checkbox>
              </w:sdtPr>
              <w:sdtEndPr/>
              <w:sdtContent>
                <w:r w:rsidR="00C363C8">
                  <w:rPr>
                    <w:rFonts w:ascii="MS Gothic" w:eastAsia="MS Gothic" w:hAnsi="MS Gothic" w:hint="eastAsia"/>
                  </w:rPr>
                  <w:t>☒</w:t>
                </w:r>
              </w:sdtContent>
            </w:sdt>
            <w:r w:rsidR="009D7739" w:rsidRPr="00CE28E3">
              <w:tab/>
              <w:t>k=</w:t>
            </w:r>
            <w:r w:rsidR="00C363C8">
              <w:t>9</w:t>
            </w:r>
            <w:r w:rsidR="009D7739" w:rsidRPr="00CE28E3">
              <w:tab/>
              <w:t>n=</w:t>
            </w:r>
            <w:r w:rsidR="00C363C8">
              <w:t>40</w:t>
            </w:r>
          </w:p>
        </w:tc>
        <w:tc>
          <w:tcPr>
            <w:tcW w:w="768" w:type="pct"/>
            <w:tcBorders>
              <w:top w:val="single" w:sz="4" w:space="0" w:color="auto"/>
              <w:left w:val="single" w:sz="4" w:space="0" w:color="auto"/>
              <w:bottom w:val="single" w:sz="4" w:space="0" w:color="auto"/>
              <w:right w:val="single" w:sz="4" w:space="0" w:color="auto"/>
            </w:tcBorders>
          </w:tcPr>
          <w:p w14:paraId="7B178379" w14:textId="1619E6F3" w:rsidR="009D7739" w:rsidRDefault="00C363C8" w:rsidP="00092CCC">
            <w:pPr>
              <w:pStyle w:val="TableText"/>
              <w:keepNext/>
              <w:keepLines/>
            </w:pPr>
            <w:r>
              <w:t>Not conducted</w:t>
            </w:r>
          </w:p>
        </w:tc>
      </w:tr>
    </w:tbl>
    <w:bookmarkEnd w:id="32"/>
    <w:p w14:paraId="22BB5EB8" w14:textId="00637FA3" w:rsidR="008D1AF8" w:rsidRDefault="00D92893" w:rsidP="00092CCC">
      <w:pPr>
        <w:pStyle w:val="Tablenotes"/>
        <w:keepNext/>
        <w:keepLines/>
      </w:pPr>
      <w:r w:rsidRPr="02E2EE7D">
        <w:t xml:space="preserve">k = number of studies; </w:t>
      </w:r>
      <w:r w:rsidR="008A4289" w:rsidRPr="02E2EE7D">
        <w:t xml:space="preserve">n = number of patients; PICO = Population/Intervention/Comparator/Outcomes; </w:t>
      </w:r>
      <w:proofErr w:type="spellStart"/>
      <w:r w:rsidR="008A4289" w:rsidRPr="02E2EE7D">
        <w:t>ps</w:t>
      </w:r>
      <w:proofErr w:type="spellEnd"/>
      <w:r w:rsidR="008A4289" w:rsidRPr="02E2EE7D">
        <w:t xml:space="preserve"> = primary study; SR = systematic review</w:t>
      </w:r>
    </w:p>
    <w:p w14:paraId="3B9FC2AD" w14:textId="68D53213" w:rsidR="00772829" w:rsidRPr="00CE28E3" w:rsidRDefault="00772829" w:rsidP="00ED5CB7">
      <w:pPr>
        <w:pStyle w:val="Heading2"/>
        <w:numPr>
          <w:ilvl w:val="0"/>
          <w:numId w:val="36"/>
        </w:numPr>
        <w:ind w:hanging="720"/>
      </w:pPr>
      <w:bookmarkStart w:id="33" w:name="_Toc184839274"/>
      <w:r w:rsidRPr="00CE28E3">
        <w:t>Comparative safety</w:t>
      </w:r>
      <w:bookmarkEnd w:id="33"/>
    </w:p>
    <w:p w14:paraId="25935FB6" w14:textId="6129C0AE" w:rsidR="008A62F7" w:rsidRDefault="00C8384C" w:rsidP="006539F5">
      <w:pPr>
        <w:pStyle w:val="Heading3"/>
      </w:pPr>
      <w:bookmarkStart w:id="34" w:name="_Toc184839275"/>
      <w:r>
        <w:t xml:space="preserve">PICO Set 1 </w:t>
      </w:r>
      <w:r w:rsidR="00830BDF">
        <w:t>–</w:t>
      </w:r>
      <w:r>
        <w:t xml:space="preserve"> </w:t>
      </w:r>
      <w:r w:rsidR="00976724">
        <w:t>N</w:t>
      </w:r>
      <w:r w:rsidR="00830BDF">
        <w:t>ewborns</w:t>
      </w:r>
      <w:bookmarkEnd w:id="34"/>
    </w:p>
    <w:p w14:paraId="18F4F4CA" w14:textId="7420E621" w:rsidR="00A71B86" w:rsidRDefault="00BC0E8C" w:rsidP="006539F5">
      <w:r>
        <w:t xml:space="preserve">There were no studies that met the inclusion criteria that presented direct from test to health outcomes evidence for harms of NBS for GSD II. </w:t>
      </w:r>
    </w:p>
    <w:p w14:paraId="663ECFAB" w14:textId="416150DE" w:rsidR="00DB42AE" w:rsidRPr="00350FBE" w:rsidRDefault="00DB42AE" w:rsidP="006539F5">
      <w:pPr>
        <w:rPr>
          <w:i/>
          <w:iCs/>
        </w:rPr>
      </w:pPr>
      <w:r w:rsidRPr="00350FBE">
        <w:rPr>
          <w:i/>
          <w:iCs/>
        </w:rPr>
        <w:t>Safety of NBS screening</w:t>
      </w:r>
    </w:p>
    <w:p w14:paraId="70D9CA93" w14:textId="783A52DF" w:rsidR="00A71B86" w:rsidRDefault="00BF408A" w:rsidP="006539F5">
      <w:r>
        <w:t>The DCAR considered t</w:t>
      </w:r>
      <w:r w:rsidR="00A71B86" w:rsidRPr="02E2EE7D">
        <w:t xml:space="preserve">here </w:t>
      </w:r>
      <w:r w:rsidR="6864A90D" w:rsidRPr="02E2EE7D">
        <w:t>we</w:t>
      </w:r>
      <w:r w:rsidR="00A71B86" w:rsidRPr="02E2EE7D">
        <w:t>re no issues with the safety of the screening tests. These are performed on DBS</w:t>
      </w:r>
      <w:r w:rsidR="1DEF7282" w:rsidRPr="02E2EE7D">
        <w:t xml:space="preserve"> samples</w:t>
      </w:r>
      <w:r w:rsidR="00A71B86" w:rsidRPr="02E2EE7D">
        <w:t xml:space="preserve">. The blood is typically collected from a heel prick in newborns onto blotting paper which is considered a safe way to collect whole blood from </w:t>
      </w:r>
      <w:proofErr w:type="gramStart"/>
      <w:r w:rsidR="00A71B86" w:rsidRPr="02E2EE7D">
        <w:t>newborns, and</w:t>
      </w:r>
      <w:proofErr w:type="gramEnd"/>
      <w:r w:rsidR="00A71B86" w:rsidRPr="02E2EE7D">
        <w:t xml:space="preserve"> is already performed for NBS. Screening on older populations is also performed using DBS for GAA </w:t>
      </w:r>
      <w:r w:rsidR="2C5B255E" w:rsidRPr="02E2EE7D">
        <w:t>enzyme</w:t>
      </w:r>
      <w:r w:rsidR="00A71B86" w:rsidRPr="02E2EE7D">
        <w:t xml:space="preserve"> activity determination as laboratories are adapted to using these for MS/MS and fluorometry.</w:t>
      </w:r>
    </w:p>
    <w:p w14:paraId="4910F717" w14:textId="77777777" w:rsidR="00DB42AE" w:rsidRPr="00350FBE" w:rsidRDefault="00DB42AE" w:rsidP="006539F5">
      <w:pPr>
        <w:rPr>
          <w:i/>
          <w:iCs/>
        </w:rPr>
      </w:pPr>
      <w:r w:rsidRPr="00350FBE">
        <w:rPr>
          <w:i/>
          <w:iCs/>
        </w:rPr>
        <w:t>Safety of ERT</w:t>
      </w:r>
    </w:p>
    <w:p w14:paraId="20BC7D76" w14:textId="48671864" w:rsidR="00E13E7B" w:rsidRDefault="006539F5" w:rsidP="02E2EE7D">
      <w:r w:rsidRPr="02E2EE7D">
        <w:t xml:space="preserve">There was </w:t>
      </w:r>
      <w:r w:rsidR="00A71B86" w:rsidRPr="02E2EE7D">
        <w:t xml:space="preserve">low level evidence </w:t>
      </w:r>
      <w:r w:rsidRPr="02E2EE7D">
        <w:t xml:space="preserve">of adverse events associated with ERT given to patients diagnosed with IOGSD II. </w:t>
      </w:r>
      <w:r w:rsidR="00E13E7B" w:rsidRPr="02E2EE7D">
        <w:t xml:space="preserve">In addition to published evidence, the product information for </w:t>
      </w:r>
      <w:proofErr w:type="spellStart"/>
      <w:r w:rsidR="00327BE0">
        <w:t>alglucosidase</w:t>
      </w:r>
      <w:proofErr w:type="spellEnd"/>
      <w:r w:rsidR="00327BE0">
        <w:t xml:space="preserve"> alfa (</w:t>
      </w:r>
      <w:proofErr w:type="spellStart"/>
      <w:r w:rsidR="00327BE0">
        <w:t>Myozyme</w:t>
      </w:r>
      <w:proofErr w:type="spellEnd"/>
      <w:r w:rsidR="00327BE0" w:rsidRPr="00717A75">
        <w:rPr>
          <w:vertAlign w:val="superscript"/>
        </w:rPr>
        <w:t>®</w:t>
      </w:r>
      <w:r w:rsidR="00327BE0">
        <w:t>)</w:t>
      </w:r>
      <w:r w:rsidR="00E13E7B" w:rsidRPr="02E2EE7D">
        <w:t xml:space="preserve"> indicated that infusion related reactions occur in 14% of patients, with higher rates in younger children</w:t>
      </w:r>
      <w:r w:rsidR="00E13E7B" w:rsidRPr="02E2EE7D">
        <w:rPr>
          <w:rStyle w:val="FootnoteReference"/>
        </w:rPr>
        <w:footnoteReference w:id="20"/>
      </w:r>
      <w:r w:rsidR="00E13E7B" w:rsidRPr="02E2EE7D">
        <w:t xml:space="preserve">. A higher rate is found to occur in association with </w:t>
      </w:r>
      <w:proofErr w:type="spellStart"/>
      <w:r w:rsidR="003722C3">
        <w:t>a</w:t>
      </w:r>
      <w:r w:rsidR="003722C3" w:rsidRPr="00B27697">
        <w:t>valglucosidase</w:t>
      </w:r>
      <w:proofErr w:type="spellEnd"/>
      <w:r w:rsidR="003722C3" w:rsidRPr="00B27697">
        <w:t xml:space="preserve"> alfa</w:t>
      </w:r>
      <w:r w:rsidR="003722C3">
        <w:t xml:space="preserve"> (</w:t>
      </w:r>
      <w:proofErr w:type="spellStart"/>
      <w:r w:rsidR="00E13E7B" w:rsidRPr="02E2EE7D">
        <w:t>Nexviazyme</w:t>
      </w:r>
      <w:proofErr w:type="spellEnd"/>
      <w:r w:rsidR="003722C3" w:rsidRPr="00717A75">
        <w:rPr>
          <w:vertAlign w:val="superscript"/>
        </w:rPr>
        <w:t>®</w:t>
      </w:r>
      <w:r w:rsidR="003722C3">
        <w:t>)</w:t>
      </w:r>
      <w:r w:rsidR="00E13E7B" w:rsidRPr="02E2EE7D">
        <w:rPr>
          <w:rStyle w:val="FootnoteReference"/>
        </w:rPr>
        <w:footnoteReference w:id="21"/>
      </w:r>
      <w:r w:rsidR="00E13E7B" w:rsidRPr="02E2EE7D">
        <w:t>.</w:t>
      </w:r>
      <w:r w:rsidR="00CA3848">
        <w:t xml:space="preserve"> Infants are usually given immunosuppression medications prior to enzyme replacement therapies.  </w:t>
      </w:r>
    </w:p>
    <w:p w14:paraId="5C4187C3" w14:textId="7A25DD19" w:rsidR="00BC0E8C" w:rsidRDefault="006539F5" w:rsidP="006539F5">
      <w:r>
        <w:t>Adverse events were categorised as follows:</w:t>
      </w:r>
    </w:p>
    <w:p w14:paraId="7802CAAC" w14:textId="1ECB5ADE" w:rsidR="006539F5" w:rsidRDefault="006539F5" w:rsidP="0078218A">
      <w:pPr>
        <w:pStyle w:val="ListParagraph"/>
        <w:numPr>
          <w:ilvl w:val="0"/>
          <w:numId w:val="18"/>
        </w:numPr>
      </w:pPr>
      <w:r w:rsidRPr="02E2EE7D">
        <w:t>Development of anti-</w:t>
      </w:r>
      <w:proofErr w:type="spellStart"/>
      <w:r w:rsidRPr="02E2EE7D">
        <w:t>rhGAA</w:t>
      </w:r>
      <w:proofErr w:type="spellEnd"/>
      <w:r w:rsidRPr="02E2EE7D">
        <w:t xml:space="preserve"> antibodies</w:t>
      </w:r>
    </w:p>
    <w:p w14:paraId="404858E2" w14:textId="22B88B4C" w:rsidR="006539F5" w:rsidRPr="009221CF" w:rsidRDefault="006539F5" w:rsidP="0078218A">
      <w:pPr>
        <w:pStyle w:val="ListParagraph"/>
        <w:numPr>
          <w:ilvl w:val="0"/>
          <w:numId w:val="18"/>
        </w:numPr>
      </w:pPr>
      <w:r>
        <w:t>Elevated B-type natriuretic peptide (BNP) levels</w:t>
      </w:r>
      <w:r w:rsidR="4480C47C">
        <w:t>.</w:t>
      </w:r>
    </w:p>
    <w:p w14:paraId="340EA613" w14:textId="56BA399D" w:rsidR="00A36385" w:rsidRDefault="00A36385" w:rsidP="0078218A">
      <w:pPr>
        <w:pStyle w:val="ListParagraph"/>
        <w:numPr>
          <w:ilvl w:val="0"/>
          <w:numId w:val="18"/>
        </w:numPr>
      </w:pPr>
      <w:r>
        <w:t>Infusion-related reactions (</w:t>
      </w:r>
      <w:r w:rsidR="00235624">
        <w:t>c</w:t>
      </w:r>
      <w:r>
        <w:t>ardiovascular: hypotension, cyanosis, hypertension, tachycardia, ventricular extrasystoles, bradycardia, pallor, flushing, nodal rhythm, peripheral coldness; Respiratory: tachypnoea, wheezing/bronchospasm, rales, throat tightness, hypoxia, dyspnoea, cough, respiratory tract irritation, oxygen saturation decreased; Cutaneous: angioneurotic oedema, urticaria, rash, erythema, periorbital oedema, pruritus, hyperhidrosis, cold sweat, livedo reticularis</w:t>
      </w:r>
    </w:p>
    <w:p w14:paraId="31060610" w14:textId="77777777" w:rsidR="00A36385" w:rsidRDefault="00A36385" w:rsidP="0078218A">
      <w:pPr>
        <w:pStyle w:val="ListParagraph"/>
        <w:numPr>
          <w:ilvl w:val="0"/>
          <w:numId w:val="18"/>
        </w:numPr>
      </w:pPr>
      <w:r>
        <w:t>Arrythmias (bradycardia and tachycardia)</w:t>
      </w:r>
    </w:p>
    <w:p w14:paraId="4F236183" w14:textId="77777777" w:rsidR="00A36385" w:rsidRDefault="00A36385" w:rsidP="0078218A">
      <w:pPr>
        <w:pStyle w:val="ListParagraph"/>
        <w:numPr>
          <w:ilvl w:val="0"/>
          <w:numId w:val="18"/>
        </w:numPr>
      </w:pPr>
      <w:r w:rsidRPr="0036714B">
        <w:t>Risk of Acute Cardiorespiratory Failure</w:t>
      </w:r>
    </w:p>
    <w:p w14:paraId="503ABC64" w14:textId="2E7856E8" w:rsidR="00CA3848" w:rsidRDefault="00CA3848" w:rsidP="0078218A">
      <w:pPr>
        <w:pStyle w:val="ListParagraph"/>
        <w:numPr>
          <w:ilvl w:val="0"/>
          <w:numId w:val="18"/>
        </w:numPr>
      </w:pPr>
      <w:r>
        <w:t>Risk of immune suppression</w:t>
      </w:r>
    </w:p>
    <w:p w14:paraId="55069495" w14:textId="73758A13" w:rsidR="008A62F7" w:rsidRDefault="00F34812" w:rsidP="02E2EE7D">
      <w:r w:rsidRPr="02E2EE7D">
        <w:t xml:space="preserve">Cross-reactive </w:t>
      </w:r>
      <w:r w:rsidR="007D015A" w:rsidRPr="02E2EE7D">
        <w:t xml:space="preserve">immunological </w:t>
      </w:r>
      <w:r w:rsidRPr="02E2EE7D">
        <w:t xml:space="preserve">material (CRIM) status </w:t>
      </w:r>
      <w:r w:rsidR="00412097" w:rsidRPr="02E2EE7D">
        <w:t xml:space="preserve">(investigated either through </w:t>
      </w:r>
      <w:r w:rsidR="00412097" w:rsidRPr="02E2EE7D">
        <w:rPr>
          <w:i/>
          <w:iCs/>
        </w:rPr>
        <w:t xml:space="preserve">GAA </w:t>
      </w:r>
      <w:r w:rsidR="00412097" w:rsidRPr="02E2EE7D">
        <w:t xml:space="preserve">sequencing or Western blot analysis of cultured skin fibroblasts) </w:t>
      </w:r>
      <w:r w:rsidRPr="02E2EE7D">
        <w:t>is a critical feature of IOGSD II patients, and those who test CRIM</w:t>
      </w:r>
      <w:r w:rsidR="5AC9E9A0" w:rsidRPr="02E2EE7D">
        <w:t>-</w:t>
      </w:r>
      <w:r w:rsidRPr="02E2EE7D">
        <w:t>negative are known to respond poorly to ERT</w:t>
      </w:r>
      <w:r w:rsidR="00825E40" w:rsidRPr="02E2EE7D">
        <w:rPr>
          <w:rStyle w:val="FootnoteReference"/>
        </w:rPr>
        <w:footnoteReference w:id="22"/>
      </w:r>
      <w:r w:rsidRPr="02E2EE7D">
        <w:t>. However, among CRIM</w:t>
      </w:r>
      <w:r w:rsidR="31D99F14" w:rsidRPr="02E2EE7D">
        <w:t>-</w:t>
      </w:r>
      <w:r w:rsidRPr="02E2EE7D">
        <w:t>positive patients, i</w:t>
      </w:r>
      <w:r w:rsidR="006539F5" w:rsidRPr="02E2EE7D">
        <w:t>t is common for patients receiving ERT to develop anti-</w:t>
      </w:r>
      <w:proofErr w:type="spellStart"/>
      <w:r w:rsidR="006539F5" w:rsidRPr="02E2EE7D">
        <w:t>rhGAA</w:t>
      </w:r>
      <w:proofErr w:type="spellEnd"/>
      <w:r w:rsidR="006539F5" w:rsidRPr="02E2EE7D">
        <w:t xml:space="preserve"> antibodies</w:t>
      </w:r>
      <w:r w:rsidR="002854E9" w:rsidRPr="02E2EE7D">
        <w:t>. P</w:t>
      </w:r>
      <w:r w:rsidR="006539F5" w:rsidRPr="02E2EE7D">
        <w:t>atient titres are monitored</w:t>
      </w:r>
      <w:r w:rsidR="002854E9" w:rsidRPr="02E2EE7D">
        <w:t>, as h</w:t>
      </w:r>
      <w:r w:rsidR="006539F5" w:rsidRPr="02E2EE7D">
        <w:t xml:space="preserve">igh levels of antibodies can reduce ERT effectiveness. </w:t>
      </w:r>
      <w:r w:rsidRPr="02E2EE7D">
        <w:t>In the evidence presented, most patient</w:t>
      </w:r>
      <w:r w:rsidR="4B7E90D5" w:rsidRPr="02E2EE7D">
        <w:t>s’</w:t>
      </w:r>
      <w:r w:rsidRPr="02E2EE7D">
        <w:t xml:space="preserve"> titres did not reach </w:t>
      </w:r>
      <w:r w:rsidR="585F2F7E" w:rsidRPr="02E2EE7D">
        <w:t xml:space="preserve">critical levels and in most cases, </w:t>
      </w:r>
      <w:r w:rsidR="4CBAD21E" w:rsidRPr="02E2EE7D">
        <w:t>i</w:t>
      </w:r>
      <w:r w:rsidR="585F2F7E" w:rsidRPr="02E2EE7D">
        <w:t xml:space="preserve">mmune tolerance </w:t>
      </w:r>
      <w:r w:rsidR="00F77EC1" w:rsidRPr="02E2EE7D">
        <w:t xml:space="preserve">induction </w:t>
      </w:r>
      <w:r w:rsidR="585F2F7E" w:rsidRPr="02E2EE7D">
        <w:t xml:space="preserve">treatment </w:t>
      </w:r>
      <w:r w:rsidR="4D54939D" w:rsidRPr="02E2EE7D">
        <w:t>(ITI)</w:t>
      </w:r>
      <w:r w:rsidR="585F2F7E" w:rsidRPr="02E2EE7D">
        <w:t xml:space="preserve"> resulted in the reduction of anti-</w:t>
      </w:r>
      <w:proofErr w:type="spellStart"/>
      <w:r w:rsidR="585F2F7E" w:rsidRPr="02E2EE7D">
        <w:t>rhGAA</w:t>
      </w:r>
      <w:proofErr w:type="spellEnd"/>
      <w:r w:rsidR="585F2F7E" w:rsidRPr="02E2EE7D">
        <w:t xml:space="preserve"> antibodies.</w:t>
      </w:r>
      <w:r w:rsidRPr="02E2EE7D">
        <w:t xml:space="preserve">  </w:t>
      </w:r>
      <w:r w:rsidR="002854E9" w:rsidRPr="02E2EE7D">
        <w:t xml:space="preserve">The remaining three adverse event </w:t>
      </w:r>
      <w:r w:rsidR="00873AD2" w:rsidRPr="02E2EE7D">
        <w:t>categories</w:t>
      </w:r>
      <w:r w:rsidR="002854E9" w:rsidRPr="02E2EE7D">
        <w:t xml:space="preserve"> are related to cardiac status which can be critical in IOGSD II patients. </w:t>
      </w:r>
      <w:r w:rsidR="006539F5" w:rsidRPr="02E2EE7D">
        <w:t>There was no comparison of adverse events between early ERT (following NBS diagnosis</w:t>
      </w:r>
      <w:r w:rsidR="009265EE" w:rsidRPr="02E2EE7D">
        <w:t xml:space="preserve"> of IOGSD II</w:t>
      </w:r>
      <w:r w:rsidR="006539F5" w:rsidRPr="02E2EE7D">
        <w:t xml:space="preserve">) versus late ERT (following </w:t>
      </w:r>
      <w:r w:rsidR="00235624" w:rsidRPr="02E2EE7D">
        <w:t xml:space="preserve">IOGSD II </w:t>
      </w:r>
      <w:r w:rsidR="006539F5" w:rsidRPr="02E2EE7D">
        <w:t>symptom onset and diagnosis).</w:t>
      </w:r>
    </w:p>
    <w:p w14:paraId="131936ED" w14:textId="41411E31" w:rsidR="00C364D0" w:rsidRDefault="00C364D0" w:rsidP="008A62F7">
      <w:r>
        <w:t xml:space="preserve">Infants with IOGSD II have a high mortality risk in their first year without treatment, so the risk of adverse events associated with ERT </w:t>
      </w:r>
      <w:r w:rsidR="04F71D7D">
        <w:t xml:space="preserve">is </w:t>
      </w:r>
      <w:r>
        <w:t>usually considered acceptable. There may also be adverse events for LOGSD II patients given ERT, and the risk of these could be weighed against the effectiveness of treatment if their symptoms are less than severe.</w:t>
      </w:r>
    </w:p>
    <w:p w14:paraId="7CA441BC" w14:textId="7E921923" w:rsidR="002854E9" w:rsidRDefault="002854E9" w:rsidP="008A62F7">
      <w:r w:rsidRPr="02E2EE7D">
        <w:t>NBS for GSD II could lead to harms associated with</w:t>
      </w:r>
      <w:r w:rsidR="0036714B" w:rsidRPr="02E2EE7D">
        <w:t xml:space="preserve"> identifying individuals with a laboratory/genetic diagnosis who are currently asymptomatic but at risk for clinically detectable disease</w:t>
      </w:r>
      <w:r w:rsidRPr="02E2EE7D">
        <w:t xml:space="preserve">, the identification of patients with LOGSD II and the creation of “patients-in-waiting” if asymptomatic at diagnosis. </w:t>
      </w:r>
      <w:r w:rsidR="00EA48E7" w:rsidRPr="02E2EE7D">
        <w:t xml:space="preserve">This would include individuals who develop symptoms, and others who do not develop symptoms; this latter group would then be classified as having a </w:t>
      </w:r>
      <w:proofErr w:type="spellStart"/>
      <w:r w:rsidR="00EA48E7" w:rsidRPr="02E2EE7D">
        <w:t>pseudodeficiency</w:t>
      </w:r>
      <w:proofErr w:type="spellEnd"/>
      <w:r w:rsidR="00EA48E7" w:rsidRPr="02E2EE7D">
        <w:t xml:space="preserve"> (which would be a false positive result). </w:t>
      </w:r>
      <w:r w:rsidRPr="02E2EE7D">
        <w:t xml:space="preserve">Although false positive results of NBS can be reduced through effective </w:t>
      </w:r>
      <w:r w:rsidR="0036714B" w:rsidRPr="02E2EE7D">
        <w:t xml:space="preserve">diagnostic testing </w:t>
      </w:r>
      <w:r w:rsidRPr="02E2EE7D">
        <w:t xml:space="preserve">protocols, due to the disease characteristics there will be cases identified with </w:t>
      </w:r>
      <w:r w:rsidR="0036714B" w:rsidRPr="02E2EE7D">
        <w:t xml:space="preserve">risk for </w:t>
      </w:r>
      <w:r w:rsidRPr="02E2EE7D">
        <w:t xml:space="preserve">LOGSD II that will have an unknown prognosis. </w:t>
      </w:r>
      <w:r w:rsidR="548F7AF4" w:rsidRPr="02E2EE7D">
        <w:t xml:space="preserve">In addition, some variation in </w:t>
      </w:r>
      <w:r w:rsidR="001B3609" w:rsidRPr="02E2EE7D">
        <w:t xml:space="preserve">phenotypic </w:t>
      </w:r>
      <w:r w:rsidR="548F7AF4" w:rsidRPr="02E2EE7D">
        <w:t>expression</w:t>
      </w:r>
      <w:r w:rsidR="001B3609" w:rsidRPr="02E2EE7D">
        <w:t xml:space="preserve"> was</w:t>
      </w:r>
      <w:r w:rsidR="548F7AF4" w:rsidRPr="02E2EE7D">
        <w:t xml:space="preserve"> observed within families </w:t>
      </w:r>
      <w:r w:rsidR="001B3609" w:rsidRPr="02E2EE7D">
        <w:t xml:space="preserve">having </w:t>
      </w:r>
      <w:r w:rsidR="548F7AF4" w:rsidRPr="02E2EE7D">
        <w:t xml:space="preserve">the same genotype, which adds to uncertainty </w:t>
      </w:r>
      <w:r w:rsidR="51E54C40" w:rsidRPr="02E2EE7D">
        <w:t>regarding when to initiate ERT treatment</w:t>
      </w:r>
      <w:r w:rsidR="0036714B" w:rsidRPr="02E2EE7D">
        <w:t xml:space="preserve"> – but LSDP-</w:t>
      </w:r>
      <w:r w:rsidR="00235624" w:rsidRPr="02E2EE7D">
        <w:t xml:space="preserve">subsidised </w:t>
      </w:r>
      <w:r w:rsidR="006E6F6D">
        <w:t>ERT</w:t>
      </w:r>
      <w:r w:rsidR="0036714B" w:rsidRPr="02E2EE7D">
        <w:t xml:space="preserve"> can be started from 24 months of age in presymptomatic individuals</w:t>
      </w:r>
      <w:r w:rsidR="51E54C40" w:rsidRPr="02E2EE7D">
        <w:t xml:space="preserve">. </w:t>
      </w:r>
      <w:r w:rsidR="00291D69">
        <w:t>The DCAR noted t</w:t>
      </w:r>
      <w:r w:rsidRPr="02E2EE7D">
        <w:t>here may be psychological impacts from these scenarios such as increased anxiety, or parental hypervigilance, and other psychosocial implications such as stigma</w:t>
      </w:r>
      <w:r w:rsidR="00EA48E7" w:rsidRPr="02E2EE7D">
        <w:t xml:space="preserve">, </w:t>
      </w:r>
      <w:r w:rsidRPr="02E2EE7D">
        <w:t>discrimination, and increased financial burdens.</w:t>
      </w:r>
    </w:p>
    <w:p w14:paraId="3B65AE20" w14:textId="612DB4E2" w:rsidR="008A62F7" w:rsidRDefault="00C8384C" w:rsidP="008A62F7">
      <w:pPr>
        <w:pStyle w:val="Heading3"/>
      </w:pPr>
      <w:bookmarkStart w:id="35" w:name="_Toc184839276"/>
      <w:r>
        <w:t>PICO Set 2 - Family members</w:t>
      </w:r>
      <w:bookmarkEnd w:id="35"/>
    </w:p>
    <w:p w14:paraId="755CC948" w14:textId="4DCE25DB" w:rsidR="008A62F7" w:rsidRPr="003251C2" w:rsidRDefault="00C364D0" w:rsidP="008A62F7">
      <w:r w:rsidRPr="02E2EE7D">
        <w:t xml:space="preserve">Safety issues associated with testing family members are </w:t>
      </w:r>
      <w:proofErr w:type="gramStart"/>
      <w:r w:rsidRPr="02E2EE7D">
        <w:t>similar to</w:t>
      </w:r>
      <w:proofErr w:type="gramEnd"/>
      <w:r w:rsidRPr="02E2EE7D">
        <w:t xml:space="preserve"> those for PICO Set 1</w:t>
      </w:r>
      <w:r w:rsidR="2BB920C1" w:rsidRPr="02E2EE7D">
        <w:t xml:space="preserve">, particularly for asymptomatic family members who </w:t>
      </w:r>
      <w:r w:rsidR="508ACB2B" w:rsidRPr="02E2EE7D">
        <w:t xml:space="preserve">may </w:t>
      </w:r>
      <w:r w:rsidR="2BB920C1" w:rsidRPr="02E2EE7D">
        <w:t xml:space="preserve">receive a diagnosis of LOGSD II </w:t>
      </w:r>
      <w:r w:rsidR="6CB21AD0" w:rsidRPr="02E2EE7D">
        <w:t xml:space="preserve">because of testing </w:t>
      </w:r>
      <w:r w:rsidR="2BB920C1" w:rsidRPr="02E2EE7D">
        <w:t>a</w:t>
      </w:r>
      <w:r w:rsidR="7CBD4DD4" w:rsidRPr="02E2EE7D">
        <w:t xml:space="preserve">nd the </w:t>
      </w:r>
      <w:r w:rsidR="343D18DC" w:rsidRPr="02E2EE7D">
        <w:t>consequent</w:t>
      </w:r>
      <w:r w:rsidR="7CBD4DD4" w:rsidRPr="02E2EE7D">
        <w:t xml:space="preserve"> creation of “patients-in-waiting".  </w:t>
      </w:r>
      <w:r w:rsidR="3FFFE82D" w:rsidRPr="02E2EE7D">
        <w:t xml:space="preserve">Factors to consider include unknown prognoses, </w:t>
      </w:r>
      <w:r w:rsidR="4D43AFA1" w:rsidRPr="02E2EE7D">
        <w:t xml:space="preserve">and </w:t>
      </w:r>
      <w:r w:rsidR="3FFFE82D" w:rsidRPr="02E2EE7D">
        <w:t xml:space="preserve">variations in </w:t>
      </w:r>
      <w:r w:rsidR="50F5605C" w:rsidRPr="02E2EE7D">
        <w:t>p</w:t>
      </w:r>
      <w:r w:rsidR="3FFFE82D" w:rsidRPr="02E2EE7D">
        <w:t>henotypic expression within families with identical variants</w:t>
      </w:r>
      <w:r w:rsidR="5031C2DF" w:rsidRPr="02E2EE7D">
        <w:t xml:space="preserve">. There are a range of psychological impacts </w:t>
      </w:r>
      <w:r w:rsidR="7F9378C4" w:rsidRPr="02E2EE7D">
        <w:t>of LOGSD II diagnoses</w:t>
      </w:r>
      <w:r w:rsidR="08ECF83B" w:rsidRPr="02E2EE7D">
        <w:t xml:space="preserve"> for </w:t>
      </w:r>
      <w:r w:rsidR="7F9378C4" w:rsidRPr="02E2EE7D">
        <w:t xml:space="preserve">asymptomatic individuals </w:t>
      </w:r>
      <w:r w:rsidR="33E8224B" w:rsidRPr="02E2EE7D">
        <w:t xml:space="preserve">regarding medicalisation of asymptomatic individuals, increased parental vigilance, potential for stigma and </w:t>
      </w:r>
      <w:r w:rsidR="76B75876" w:rsidRPr="02E2EE7D">
        <w:t>discrimination</w:t>
      </w:r>
      <w:r w:rsidR="33E8224B" w:rsidRPr="02E2EE7D">
        <w:t>, inequity of access to follow-up and i</w:t>
      </w:r>
      <w:r w:rsidR="3B63D84F" w:rsidRPr="02E2EE7D">
        <w:t>ncreased financial burdens associated</w:t>
      </w:r>
      <w:r w:rsidR="08ECF83B" w:rsidRPr="02E2EE7D">
        <w:t xml:space="preserve"> with </w:t>
      </w:r>
      <w:r w:rsidR="0C80246A" w:rsidRPr="02E2EE7D">
        <w:t>monitoring.</w:t>
      </w:r>
      <w:r w:rsidR="3B63D84F" w:rsidRPr="02E2EE7D">
        <w:t xml:space="preserve"> </w:t>
      </w:r>
      <w:r w:rsidR="37C3BE43" w:rsidRPr="02E2EE7D">
        <w:t xml:space="preserve">However, patients with LOGSD II have reported deterioration in health status during diagnostic </w:t>
      </w:r>
      <w:r w:rsidR="00F858A6">
        <w:t>delay</w:t>
      </w:r>
      <w:r w:rsidR="37C3BE43" w:rsidRPr="02E2EE7D">
        <w:t>s</w:t>
      </w:r>
      <w:r w:rsidR="293D19B2" w:rsidRPr="02E2EE7D">
        <w:t xml:space="preserve">. Therefore, </w:t>
      </w:r>
      <w:r w:rsidR="00291D69">
        <w:t xml:space="preserve">the DCAR noted that </w:t>
      </w:r>
      <w:r w:rsidR="293D19B2" w:rsidRPr="02E2EE7D">
        <w:t>the psychological i</w:t>
      </w:r>
      <w:r w:rsidR="70E38598" w:rsidRPr="02E2EE7D">
        <w:t xml:space="preserve">mpacts </w:t>
      </w:r>
      <w:r w:rsidR="22499D9F" w:rsidRPr="02E2EE7D">
        <w:t xml:space="preserve">of LOGSD II diagnoses </w:t>
      </w:r>
      <w:r w:rsidR="70E38598" w:rsidRPr="02E2EE7D">
        <w:t xml:space="preserve">require some </w:t>
      </w:r>
      <w:r w:rsidR="62422634" w:rsidRPr="02E2EE7D">
        <w:t xml:space="preserve">consideration alongside </w:t>
      </w:r>
      <w:r w:rsidR="7546C1D2" w:rsidRPr="02E2EE7D">
        <w:t xml:space="preserve">benefits that include the avoidance of prolonged </w:t>
      </w:r>
      <w:r w:rsidR="521C6FD6" w:rsidRPr="02E2EE7D">
        <w:t>diagnostic</w:t>
      </w:r>
      <w:r w:rsidR="7546C1D2" w:rsidRPr="02E2EE7D">
        <w:t xml:space="preserve"> </w:t>
      </w:r>
      <w:r w:rsidR="00F858A6">
        <w:t>delay</w:t>
      </w:r>
      <w:r w:rsidR="7546C1D2" w:rsidRPr="02E2EE7D">
        <w:t xml:space="preserve">s, </w:t>
      </w:r>
      <w:r w:rsidR="56AC4B0C" w:rsidRPr="02E2EE7D">
        <w:t>the ability to obtain treatment</w:t>
      </w:r>
      <w:r w:rsidR="6CB176DC" w:rsidRPr="02E2EE7D">
        <w:t xml:space="preserve">, </w:t>
      </w:r>
      <w:r w:rsidR="7546C1D2" w:rsidRPr="02E2EE7D">
        <w:t>ability of individuals to make</w:t>
      </w:r>
      <w:r w:rsidR="149A173E" w:rsidRPr="02E2EE7D">
        <w:t xml:space="preserve"> life decisions informed by </w:t>
      </w:r>
      <w:proofErr w:type="gramStart"/>
      <w:r w:rsidR="149A173E" w:rsidRPr="02E2EE7D">
        <w:t>diagnoses, and</w:t>
      </w:r>
      <w:proofErr w:type="gramEnd"/>
      <w:r w:rsidR="5DDA0B1A" w:rsidRPr="02E2EE7D">
        <w:t xml:space="preserve"> potentially gain greater life satisfaction.</w:t>
      </w:r>
      <w:r w:rsidR="149A173E" w:rsidRPr="02E2EE7D">
        <w:t xml:space="preserve"> </w:t>
      </w:r>
      <w:r w:rsidR="3FFFE82D" w:rsidRPr="02E2EE7D">
        <w:t xml:space="preserve"> </w:t>
      </w:r>
    </w:p>
    <w:p w14:paraId="3717AA01" w14:textId="11842918" w:rsidR="00772829" w:rsidRPr="00CE28E3" w:rsidRDefault="00772829" w:rsidP="00ED5CB7">
      <w:pPr>
        <w:pStyle w:val="Heading2"/>
        <w:numPr>
          <w:ilvl w:val="0"/>
          <w:numId w:val="36"/>
        </w:numPr>
        <w:ind w:hanging="720"/>
      </w:pPr>
      <w:bookmarkStart w:id="36" w:name="_Toc184839277"/>
      <w:r w:rsidRPr="00CE28E3">
        <w:t>Comparative effectiveness</w:t>
      </w:r>
      <w:bookmarkEnd w:id="36"/>
    </w:p>
    <w:p w14:paraId="7A852DEC" w14:textId="513216FA" w:rsidR="008A62F7" w:rsidRDefault="00C8384C" w:rsidP="008A62F7">
      <w:pPr>
        <w:pStyle w:val="Heading3"/>
      </w:pPr>
      <w:bookmarkStart w:id="37" w:name="_Toc184839278"/>
      <w:r>
        <w:t xml:space="preserve">PICO Set 1 </w:t>
      </w:r>
      <w:r w:rsidR="00830BDF">
        <w:t>–</w:t>
      </w:r>
      <w:r>
        <w:t xml:space="preserve"> </w:t>
      </w:r>
      <w:r w:rsidR="004755A0">
        <w:t>N</w:t>
      </w:r>
      <w:r w:rsidR="00830BDF">
        <w:t>ewborns</w:t>
      </w:r>
      <w:bookmarkEnd w:id="37"/>
    </w:p>
    <w:p w14:paraId="154705CB" w14:textId="77777777" w:rsidR="00807D60" w:rsidRDefault="0071246F" w:rsidP="00DC3ADE">
      <w:pPr>
        <w:pStyle w:val="Heading4"/>
      </w:pPr>
      <w:r>
        <w:t>Early d</w:t>
      </w:r>
      <w:r w:rsidRPr="0071246F">
        <w:t xml:space="preserve">iagnosis and treatment of </w:t>
      </w:r>
      <w:r>
        <w:t>GSD</w:t>
      </w:r>
      <w:r w:rsidRPr="0071246F">
        <w:t xml:space="preserve"> II by NBS compared with </w:t>
      </w:r>
      <w:r>
        <w:t xml:space="preserve">late </w:t>
      </w:r>
      <w:r w:rsidRPr="0071246F">
        <w:t xml:space="preserve">diagnosis </w:t>
      </w:r>
      <w:r>
        <w:t xml:space="preserve">and treatment </w:t>
      </w:r>
      <w:r w:rsidRPr="0071246F">
        <w:t>following symptom onset</w:t>
      </w:r>
    </w:p>
    <w:p w14:paraId="015689DB" w14:textId="41235E9E" w:rsidR="003927BA" w:rsidRDefault="006E7DD7" w:rsidP="003927BA">
      <w:pPr>
        <w:pStyle w:val="Heading5"/>
      </w:pPr>
      <w:r>
        <w:t>Health outcomes</w:t>
      </w:r>
      <w:r w:rsidR="009D2D26">
        <w:t xml:space="preserve"> for IOGSD II</w:t>
      </w:r>
    </w:p>
    <w:p w14:paraId="12B16259" w14:textId="7F8D2663" w:rsidR="0071246F" w:rsidRDefault="696EAD74" w:rsidP="02E2EE7D">
      <w:r w:rsidRPr="02E2EE7D">
        <w:t>Data from studies of d</w:t>
      </w:r>
      <w:r w:rsidR="009F6C47" w:rsidRPr="02E2EE7D">
        <w:t xml:space="preserve">irect from test to health outcome evidence </w:t>
      </w:r>
      <w:r w:rsidR="009047D5" w:rsidRPr="02E2EE7D">
        <w:t xml:space="preserve">in Taiwanese studies </w:t>
      </w:r>
      <w:r w:rsidR="7FE89B18" w:rsidRPr="02E2EE7D">
        <w:t>showed</w:t>
      </w:r>
      <w:r w:rsidR="009F6C47" w:rsidRPr="02E2EE7D">
        <w:t xml:space="preserve"> that early diagnosis of IOGSD II by NBS</w:t>
      </w:r>
      <w:r w:rsidR="3B675347" w:rsidRPr="02E2EE7D">
        <w:t>,</w:t>
      </w:r>
      <w:r w:rsidR="009F6C47" w:rsidRPr="02E2EE7D">
        <w:t xml:space="preserve"> followed by early </w:t>
      </w:r>
      <w:r w:rsidR="6339F254" w:rsidRPr="02E2EE7D">
        <w:t xml:space="preserve">initiation </w:t>
      </w:r>
      <w:r w:rsidR="40667692" w:rsidRPr="02E2EE7D">
        <w:t xml:space="preserve">of </w:t>
      </w:r>
      <w:r w:rsidR="009F6C47" w:rsidRPr="02E2EE7D">
        <w:t xml:space="preserve">ERT is associated with improved survival and improved </w:t>
      </w:r>
      <w:r w:rsidR="00E651BA" w:rsidRPr="02E2EE7D">
        <w:t>ventilation-free</w:t>
      </w:r>
      <w:r w:rsidR="009F6C47" w:rsidRPr="02E2EE7D">
        <w:t xml:space="preserve"> survival</w:t>
      </w:r>
      <w:r w:rsidR="009047D5" w:rsidRPr="02E2EE7D">
        <w:t xml:space="preserve"> </w:t>
      </w:r>
      <w:r w:rsidR="00C24786" w:rsidRPr="02E2EE7D">
        <w:t xml:space="preserve">(VFS) </w:t>
      </w:r>
      <w:r w:rsidR="009047D5" w:rsidRPr="02E2EE7D">
        <w:t>compared to late diagnosis and ERT</w:t>
      </w:r>
      <w:r w:rsidR="009F6C47" w:rsidRPr="02E2EE7D">
        <w:t xml:space="preserve">. </w:t>
      </w:r>
      <w:r w:rsidR="001473E8" w:rsidRPr="02E2EE7D">
        <w:t>T</w:t>
      </w:r>
      <w:r w:rsidR="007B441D" w:rsidRPr="02E2EE7D">
        <w:t xml:space="preserve">here was a statistically significant benefit observed for overall survival </w:t>
      </w:r>
      <w:r w:rsidR="1D2211EB" w:rsidRPr="02E2EE7D">
        <w:t xml:space="preserve">at </w:t>
      </w:r>
      <w:r w:rsidR="006F292E" w:rsidRPr="02E2EE7D">
        <w:t>50</w:t>
      </w:r>
      <w:r w:rsidR="1D2211EB" w:rsidRPr="02E2EE7D">
        <w:t xml:space="preserve"> months</w:t>
      </w:r>
      <w:r w:rsidR="009F6C47" w:rsidRPr="02E2EE7D">
        <w:t xml:space="preserve"> </w:t>
      </w:r>
      <w:r w:rsidR="007B441D" w:rsidRPr="02E2EE7D">
        <w:t xml:space="preserve">of </w:t>
      </w:r>
      <w:r w:rsidR="009F6C47" w:rsidRPr="02E2EE7D">
        <w:t>follow-up</w:t>
      </w:r>
      <w:r w:rsidR="00A63726" w:rsidRPr="02E2EE7D">
        <w:t xml:space="preserve"> </w:t>
      </w:r>
      <w:r w:rsidR="001D4203" w:rsidRPr="02E2EE7D">
        <w:t>with 100% (13/13 patients) compared with 50% (5/10 patients) survival. (</w:t>
      </w:r>
      <w:r w:rsidR="007B441D" w:rsidRPr="02E2EE7D">
        <w:t xml:space="preserve">Kaplan-Meier analyses for patients </w:t>
      </w:r>
      <w:r w:rsidR="009F6C47" w:rsidRPr="02E2EE7D">
        <w:t xml:space="preserve">diagnosed </w:t>
      </w:r>
      <w:r w:rsidR="007B441D" w:rsidRPr="02E2EE7D">
        <w:t>via NBS compared to presentation</w:t>
      </w:r>
      <w:r w:rsidR="37588EA7" w:rsidRPr="02E2EE7D">
        <w:t xml:space="preserve"> with </w:t>
      </w:r>
      <w:r w:rsidR="007B441D" w:rsidRPr="02E2EE7D">
        <w:t xml:space="preserve">clinical </w:t>
      </w:r>
      <w:r w:rsidR="37588EA7" w:rsidRPr="02E2EE7D">
        <w:t xml:space="preserve">signs and symptoms </w:t>
      </w:r>
      <w:r w:rsidR="008B4342" w:rsidRPr="02E2EE7D">
        <w:t xml:space="preserve">gave </w:t>
      </w:r>
      <w:r w:rsidR="007B441D" w:rsidRPr="02E2EE7D">
        <w:t>p=0.028</w:t>
      </w:r>
      <w:r w:rsidR="00062D3A" w:rsidRPr="02E2EE7D">
        <w:rPr>
          <w:rStyle w:val="FootnoteReference"/>
        </w:rPr>
        <w:footnoteReference w:id="23"/>
      </w:r>
      <w:r w:rsidR="001D4203" w:rsidRPr="02E2EE7D">
        <w:t>)</w:t>
      </w:r>
      <w:r w:rsidR="5A4EBA9B" w:rsidRPr="02E2EE7D">
        <w:t>.</w:t>
      </w:r>
      <w:r w:rsidR="00046059" w:rsidRPr="02E2EE7D">
        <w:t xml:space="preserve"> </w:t>
      </w:r>
      <w:r w:rsidR="0D7E0E60" w:rsidRPr="02E2EE7D">
        <w:t xml:space="preserve">In addition, 100% survival </w:t>
      </w:r>
      <w:r w:rsidR="310F883F" w:rsidRPr="02E2EE7D">
        <w:t xml:space="preserve">up to 3.5 years </w:t>
      </w:r>
      <w:r w:rsidR="0D7E0E60" w:rsidRPr="02E2EE7D">
        <w:t>was observed in the non-comparative studies of other programs of NBS-diagnosed patients</w:t>
      </w:r>
      <w:r w:rsidR="5D914880" w:rsidRPr="02E2EE7D">
        <w:t xml:space="preserve"> with IOGSD II and </w:t>
      </w:r>
      <w:r w:rsidR="006F292E" w:rsidRPr="02E2EE7D">
        <w:t>early commencement of</w:t>
      </w:r>
      <w:r w:rsidR="5D914880" w:rsidRPr="02E2EE7D">
        <w:t xml:space="preserve"> ERT</w:t>
      </w:r>
      <w:r w:rsidR="009047D5" w:rsidRPr="02E2EE7D">
        <w:t>.</w:t>
      </w:r>
    </w:p>
    <w:p w14:paraId="49C39A2C" w14:textId="2697C57D" w:rsidR="009047D5" w:rsidRDefault="001A79ED" w:rsidP="007B4DE2">
      <w:r w:rsidRPr="02E2EE7D">
        <w:t xml:space="preserve">VFS </w:t>
      </w:r>
      <w:r w:rsidR="003D2730" w:rsidRPr="02E2EE7D">
        <w:t xml:space="preserve">was also evaluated in </w:t>
      </w:r>
      <w:r w:rsidR="00C41969" w:rsidRPr="02E2EE7D">
        <w:t>Taiwanese studies</w:t>
      </w:r>
      <w:r w:rsidRPr="02E2EE7D">
        <w:t>; there were statistically significant benefits observed</w:t>
      </w:r>
      <w:r w:rsidR="003D2730" w:rsidRPr="02E2EE7D">
        <w:t xml:space="preserve"> for </w:t>
      </w:r>
      <w:r w:rsidRPr="02E2EE7D">
        <w:t>infants</w:t>
      </w:r>
      <w:r w:rsidR="00C41969" w:rsidRPr="02E2EE7D">
        <w:t xml:space="preserve"> diagnosed </w:t>
      </w:r>
      <w:r w:rsidR="003D2730" w:rsidRPr="02E2EE7D">
        <w:t xml:space="preserve">by NBS </w:t>
      </w:r>
      <w:r w:rsidR="009B3981" w:rsidRPr="02E2EE7D">
        <w:t xml:space="preserve">with </w:t>
      </w:r>
      <w:r w:rsidR="00C41969" w:rsidRPr="02E2EE7D">
        <w:t xml:space="preserve">early </w:t>
      </w:r>
      <w:r w:rsidR="009B3981" w:rsidRPr="02E2EE7D">
        <w:t>initiation of</w:t>
      </w:r>
      <w:r w:rsidR="00C41969" w:rsidRPr="02E2EE7D">
        <w:t xml:space="preserve"> ERT compared to those diagnose</w:t>
      </w:r>
      <w:r w:rsidRPr="02E2EE7D">
        <w:t>d</w:t>
      </w:r>
      <w:r w:rsidR="00C41969" w:rsidRPr="02E2EE7D">
        <w:t xml:space="preserve"> clinically and treated later</w:t>
      </w:r>
      <w:r w:rsidR="000A40DE" w:rsidRPr="02E2EE7D">
        <w:t xml:space="preserve"> at 50 months of follow-up</w:t>
      </w:r>
      <w:r w:rsidR="00C41969" w:rsidRPr="02E2EE7D">
        <w:t xml:space="preserve">. </w:t>
      </w:r>
      <w:r w:rsidR="003D2730" w:rsidRPr="02E2EE7D">
        <w:t>Results from the most recent study identified patients receiving standard doses reached statistical significance</w:t>
      </w:r>
      <w:r w:rsidR="00062D3A" w:rsidRPr="02E2EE7D">
        <w:rPr>
          <w:vertAlign w:val="superscript"/>
        </w:rPr>
        <w:t>6</w:t>
      </w:r>
      <w:r w:rsidR="003D2730" w:rsidRPr="02E2EE7D">
        <w:t xml:space="preserve">. The </w:t>
      </w:r>
      <w:r w:rsidR="007559AC" w:rsidRPr="02E2EE7D">
        <w:t>relative risk (</w:t>
      </w:r>
      <w:r w:rsidR="003D2730" w:rsidRPr="02E2EE7D">
        <w:t>RR</w:t>
      </w:r>
      <w:r w:rsidR="007559AC" w:rsidRPr="02E2EE7D">
        <w:t>)</w:t>
      </w:r>
      <w:r w:rsidR="003D2730" w:rsidRPr="02E2EE7D">
        <w:t xml:space="preserve"> for </w:t>
      </w:r>
      <w:r w:rsidR="00C24786" w:rsidRPr="02E2EE7D">
        <w:t>VFS</w:t>
      </w:r>
      <w:r w:rsidR="003D2730" w:rsidRPr="02E2EE7D">
        <w:t xml:space="preserve"> was 0.</w:t>
      </w:r>
      <w:r w:rsidR="00541C52" w:rsidRPr="02E2EE7D">
        <w:t>0</w:t>
      </w:r>
      <w:r w:rsidR="000A40DE" w:rsidRPr="02E2EE7D">
        <w:t>5</w:t>
      </w:r>
      <w:r w:rsidR="003D2730" w:rsidRPr="02E2EE7D">
        <w:t xml:space="preserve"> (95%</w:t>
      </w:r>
      <w:r w:rsidR="00646EFA" w:rsidRPr="02E2EE7D">
        <w:t xml:space="preserve"> </w:t>
      </w:r>
      <w:r w:rsidR="003D2730" w:rsidRPr="02E2EE7D">
        <w:t>CI 0.</w:t>
      </w:r>
      <w:r w:rsidR="00541C52" w:rsidRPr="02E2EE7D">
        <w:t>00</w:t>
      </w:r>
      <w:r w:rsidR="000A40DE" w:rsidRPr="02E2EE7D">
        <w:t>3</w:t>
      </w:r>
      <w:r w:rsidR="003D2730" w:rsidRPr="02E2EE7D">
        <w:t xml:space="preserve">, </w:t>
      </w:r>
      <w:r w:rsidR="00541C52" w:rsidRPr="02E2EE7D">
        <w:t>0.</w:t>
      </w:r>
      <w:r w:rsidR="000A40DE" w:rsidRPr="02E2EE7D">
        <w:t>716</w:t>
      </w:r>
      <w:r w:rsidR="003D2730" w:rsidRPr="02E2EE7D">
        <w:t>; p = 0.0</w:t>
      </w:r>
      <w:r w:rsidR="00DC7FDC" w:rsidRPr="02E2EE7D">
        <w:t>3</w:t>
      </w:r>
      <w:r w:rsidR="003D2730" w:rsidRPr="02E2EE7D">
        <w:t xml:space="preserve">). </w:t>
      </w:r>
    </w:p>
    <w:p w14:paraId="6FDAD1B1" w14:textId="278009A1" w:rsidR="00B721D4" w:rsidRDefault="00B721D4" w:rsidP="00B721D4">
      <w:r w:rsidRPr="02E2EE7D">
        <w:t xml:space="preserve">Comparisons of early (before 3 months of age) versus late (after 3 months) </w:t>
      </w:r>
      <w:r w:rsidR="00764201" w:rsidRPr="02E2EE7D">
        <w:t xml:space="preserve">ERT </w:t>
      </w:r>
      <w:r w:rsidRPr="02E2EE7D">
        <w:t xml:space="preserve">in IOGSD II patients from symptomatic population supported the </w:t>
      </w:r>
      <w:r w:rsidR="006E7DD7" w:rsidRPr="02E2EE7D">
        <w:t xml:space="preserve">direct </w:t>
      </w:r>
      <w:r w:rsidRPr="02E2EE7D">
        <w:t xml:space="preserve">evidence overall, for survival and </w:t>
      </w:r>
      <w:r w:rsidR="00C24786" w:rsidRPr="02E2EE7D">
        <w:t>VFS</w:t>
      </w:r>
      <w:r w:rsidR="00764201" w:rsidRPr="02E2EE7D">
        <w:t xml:space="preserve">, i.e. </w:t>
      </w:r>
      <w:r w:rsidR="007559AC" w:rsidRPr="02E2EE7D">
        <w:t xml:space="preserve">improved </w:t>
      </w:r>
      <w:r w:rsidR="00764201" w:rsidRPr="02E2EE7D">
        <w:t>survival associated with early ERT</w:t>
      </w:r>
      <w:r w:rsidRPr="02E2EE7D">
        <w:t>.</w:t>
      </w:r>
      <w:r w:rsidR="006E7DD7" w:rsidRPr="02E2EE7D">
        <w:t xml:space="preserve">  Other naive comparisons of early versus late treated patients showed similar trends</w:t>
      </w:r>
      <w:r w:rsidR="08C73AB2" w:rsidRPr="02E2EE7D">
        <w:t>. O</w:t>
      </w:r>
      <w:r w:rsidRPr="02E2EE7D">
        <w:t>ne case series found patients who were given earlier treatment had worse survival</w:t>
      </w:r>
      <w:r w:rsidR="71CED2EE" w:rsidRPr="02E2EE7D">
        <w:t>; however</w:t>
      </w:r>
      <w:r w:rsidR="43D94E04" w:rsidRPr="02E2EE7D">
        <w:t>,</w:t>
      </w:r>
      <w:r w:rsidR="71CED2EE" w:rsidRPr="02E2EE7D">
        <w:t xml:space="preserve"> some</w:t>
      </w:r>
      <w:r w:rsidRPr="02E2EE7D">
        <w:t xml:space="preserve"> patients in </w:t>
      </w:r>
      <w:r w:rsidR="71CED2EE" w:rsidRPr="02E2EE7D">
        <w:t>the early treatment group had severe,</w:t>
      </w:r>
      <w:r w:rsidRPr="02E2EE7D">
        <w:t xml:space="preserve"> late</w:t>
      </w:r>
      <w:r w:rsidR="71CED2EE" w:rsidRPr="02E2EE7D">
        <w:t>-</w:t>
      </w:r>
      <w:r w:rsidRPr="02E2EE7D">
        <w:t>stage cardiomyopathy which p</w:t>
      </w:r>
      <w:r w:rsidR="06E40DAF" w:rsidRPr="02E2EE7D">
        <w:t>otentially</w:t>
      </w:r>
      <w:r w:rsidRPr="02E2EE7D">
        <w:t xml:space="preserve"> skewed the results.</w:t>
      </w:r>
      <w:r w:rsidR="006E7DD7" w:rsidRPr="02E2EE7D">
        <w:t xml:space="preserve"> </w:t>
      </w:r>
      <w:r w:rsidR="00265689" w:rsidRPr="02E2EE7D">
        <w:t xml:space="preserve">Results from small case series were largely impacted by the severity of </w:t>
      </w:r>
      <w:r w:rsidR="00764201" w:rsidRPr="02E2EE7D">
        <w:t xml:space="preserve">patient </w:t>
      </w:r>
      <w:r w:rsidR="00265689" w:rsidRPr="02E2EE7D">
        <w:t>symptoms at diagnosis.</w:t>
      </w:r>
      <w:r w:rsidR="009B6584" w:rsidRPr="02E2EE7D">
        <w:t xml:space="preserve"> </w:t>
      </w:r>
    </w:p>
    <w:p w14:paraId="6B8886E3" w14:textId="6BEE5B3C" w:rsidR="00FA229F" w:rsidRDefault="36987C72" w:rsidP="00FA229F">
      <w:r w:rsidRPr="02E2EE7D">
        <w:t>Improvements were also observed in motor function for patients diagnosed via NBS and who commenced ERT within the first month of life, or within days of diagnosis</w:t>
      </w:r>
      <w:r w:rsidR="00B23CD9" w:rsidRPr="02E2EE7D">
        <w:t xml:space="preserve">. </w:t>
      </w:r>
      <w:r w:rsidR="005C70DA" w:rsidRPr="02E2EE7D">
        <w:t xml:space="preserve">More patients achieved independent walking when diagnosed by NBS and treated early (59%) </w:t>
      </w:r>
      <w:r w:rsidR="3E21400D" w:rsidRPr="02E2EE7D">
        <w:t xml:space="preserve">compared to patients who were </w:t>
      </w:r>
      <w:r w:rsidR="005C70DA" w:rsidRPr="02E2EE7D">
        <w:t xml:space="preserve">diagnosed </w:t>
      </w:r>
      <w:r w:rsidR="3E21400D" w:rsidRPr="02E2EE7D">
        <w:t xml:space="preserve">via symptom presentation </w:t>
      </w:r>
      <w:r w:rsidR="005C70DA" w:rsidRPr="02E2EE7D">
        <w:t xml:space="preserve">and </w:t>
      </w:r>
      <w:r w:rsidR="3E21400D" w:rsidRPr="02E2EE7D">
        <w:t>commenced ERT later</w:t>
      </w:r>
      <w:r w:rsidR="005C70DA" w:rsidRPr="02E2EE7D">
        <w:t xml:space="preserve"> (17%). In addition, the mean age of walking was younger for </w:t>
      </w:r>
      <w:r w:rsidR="7CB0ADF0" w:rsidRPr="02E2EE7D">
        <w:t xml:space="preserve">those </w:t>
      </w:r>
      <w:r w:rsidR="005C70DA" w:rsidRPr="02E2EE7D">
        <w:t>diagnosed by NBS (11.9 ± 1.0 months) than those diagnosed clinically (16.57 ± 1.6 months). Statistical analyses were not performed, but these results were supported in other measures.</w:t>
      </w:r>
      <w:r w:rsidR="00FA229F" w:rsidRPr="02E2EE7D">
        <w:t xml:space="preserve"> </w:t>
      </w:r>
      <w:r w:rsidR="3887ABBF" w:rsidRPr="02E2EE7D">
        <w:t>However,</w:t>
      </w:r>
      <w:r w:rsidR="66FC1610" w:rsidRPr="02E2EE7D">
        <w:t xml:space="preserve"> </w:t>
      </w:r>
      <w:r w:rsidR="00291D69">
        <w:t xml:space="preserve">the DCAR noted </w:t>
      </w:r>
      <w:r w:rsidR="3887ABBF" w:rsidRPr="02E2EE7D">
        <w:t>m</w:t>
      </w:r>
      <w:r w:rsidR="1792E274" w:rsidRPr="02E2EE7D">
        <w:t>otor function was observed to decline over time in a</w:t>
      </w:r>
      <w:r w:rsidR="6255E301" w:rsidRPr="02E2EE7D">
        <w:t xml:space="preserve"> </w:t>
      </w:r>
      <w:r w:rsidR="1792E274" w:rsidRPr="02E2EE7D">
        <w:t xml:space="preserve">recent study of patients with IOGSD </w:t>
      </w:r>
      <w:r w:rsidR="007559AC" w:rsidRPr="02E2EE7D">
        <w:t xml:space="preserve">II </w:t>
      </w:r>
      <w:r w:rsidR="1792E274" w:rsidRPr="02E2EE7D">
        <w:t>who were diagnosed via NBS; by e</w:t>
      </w:r>
      <w:r w:rsidR="1BE099A6" w:rsidRPr="02E2EE7D">
        <w:t>arly adoles</w:t>
      </w:r>
      <w:r w:rsidR="1D29729D" w:rsidRPr="02E2EE7D">
        <w:t xml:space="preserve">cence, some patients </w:t>
      </w:r>
      <w:bookmarkStart w:id="38" w:name="_Int_qoeNL5j2"/>
      <w:proofErr w:type="gramStart"/>
      <w:r w:rsidR="1D29729D" w:rsidRPr="02E2EE7D">
        <w:t>experienced difficulty</w:t>
      </w:r>
      <w:bookmarkEnd w:id="38"/>
      <w:proofErr w:type="gramEnd"/>
      <w:r w:rsidR="1D29729D" w:rsidRPr="02E2EE7D">
        <w:t xml:space="preserve"> with climbing or walking, and a minority of patients were confined to wheelchairs.</w:t>
      </w:r>
    </w:p>
    <w:p w14:paraId="44C3255F" w14:textId="332FC39D" w:rsidR="0014330A" w:rsidRDefault="0014330A" w:rsidP="00980A7A">
      <w:pPr>
        <w:pStyle w:val="Heading5"/>
      </w:pPr>
      <w:r>
        <w:t>Health outcomes for LOGSD II</w:t>
      </w:r>
    </w:p>
    <w:p w14:paraId="649B8630" w14:textId="1E7756EF" w:rsidR="0014330A" w:rsidRDefault="47CCDAA0" w:rsidP="0014330A">
      <w:r>
        <w:t xml:space="preserve">There was a paucity of studies that reported direct from test to health outcomes evidence of NBS for the diagnosis </w:t>
      </w:r>
      <w:r w:rsidR="00A83098">
        <w:t>of</w:t>
      </w:r>
      <w:r>
        <w:t xml:space="preserve"> LOGSD II. </w:t>
      </w:r>
      <w:r w:rsidR="1D5A63DD">
        <w:t>From</w:t>
      </w:r>
      <w:r w:rsidR="4918D658">
        <w:t xml:space="preserve"> the limited </w:t>
      </w:r>
      <w:r w:rsidR="4BA10741">
        <w:t xml:space="preserve">available </w:t>
      </w:r>
      <w:r w:rsidR="4918D658">
        <w:t>evidence, t</w:t>
      </w:r>
      <w:r>
        <w:t>he principal benefit</w:t>
      </w:r>
      <w:r w:rsidR="52F5F927">
        <w:t>s</w:t>
      </w:r>
      <w:r>
        <w:t xml:space="preserve"> of NBS for the diagnosis of LOGSD II</w:t>
      </w:r>
      <w:r w:rsidR="2D3CDA45">
        <w:t xml:space="preserve"> was</w:t>
      </w:r>
      <w:r w:rsidR="7896D9B0">
        <w:t xml:space="preserve"> the </w:t>
      </w:r>
      <w:r w:rsidR="4195F021">
        <w:t xml:space="preserve">diagnosis and </w:t>
      </w:r>
      <w:r w:rsidR="7896D9B0">
        <w:t>earl</w:t>
      </w:r>
      <w:r w:rsidR="00A83098">
        <w:t>ier</w:t>
      </w:r>
      <w:r w:rsidR="7896D9B0">
        <w:t xml:space="preserve"> initiation of ERT treatment in </w:t>
      </w:r>
      <w:r w:rsidR="5C598888">
        <w:t xml:space="preserve">patients </w:t>
      </w:r>
      <w:r w:rsidR="7896D9B0">
        <w:t xml:space="preserve">who </w:t>
      </w:r>
      <w:r w:rsidR="1C9AB717">
        <w:t>developed</w:t>
      </w:r>
      <w:r w:rsidR="7896D9B0">
        <w:t xml:space="preserve"> </w:t>
      </w:r>
      <w:r w:rsidR="0397C8BA">
        <w:t>symptom progression</w:t>
      </w:r>
      <w:r w:rsidR="00A35DD1">
        <w:t xml:space="preserve">, decreased time to diagnosis, and the avoidance of prolonged diagnostic </w:t>
      </w:r>
      <w:r w:rsidR="00F858A6">
        <w:t>delay</w:t>
      </w:r>
      <w:r w:rsidR="00A35DD1">
        <w:t>s.</w:t>
      </w:r>
      <w:r>
        <w:t xml:space="preserve"> </w:t>
      </w:r>
      <w:r w:rsidR="45407D38">
        <w:t>In the non-comparative studies, individuals diagnosed via NBS were undergoing monitoring</w:t>
      </w:r>
      <w:r w:rsidR="00737AE5">
        <w:t xml:space="preserve"> and some patients</w:t>
      </w:r>
      <w:r w:rsidR="45407D38">
        <w:t xml:space="preserve"> had commenced ERT; at last follow-up, the treated patients remained alive at an age range of 3-9 years.</w:t>
      </w:r>
      <w:r w:rsidR="08A1950C">
        <w:t xml:space="preserve"> </w:t>
      </w:r>
      <w:r w:rsidR="4425E174">
        <w:t xml:space="preserve">Other </w:t>
      </w:r>
      <w:r w:rsidR="00A35DD1">
        <w:t>health</w:t>
      </w:r>
      <w:r w:rsidR="4425E174">
        <w:t xml:space="preserve"> </w:t>
      </w:r>
      <w:r w:rsidR="00737AE5">
        <w:t>benefit</w:t>
      </w:r>
      <w:r w:rsidR="4425E174">
        <w:t xml:space="preserve">s for patients with LOGSD II who were treated with ERT </w:t>
      </w:r>
      <w:r w:rsidR="00812571">
        <w:t xml:space="preserve">upon symptom presentation </w:t>
      </w:r>
      <w:r w:rsidR="4425E174">
        <w:t xml:space="preserve">were </w:t>
      </w:r>
      <w:r w:rsidR="00737AE5">
        <w:t xml:space="preserve">improvements in respiratory function and </w:t>
      </w:r>
      <w:r w:rsidR="2C21CB57">
        <w:t>achievement of independent walking</w:t>
      </w:r>
      <w:r w:rsidR="00737AE5">
        <w:t>. However, some patients</w:t>
      </w:r>
      <w:r w:rsidR="609E096C">
        <w:t xml:space="preserve"> experienced </w:t>
      </w:r>
      <w:r w:rsidR="3676FCCD">
        <w:t>delays</w:t>
      </w:r>
      <w:r w:rsidR="609E096C">
        <w:t xml:space="preserve"> in psychomotor development</w:t>
      </w:r>
      <w:r w:rsidR="3A2F55CA">
        <w:t>,</w:t>
      </w:r>
      <w:r w:rsidR="609E096C">
        <w:t xml:space="preserve"> and </w:t>
      </w:r>
      <w:r w:rsidR="00737AE5">
        <w:t xml:space="preserve">persistent </w:t>
      </w:r>
      <w:r w:rsidR="609E096C">
        <w:t xml:space="preserve">abdominal and pelvic muscle weakness. </w:t>
      </w:r>
      <w:r w:rsidR="00383206">
        <w:t>I</w:t>
      </w:r>
      <w:r w:rsidR="00FF2CF3">
        <w:t xml:space="preserve">n recent studies of patients with LOGSD II, some patients were receiving higher doses of ERT; </w:t>
      </w:r>
      <w:r w:rsidR="00383206">
        <w:t xml:space="preserve">however, </w:t>
      </w:r>
      <w:r w:rsidR="00FF2CF3">
        <w:t>the applicability of these results to the Australian setting is unknown because higher doses of ERT have not been approved under LSDP criteria.</w:t>
      </w:r>
    </w:p>
    <w:p w14:paraId="2508EA7F" w14:textId="0C43FD94" w:rsidR="0014330A" w:rsidRDefault="47CCDAA0" w:rsidP="0014330A">
      <w:r>
        <w:t xml:space="preserve">There was also little evidence comparing outcomes based on timing of initiation of ERT in symptomatic LOGSD II populations. The </w:t>
      </w:r>
      <w:r w:rsidR="00291D69">
        <w:t xml:space="preserve">DCAR considered the </w:t>
      </w:r>
      <w:r>
        <w:t xml:space="preserve">outcomes reported were likely to be highly influenced by the severity of symptoms at the time of </w:t>
      </w:r>
      <w:r w:rsidR="00737AE5">
        <w:t xml:space="preserve">ERT </w:t>
      </w:r>
      <w:r>
        <w:t xml:space="preserve">initiation, and there was </w:t>
      </w:r>
      <w:r w:rsidR="00A35DD1">
        <w:t>some</w:t>
      </w:r>
      <w:r>
        <w:t xml:space="preserve"> risk </w:t>
      </w:r>
      <w:r w:rsidR="28C956A6">
        <w:t xml:space="preserve">of </w:t>
      </w:r>
      <w:r>
        <w:t xml:space="preserve">publication bias. </w:t>
      </w:r>
    </w:p>
    <w:p w14:paraId="20D29FF3" w14:textId="039532D9" w:rsidR="003927BA" w:rsidRDefault="006E7DD7" w:rsidP="0014330A">
      <w:pPr>
        <w:pStyle w:val="Heading4"/>
      </w:pPr>
      <w:r>
        <w:t>Test accuracy</w:t>
      </w:r>
    </w:p>
    <w:p w14:paraId="6E46556C" w14:textId="76ECFE21" w:rsidR="00C623E2" w:rsidRPr="00C623E2" w:rsidRDefault="00C623E2" w:rsidP="00C623E2">
      <w:r w:rsidRPr="02E2EE7D">
        <w:t>There were no studies identified that compared screening protocols between newborns and symptomatic populations.</w:t>
      </w:r>
    </w:p>
    <w:p w14:paraId="016DB1F8" w14:textId="1756764E" w:rsidR="00252191" w:rsidRPr="00252191" w:rsidRDefault="00252191" w:rsidP="0014330A">
      <w:pPr>
        <w:pStyle w:val="Heading5"/>
      </w:pPr>
      <w:r w:rsidRPr="00252191">
        <w:t>Newborns</w:t>
      </w:r>
    </w:p>
    <w:p w14:paraId="1F6D01AB" w14:textId="0880BF46" w:rsidR="00D90642" w:rsidRDefault="00D90642" w:rsidP="00D90642">
      <w:r w:rsidRPr="02E2EE7D">
        <w:t xml:space="preserve">The </w:t>
      </w:r>
      <w:r w:rsidR="00C623E2" w:rsidRPr="02E2EE7D">
        <w:t xml:space="preserve">newborn </w:t>
      </w:r>
      <w:r w:rsidRPr="02E2EE7D">
        <w:t xml:space="preserve">screening protocol </w:t>
      </w:r>
      <w:r w:rsidR="00F024D4" w:rsidRPr="02E2EE7D">
        <w:t xml:space="preserve">in the ratified PICO for MSAC application 1774 </w:t>
      </w:r>
      <w:r w:rsidRPr="02E2EE7D">
        <w:t xml:space="preserve">was GAA enzyme activity testing, followed by a rapid genetic test to rule out any cases with exclusively </w:t>
      </w:r>
      <w:proofErr w:type="spellStart"/>
      <w:r w:rsidRPr="02E2EE7D">
        <w:t>pseudodeficiency</w:t>
      </w:r>
      <w:proofErr w:type="spellEnd"/>
      <w:r w:rsidRPr="02E2EE7D">
        <w:t xml:space="preserve"> variants (i.e. any cases with at least one </w:t>
      </w:r>
      <w:r w:rsidR="5301FB74" w:rsidRPr="02E2EE7D">
        <w:t>P/LP</w:t>
      </w:r>
      <w:r w:rsidRPr="02E2EE7D">
        <w:t xml:space="preserve"> variant, </w:t>
      </w:r>
      <w:r w:rsidR="1861F63E" w:rsidRPr="02E2EE7D">
        <w:t>VUS</w:t>
      </w:r>
      <w:r w:rsidRPr="02E2EE7D">
        <w:t xml:space="preserve"> or no variants would still undergo confirmatory testing). No studies (or NBS programs) were identified that used this approach. Some jurisdictions used GAA enzyme activity testing followed by </w:t>
      </w:r>
      <w:r w:rsidRPr="02E2EE7D">
        <w:rPr>
          <w:i/>
          <w:iCs/>
        </w:rPr>
        <w:t>GAA</w:t>
      </w:r>
      <w:r w:rsidRPr="02E2EE7D">
        <w:t xml:space="preserve"> gene sequencing, where any case with at least one P/LP variant or VUS was referred.  </w:t>
      </w:r>
    </w:p>
    <w:p w14:paraId="63D1BA42" w14:textId="5CDF12E9" w:rsidR="00F54E78" w:rsidRDefault="00D90642" w:rsidP="00D90642">
      <w:r w:rsidRPr="02E2EE7D">
        <w:t xml:space="preserve">Most NBS programs for GSD II use </w:t>
      </w:r>
      <w:r w:rsidR="6FAE8BA5" w:rsidRPr="02E2EE7D">
        <w:t>e</w:t>
      </w:r>
      <w:r w:rsidRPr="02E2EE7D">
        <w:t xml:space="preserve">ither MS/MS or </w:t>
      </w:r>
      <w:r w:rsidR="00F024D4" w:rsidRPr="02E2EE7D">
        <w:t xml:space="preserve">fluorometric </w:t>
      </w:r>
      <w:r w:rsidRPr="02E2EE7D">
        <w:t xml:space="preserve">assay for GAA activity as a </w:t>
      </w:r>
      <w:proofErr w:type="gramStart"/>
      <w:r w:rsidRPr="02E2EE7D">
        <w:t>first-tier</w:t>
      </w:r>
      <w:proofErr w:type="gramEnd"/>
      <w:r w:rsidRPr="02E2EE7D">
        <w:t xml:space="preserve"> (or </w:t>
      </w:r>
      <w:r w:rsidR="00D436D8" w:rsidRPr="02E2EE7D">
        <w:t>single-tier</w:t>
      </w:r>
      <w:r w:rsidRPr="02E2EE7D">
        <w:t xml:space="preserve">) screen. Screening protocols using MS/MS as first-tier screen followed by genetic analysis as a second-tier assay or confirmation, have a lower first-tier screen positive rate range and correspondingly higher </w:t>
      </w:r>
      <w:r w:rsidR="1A477C45" w:rsidRPr="02E2EE7D">
        <w:t>positive predictive value (</w:t>
      </w:r>
      <w:r w:rsidRPr="02E2EE7D">
        <w:t>PPV</w:t>
      </w:r>
      <w:r w:rsidR="47F87CF8" w:rsidRPr="02E2EE7D">
        <w:t>)</w:t>
      </w:r>
      <w:r w:rsidRPr="02E2EE7D">
        <w:t xml:space="preserve"> range compared to </w:t>
      </w:r>
      <w:r w:rsidR="00F54E78" w:rsidRPr="02E2EE7D">
        <w:t xml:space="preserve">other </w:t>
      </w:r>
      <w:r w:rsidRPr="02E2EE7D">
        <w:t>protocols that use MS/MS</w:t>
      </w:r>
      <w:r w:rsidR="00273A7D" w:rsidRPr="02E2EE7D">
        <w:t xml:space="preserve"> only</w:t>
      </w:r>
      <w:r w:rsidR="00F54E78" w:rsidRPr="02E2EE7D">
        <w:t>.</w:t>
      </w:r>
      <w:r w:rsidRPr="02E2EE7D">
        <w:t xml:space="preserve"> </w:t>
      </w:r>
      <w:r w:rsidR="00F54E78" w:rsidRPr="02E2EE7D">
        <w:t xml:space="preserve">Genetic assays have better specificity </w:t>
      </w:r>
      <w:r w:rsidRPr="02E2EE7D">
        <w:t xml:space="preserve">compared to other </w:t>
      </w:r>
      <w:proofErr w:type="gramStart"/>
      <w:r w:rsidRPr="02E2EE7D">
        <w:t>assays</w:t>
      </w:r>
      <w:r w:rsidR="00F54E78" w:rsidRPr="02E2EE7D">
        <w:t>, and</w:t>
      </w:r>
      <w:proofErr w:type="gramEnd"/>
      <w:r w:rsidR="00F54E78" w:rsidRPr="02E2EE7D">
        <w:t xml:space="preserve"> therefore contribute to a higher PPV</w:t>
      </w:r>
      <w:r w:rsidRPr="02E2EE7D">
        <w:t xml:space="preserve">. </w:t>
      </w:r>
      <w:r w:rsidR="00D436D8" w:rsidRPr="02E2EE7D">
        <w:t xml:space="preserve">A summary of </w:t>
      </w:r>
      <w:r w:rsidR="000424F7" w:rsidRPr="02E2EE7D">
        <w:t xml:space="preserve">first-tier positive and retest positive results with respective PPV </w:t>
      </w:r>
      <w:r w:rsidR="00D436D8" w:rsidRPr="02E2EE7D">
        <w:t xml:space="preserve">for MS/MS followed by a genetic assay prior to recall is given in </w:t>
      </w:r>
      <w:r>
        <w:fldChar w:fldCharType="begin"/>
      </w:r>
      <w:r>
        <w:instrText xml:space="preserve"> REF _Ref181021567 \h </w:instrText>
      </w:r>
      <w:r>
        <w:fldChar w:fldCharType="separate"/>
      </w:r>
      <w:r w:rsidR="00263379">
        <w:t xml:space="preserve">Table </w:t>
      </w:r>
      <w:r w:rsidR="00263379">
        <w:rPr>
          <w:noProof/>
        </w:rPr>
        <w:t>3</w:t>
      </w:r>
      <w:r>
        <w:fldChar w:fldCharType="end"/>
      </w:r>
      <w:r w:rsidR="00D436D8" w:rsidRPr="02E2EE7D">
        <w:t>.</w:t>
      </w:r>
      <w:r w:rsidR="6E9D418F" w:rsidRPr="02E2EE7D">
        <w:t xml:space="preserve"> No studies followed up screen negative results, so data on the sensitivity and specificity of NBS for GSD II were unable to be </w:t>
      </w:r>
      <w:r w:rsidR="4FCA561B" w:rsidRPr="02E2EE7D">
        <w:t xml:space="preserve">reliably </w:t>
      </w:r>
      <w:r w:rsidR="6E9D418F" w:rsidRPr="02E2EE7D">
        <w:t xml:space="preserve">determined. </w:t>
      </w:r>
    </w:p>
    <w:p w14:paraId="4B0134D4" w14:textId="0AF2E5B4" w:rsidR="00D436D8" w:rsidRDefault="000424F7" w:rsidP="000424F7">
      <w:pPr>
        <w:pStyle w:val="Caption"/>
      </w:pPr>
      <w:bookmarkStart w:id="39" w:name="_Ref181021567"/>
      <w:r>
        <w:t xml:space="preserve">Table </w:t>
      </w:r>
      <w:r w:rsidR="00263379">
        <w:fldChar w:fldCharType="begin"/>
      </w:r>
      <w:r w:rsidR="00263379">
        <w:instrText xml:space="preserve"> SEQ Table \* ARABIC </w:instrText>
      </w:r>
      <w:r w:rsidR="00263379">
        <w:fldChar w:fldCharType="separate"/>
      </w:r>
      <w:r w:rsidR="00263379">
        <w:rPr>
          <w:noProof/>
        </w:rPr>
        <w:t>3</w:t>
      </w:r>
      <w:r w:rsidR="00263379">
        <w:rPr>
          <w:noProof/>
        </w:rPr>
        <w:fldChar w:fldCharType="end"/>
      </w:r>
      <w:bookmarkEnd w:id="39"/>
      <w:r>
        <w:t xml:space="preserve"> Summary of screen positive results for MS/MS first-tier screening followed by genetic analysis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tandard 2-by-2 table for a reference standard and index test"/>
      </w:tblPr>
      <w:tblGrid>
        <w:gridCol w:w="2405"/>
        <w:gridCol w:w="1985"/>
        <w:gridCol w:w="2268"/>
        <w:gridCol w:w="2409"/>
      </w:tblGrid>
      <w:tr w:rsidR="000424F7" w:rsidRPr="00CE28E3" w14:paraId="688C56EF" w14:textId="22E3CA04" w:rsidTr="00175863">
        <w:trPr>
          <w:trHeight w:val="634"/>
          <w:tblHeader/>
        </w:trPr>
        <w:tc>
          <w:tcPr>
            <w:tcW w:w="2405" w:type="dxa"/>
            <w:vAlign w:val="center"/>
          </w:tcPr>
          <w:p w14:paraId="2945B5E6" w14:textId="15C2C043" w:rsidR="000424F7" w:rsidRDefault="000424F7" w:rsidP="00C422A6">
            <w:pPr>
              <w:pStyle w:val="In-tableHeading"/>
              <w:jc w:val="center"/>
            </w:pPr>
            <w:r>
              <w:t>Results</w:t>
            </w:r>
          </w:p>
        </w:tc>
        <w:tc>
          <w:tcPr>
            <w:tcW w:w="1985" w:type="dxa"/>
            <w:vAlign w:val="center"/>
          </w:tcPr>
          <w:p w14:paraId="7AABCF1D" w14:textId="6C3BC204" w:rsidR="000424F7" w:rsidRDefault="000424F7" w:rsidP="00C422A6">
            <w:pPr>
              <w:pStyle w:val="In-tableHeading"/>
              <w:jc w:val="center"/>
            </w:pPr>
            <w:r>
              <w:t xml:space="preserve">NBS programs N </w:t>
            </w:r>
            <w:r>
              <w:br/>
              <w:t>(n cases)</w:t>
            </w:r>
          </w:p>
        </w:tc>
        <w:tc>
          <w:tcPr>
            <w:tcW w:w="2268" w:type="dxa"/>
            <w:vAlign w:val="center"/>
          </w:tcPr>
          <w:p w14:paraId="2C358D50" w14:textId="1D9103BC" w:rsidR="000424F7" w:rsidRDefault="000424F7" w:rsidP="00C422A6">
            <w:pPr>
              <w:pStyle w:val="In-tableHeading"/>
              <w:spacing w:before="80" w:after="60"/>
              <w:jc w:val="center"/>
            </w:pPr>
            <w:r>
              <w:t>Range</w:t>
            </w:r>
          </w:p>
        </w:tc>
        <w:tc>
          <w:tcPr>
            <w:tcW w:w="2409" w:type="dxa"/>
            <w:vAlign w:val="center"/>
          </w:tcPr>
          <w:p w14:paraId="1D7B009E" w14:textId="365FD5FA" w:rsidR="000424F7" w:rsidRDefault="000424F7" w:rsidP="00C422A6">
            <w:pPr>
              <w:pStyle w:val="In-tableHeading"/>
              <w:spacing w:before="80" w:after="60"/>
              <w:jc w:val="center"/>
            </w:pPr>
            <w:r>
              <w:t>PPV</w:t>
            </w:r>
          </w:p>
        </w:tc>
      </w:tr>
      <w:tr w:rsidR="000424F7" w:rsidRPr="00CE28E3" w14:paraId="597C2A83" w14:textId="433ED2FC" w:rsidTr="00175863">
        <w:trPr>
          <w:trHeight w:val="429"/>
        </w:trPr>
        <w:tc>
          <w:tcPr>
            <w:tcW w:w="2405" w:type="dxa"/>
          </w:tcPr>
          <w:p w14:paraId="73C61A8A" w14:textId="4D1C0A27" w:rsidR="000424F7" w:rsidRPr="005C0A85" w:rsidRDefault="000424F7" w:rsidP="00C422A6">
            <w:pPr>
              <w:pStyle w:val="TableText1"/>
              <w:spacing w:line="240" w:lineRule="auto"/>
              <w:jc w:val="left"/>
              <w:rPr>
                <w:sz w:val="20"/>
                <w:szCs w:val="20"/>
              </w:rPr>
            </w:pPr>
            <w:r>
              <w:rPr>
                <w:sz w:val="20"/>
                <w:szCs w:val="20"/>
              </w:rPr>
              <w:t>First-tier screen positive</w:t>
            </w:r>
          </w:p>
        </w:tc>
        <w:tc>
          <w:tcPr>
            <w:tcW w:w="1985" w:type="dxa"/>
          </w:tcPr>
          <w:p w14:paraId="11F523B6" w14:textId="4BF9E46B" w:rsidR="000424F7" w:rsidRPr="001A4B1D" w:rsidRDefault="000424F7" w:rsidP="00C422A6">
            <w:pPr>
              <w:pStyle w:val="TableText1"/>
              <w:spacing w:line="240" w:lineRule="auto"/>
              <w:jc w:val="left"/>
              <w:rPr>
                <w:sz w:val="20"/>
                <w:szCs w:val="20"/>
              </w:rPr>
            </w:pPr>
            <w:r>
              <w:rPr>
                <w:sz w:val="20"/>
                <w:szCs w:val="20"/>
              </w:rPr>
              <w:t>7 (856)</w:t>
            </w:r>
          </w:p>
        </w:tc>
        <w:tc>
          <w:tcPr>
            <w:tcW w:w="2268" w:type="dxa"/>
          </w:tcPr>
          <w:p w14:paraId="0467AF19" w14:textId="52F1ED60" w:rsidR="000424F7" w:rsidRPr="001A4B1D" w:rsidRDefault="000424F7" w:rsidP="00C422A6">
            <w:pPr>
              <w:pStyle w:val="TableText1"/>
              <w:spacing w:line="240" w:lineRule="auto"/>
              <w:jc w:val="left"/>
              <w:rPr>
                <w:sz w:val="20"/>
                <w:szCs w:val="20"/>
              </w:rPr>
            </w:pPr>
            <w:r>
              <w:rPr>
                <w:sz w:val="20"/>
                <w:szCs w:val="20"/>
              </w:rPr>
              <w:t>0.</w:t>
            </w:r>
            <w:r w:rsidR="004B4694">
              <w:rPr>
                <w:sz w:val="20"/>
                <w:szCs w:val="20"/>
              </w:rPr>
              <w:t>0</w:t>
            </w:r>
            <w:r>
              <w:rPr>
                <w:sz w:val="20"/>
                <w:szCs w:val="20"/>
              </w:rPr>
              <w:t xml:space="preserve">15% - 0.41% </w:t>
            </w:r>
          </w:p>
        </w:tc>
        <w:tc>
          <w:tcPr>
            <w:tcW w:w="2409" w:type="dxa"/>
          </w:tcPr>
          <w:p w14:paraId="18B50B7B" w14:textId="00E3AEF1" w:rsidR="000424F7" w:rsidRDefault="000424F7" w:rsidP="00C422A6">
            <w:pPr>
              <w:pStyle w:val="TableText1"/>
              <w:spacing w:line="240" w:lineRule="auto"/>
              <w:jc w:val="left"/>
              <w:rPr>
                <w:sz w:val="20"/>
                <w:szCs w:val="20"/>
              </w:rPr>
            </w:pPr>
            <w:r>
              <w:rPr>
                <w:sz w:val="20"/>
                <w:szCs w:val="20"/>
              </w:rPr>
              <w:t>3.5% - 50%</w:t>
            </w:r>
          </w:p>
        </w:tc>
      </w:tr>
      <w:tr w:rsidR="000424F7" w:rsidRPr="00CE28E3" w14:paraId="10792674" w14:textId="0527A86F" w:rsidTr="00175863">
        <w:trPr>
          <w:trHeight w:val="429"/>
        </w:trPr>
        <w:tc>
          <w:tcPr>
            <w:tcW w:w="2405" w:type="dxa"/>
          </w:tcPr>
          <w:p w14:paraId="665D8631" w14:textId="44280742" w:rsidR="000424F7" w:rsidRDefault="000424F7" w:rsidP="00C422A6">
            <w:pPr>
              <w:pStyle w:val="TableText1"/>
              <w:spacing w:line="240" w:lineRule="auto"/>
              <w:jc w:val="left"/>
              <w:rPr>
                <w:sz w:val="20"/>
                <w:szCs w:val="20"/>
              </w:rPr>
            </w:pPr>
            <w:r>
              <w:rPr>
                <w:sz w:val="20"/>
                <w:szCs w:val="20"/>
              </w:rPr>
              <w:t>Retest positive</w:t>
            </w:r>
          </w:p>
        </w:tc>
        <w:tc>
          <w:tcPr>
            <w:tcW w:w="1985" w:type="dxa"/>
          </w:tcPr>
          <w:p w14:paraId="2CF1FBF7" w14:textId="10FD8BAE" w:rsidR="000424F7" w:rsidRDefault="000424F7" w:rsidP="00C422A6">
            <w:pPr>
              <w:pStyle w:val="TableText1"/>
              <w:spacing w:line="240" w:lineRule="auto"/>
              <w:jc w:val="left"/>
              <w:rPr>
                <w:sz w:val="20"/>
                <w:szCs w:val="20"/>
              </w:rPr>
            </w:pPr>
            <w:r>
              <w:rPr>
                <w:sz w:val="20"/>
                <w:szCs w:val="20"/>
              </w:rPr>
              <w:t>5 (204)</w:t>
            </w:r>
          </w:p>
        </w:tc>
        <w:tc>
          <w:tcPr>
            <w:tcW w:w="2268" w:type="dxa"/>
          </w:tcPr>
          <w:p w14:paraId="5A5BF75D" w14:textId="32EB32A4" w:rsidR="000424F7" w:rsidRDefault="000424F7" w:rsidP="00C422A6">
            <w:pPr>
              <w:pStyle w:val="TableText1"/>
              <w:spacing w:line="240" w:lineRule="auto"/>
              <w:jc w:val="left"/>
              <w:rPr>
                <w:sz w:val="20"/>
                <w:szCs w:val="20"/>
              </w:rPr>
            </w:pPr>
            <w:r>
              <w:rPr>
                <w:sz w:val="20"/>
                <w:szCs w:val="20"/>
              </w:rPr>
              <w:t xml:space="preserve">0.008% - 0.15% </w:t>
            </w:r>
          </w:p>
        </w:tc>
        <w:tc>
          <w:tcPr>
            <w:tcW w:w="2409" w:type="dxa"/>
          </w:tcPr>
          <w:p w14:paraId="152D9350" w14:textId="7B3AF88E" w:rsidR="000424F7" w:rsidRDefault="000424F7" w:rsidP="00C422A6">
            <w:pPr>
              <w:pStyle w:val="TableText1"/>
              <w:spacing w:line="240" w:lineRule="auto"/>
              <w:jc w:val="left"/>
              <w:rPr>
                <w:sz w:val="20"/>
                <w:szCs w:val="20"/>
              </w:rPr>
            </w:pPr>
            <w:r>
              <w:rPr>
                <w:sz w:val="20"/>
                <w:szCs w:val="20"/>
              </w:rPr>
              <w:t>15% - 80%</w:t>
            </w:r>
          </w:p>
        </w:tc>
      </w:tr>
    </w:tbl>
    <w:p w14:paraId="05DBC4A9" w14:textId="0355DC5C" w:rsidR="00D436D8" w:rsidRDefault="008A4289" w:rsidP="00092CCC">
      <w:pPr>
        <w:pStyle w:val="Tablenotes"/>
      </w:pPr>
      <w:r>
        <w:t xml:space="preserve">MS/MS = tandem mass spectrometry; </w:t>
      </w:r>
      <w:r w:rsidR="00273A7D">
        <w:t>N=</w:t>
      </w:r>
      <w:r w:rsidR="00F67048">
        <w:t>number of NBS programs</w:t>
      </w:r>
      <w:r w:rsidR="00273A7D">
        <w:t xml:space="preserve">; </w:t>
      </w:r>
      <w:r>
        <w:t>n = number of patients; NBS = newborn bloodspot screening; PPV = positive predictive value</w:t>
      </w:r>
    </w:p>
    <w:p w14:paraId="33E5BADD" w14:textId="440ABFA1" w:rsidR="00D90642" w:rsidRDefault="00F54E78" w:rsidP="00092CCC">
      <w:pPr>
        <w:spacing w:before="240"/>
      </w:pPr>
      <w:r w:rsidRPr="02E2EE7D">
        <w:t xml:space="preserve">Protocols that used a MS/MS assay as a </w:t>
      </w:r>
      <w:proofErr w:type="gramStart"/>
      <w:r w:rsidRPr="02E2EE7D">
        <w:t>first-tier</w:t>
      </w:r>
      <w:proofErr w:type="gramEnd"/>
      <w:r w:rsidRPr="02E2EE7D">
        <w:t xml:space="preserve"> (or </w:t>
      </w:r>
      <w:r w:rsidR="00D436D8" w:rsidRPr="02E2EE7D">
        <w:t>single-tier</w:t>
      </w:r>
      <w:r w:rsidRPr="02E2EE7D">
        <w:t xml:space="preserve">) screen tended to have a lower screen positive rate and higher PPV than those using </w:t>
      </w:r>
      <w:r w:rsidR="061E52F7" w:rsidRPr="02E2EE7D">
        <w:t>f</w:t>
      </w:r>
      <w:r w:rsidRPr="02E2EE7D">
        <w:t>luorometry. T</w:t>
      </w:r>
      <w:r w:rsidR="00D90642" w:rsidRPr="02E2EE7D">
        <w:t xml:space="preserve">here </w:t>
      </w:r>
      <w:r w:rsidRPr="02E2EE7D">
        <w:t>were</w:t>
      </w:r>
      <w:r w:rsidR="00D90642" w:rsidRPr="02E2EE7D">
        <w:t xml:space="preserve"> many missing data in the studies, so </w:t>
      </w:r>
      <w:r w:rsidRPr="02E2EE7D">
        <w:t>summary statistics are</w:t>
      </w:r>
      <w:r w:rsidR="00D90642" w:rsidRPr="02E2EE7D">
        <w:t xml:space="preserve"> not reliable.</w:t>
      </w:r>
      <w:r w:rsidR="00D436D8" w:rsidRPr="02E2EE7D">
        <w:t xml:space="preserve"> </w:t>
      </w:r>
    </w:p>
    <w:p w14:paraId="4A41736C" w14:textId="7A093D42" w:rsidR="00F54E78" w:rsidRDefault="00D90642" w:rsidP="0089672E">
      <w:r w:rsidRPr="02E2EE7D">
        <w:t xml:space="preserve">NBS programs </w:t>
      </w:r>
      <w:r w:rsidR="00F54E78" w:rsidRPr="02E2EE7D">
        <w:t>have developed</w:t>
      </w:r>
      <w:r w:rsidRPr="02E2EE7D">
        <w:t xml:space="preserve"> their own methods</w:t>
      </w:r>
      <w:r w:rsidR="00C623E2" w:rsidRPr="02E2EE7D">
        <w:t xml:space="preserve"> (e.g. stratified cut-offs for GAA activity;</w:t>
      </w:r>
      <w:r w:rsidR="0089672E" w:rsidRPr="02E2EE7D">
        <w:t xml:space="preserve"> </w:t>
      </w:r>
      <w:r w:rsidR="00C623E2" w:rsidRPr="02E2EE7D">
        <w:t>sy</w:t>
      </w:r>
      <w:r w:rsidR="00230D19" w:rsidRPr="02E2EE7D">
        <w:t>n</w:t>
      </w:r>
      <w:r w:rsidR="00C623E2" w:rsidRPr="02E2EE7D">
        <w:t xml:space="preserve">thetic </w:t>
      </w:r>
      <w:r w:rsidR="00230D19" w:rsidRPr="02E2EE7D">
        <w:t xml:space="preserve">substrates, and neutral GAA activity ratios) </w:t>
      </w:r>
      <w:r w:rsidRPr="02E2EE7D">
        <w:t xml:space="preserve">for </w:t>
      </w:r>
      <w:r w:rsidR="00F54E78" w:rsidRPr="02E2EE7D">
        <w:t xml:space="preserve">reducing false positive rates and </w:t>
      </w:r>
      <w:r w:rsidRPr="02E2EE7D">
        <w:t>improving the PPV</w:t>
      </w:r>
      <w:r w:rsidR="00F54E78" w:rsidRPr="02E2EE7D">
        <w:t xml:space="preserve">, and this is an acknowledged challenge for GSD II screening. There is no clear first </w:t>
      </w:r>
      <w:r w:rsidR="0089672E" w:rsidRPr="02E2EE7D">
        <w:t>and/</w:t>
      </w:r>
      <w:r w:rsidR="00F54E78" w:rsidRPr="02E2EE7D">
        <w:t xml:space="preserve">or second-tier methodology that can do this, due to the large number of </w:t>
      </w:r>
      <w:proofErr w:type="spellStart"/>
      <w:r w:rsidR="00F54E78" w:rsidRPr="02E2EE7D">
        <w:t>pseudodeficiency</w:t>
      </w:r>
      <w:proofErr w:type="spellEnd"/>
      <w:r w:rsidR="00F54E78" w:rsidRPr="02E2EE7D">
        <w:t xml:space="preserve"> variants and variability in LOGSD II variant expression. </w:t>
      </w:r>
      <w:r w:rsidR="0089672E" w:rsidRPr="02E2EE7D">
        <w:t xml:space="preserve">There is increasing knowledge on the likely prognosis </w:t>
      </w:r>
      <w:r w:rsidR="5B3805A3" w:rsidRPr="02E2EE7D">
        <w:t>associated with</w:t>
      </w:r>
      <w:r w:rsidR="0089672E" w:rsidRPr="02E2EE7D">
        <w:t xml:space="preserve"> specific variants, but the large range in disease severity remains unpredictable</w:t>
      </w:r>
      <w:r w:rsidR="6F419185" w:rsidRPr="02E2EE7D">
        <w:t xml:space="preserve"> (i.e. there is variable expressivity</w:t>
      </w:r>
      <w:r w:rsidR="0052220B" w:rsidRPr="02E2EE7D">
        <w:t>)</w:t>
      </w:r>
      <w:r w:rsidR="0089672E" w:rsidRPr="02E2EE7D">
        <w:t xml:space="preserve"> and is likely to be multifactorial. </w:t>
      </w:r>
    </w:p>
    <w:p w14:paraId="6B62D505" w14:textId="216E2952" w:rsidR="00D90642" w:rsidRDefault="00291D69" w:rsidP="00D90642">
      <w:r>
        <w:t xml:space="preserve">The DCAR noted, </w:t>
      </w:r>
      <w:r w:rsidR="00F54E78">
        <w:t>NBS</w:t>
      </w:r>
      <w:r w:rsidR="00D90642">
        <w:t xml:space="preserve"> results </w:t>
      </w:r>
      <w:r w:rsidR="0089672E">
        <w:t xml:space="preserve">in this assessment </w:t>
      </w:r>
      <w:r w:rsidR="00D90642">
        <w:t>illustrate</w:t>
      </w:r>
      <w:r w:rsidR="0E2D3EB4">
        <w:t>d</w:t>
      </w:r>
      <w:r w:rsidR="00D90642">
        <w:t xml:space="preserve"> that </w:t>
      </w:r>
      <w:r w:rsidR="00230D19">
        <w:t xml:space="preserve">screen positive </w:t>
      </w:r>
      <w:r w:rsidR="00D90642">
        <w:t>rates improve</w:t>
      </w:r>
      <w:r w:rsidR="62E6207A">
        <w:t>d</w:t>
      </w:r>
      <w:r w:rsidR="00230D19">
        <w:t xml:space="preserve"> (reduce</w:t>
      </w:r>
      <w:r w:rsidR="53D44BEC">
        <w:t>d</w:t>
      </w:r>
      <w:r w:rsidR="00230D19">
        <w:t>)</w:t>
      </w:r>
      <w:r w:rsidR="00D90642">
        <w:t xml:space="preserve"> with each tier of screening or retesting added to the protocol. With NBS however, cost and practicality of screening large sample numbers also come into consideration of adding screening tiers and other changes to protocols. </w:t>
      </w:r>
    </w:p>
    <w:p w14:paraId="7A76A33E" w14:textId="0144B70F" w:rsidR="00C623E2" w:rsidRPr="00C623E2" w:rsidRDefault="00C623E2" w:rsidP="0014330A">
      <w:pPr>
        <w:pStyle w:val="Heading5"/>
      </w:pPr>
      <w:r w:rsidRPr="00C623E2">
        <w:t>Symptomatic populations</w:t>
      </w:r>
    </w:p>
    <w:p w14:paraId="2C9A4C3D" w14:textId="460AFC64" w:rsidR="00D90642" w:rsidRDefault="00EA48E7" w:rsidP="00D90642">
      <w:r>
        <w:t xml:space="preserve">Test-positive </w:t>
      </w:r>
      <w:r w:rsidR="00D90642">
        <w:t xml:space="preserve">and PPV values were higher in populations with signs and symptoms of GSD II, than NBS populations, as expected. The symptomatic populations were much smaller, sometimes highly selected, and considered high-risk for GSD II. The number needed to test to diagnose one GSD II case ranged between 34 and 121 symptomatic patients across all studies. </w:t>
      </w:r>
    </w:p>
    <w:p w14:paraId="366B7CB4" w14:textId="5E14AA14" w:rsidR="00D90642" w:rsidRDefault="00D90642" w:rsidP="00D90642">
      <w:r>
        <w:t xml:space="preserve">The highest PPV range was in the group of studies conducted in those with unexplained elevated </w:t>
      </w:r>
      <w:r w:rsidR="12781C31">
        <w:t>creatine kinase (</w:t>
      </w:r>
      <w:r>
        <w:t>CK</w:t>
      </w:r>
      <w:r w:rsidR="6331FD5D">
        <w:t>)</w:t>
      </w:r>
      <w:r>
        <w:t xml:space="preserve"> and/or undiagnosed limb-girdle weakness in patients older than 1 year of age</w:t>
      </w:r>
      <w:r w:rsidR="00FF71DE">
        <w:t>,</w:t>
      </w:r>
      <w:r>
        <w:t xml:space="preserve"> based on first-tier screen positive results (PPV range 17.5%</w:t>
      </w:r>
      <w:r w:rsidR="00EC496B">
        <w:t xml:space="preserve"> - </w:t>
      </w:r>
      <w:r>
        <w:t xml:space="preserve">100%). </w:t>
      </w:r>
      <w:r w:rsidR="00252191">
        <w:t xml:space="preserve">First-tier MS/MS or </w:t>
      </w:r>
      <w:r w:rsidR="00D237F0">
        <w:t xml:space="preserve">fluorometric </w:t>
      </w:r>
      <w:r w:rsidR="00252191">
        <w:t xml:space="preserve">assay of </w:t>
      </w:r>
      <w:r>
        <w:t xml:space="preserve">GAA activity </w:t>
      </w:r>
      <w:r w:rsidR="00252191">
        <w:t>was used in most studies</w:t>
      </w:r>
      <w:r>
        <w:t xml:space="preserve">, but two studies used a multigene panel, which may </w:t>
      </w:r>
      <w:r w:rsidR="00252191">
        <w:t>explain</w:t>
      </w:r>
      <w:r>
        <w:t xml:space="preserve"> the </w:t>
      </w:r>
      <w:r w:rsidR="00252191">
        <w:t xml:space="preserve">higher </w:t>
      </w:r>
      <w:r>
        <w:t xml:space="preserve">PPVs in the group. The higher diagnostic rate in the symptomatic populations </w:t>
      </w:r>
      <w:r w:rsidR="00252191">
        <w:t>could be seen to</w:t>
      </w:r>
      <w:r>
        <w:t xml:space="preserve"> favour screening high-risk populations over NBS screening</w:t>
      </w:r>
      <w:r w:rsidR="6857774F">
        <w:t>. However</w:t>
      </w:r>
      <w:r>
        <w:t xml:space="preserve">, </w:t>
      </w:r>
      <w:r w:rsidR="00252191">
        <w:t>this</w:t>
      </w:r>
      <w:r>
        <w:t xml:space="preserve"> strategy </w:t>
      </w:r>
      <w:r w:rsidR="00252191">
        <w:t xml:space="preserve">is likely to </w:t>
      </w:r>
      <w:r>
        <w:t>miss cases, and cause diagnostic delays</w:t>
      </w:r>
      <w:r w:rsidR="59B504A1">
        <w:t>, particularly for LOGSD II</w:t>
      </w:r>
      <w:r w:rsidR="0030000B">
        <w:t>.</w:t>
      </w:r>
    </w:p>
    <w:p w14:paraId="692A7D43" w14:textId="57B4CE64" w:rsidR="00252191" w:rsidRDefault="00C623E2" w:rsidP="0014330A">
      <w:pPr>
        <w:pStyle w:val="Heading5"/>
      </w:pPr>
      <w:r>
        <w:t xml:space="preserve">Estimation of Australian NBS cases </w:t>
      </w:r>
    </w:p>
    <w:p w14:paraId="113CC8EA" w14:textId="5575F80D" w:rsidR="00445B85" w:rsidRDefault="0053057F" w:rsidP="02E2EE7D">
      <w:r w:rsidRPr="02E2EE7D">
        <w:t>The results from one study that reported on an NBS program in California</w:t>
      </w:r>
      <w:bookmarkStart w:id="40" w:name="_Ref181038243"/>
      <w:r w:rsidR="00980A7A" w:rsidRPr="02E2EE7D">
        <w:rPr>
          <w:rStyle w:val="FootnoteReference"/>
        </w:rPr>
        <w:footnoteReference w:id="24"/>
      </w:r>
      <w:bookmarkEnd w:id="40"/>
      <w:r w:rsidRPr="02E2EE7D">
        <w:t xml:space="preserve"> was used to predict estimates of GSD II cases identified by Australian NBS, as it had a similar pre-NBS birth prevalence and </w:t>
      </w:r>
      <w:r w:rsidR="57F0858A" w:rsidRPr="02E2EE7D">
        <w:t xml:space="preserve">NBS </w:t>
      </w:r>
      <w:r w:rsidRPr="02E2EE7D">
        <w:t xml:space="preserve">protocol </w:t>
      </w:r>
      <w:proofErr w:type="gramStart"/>
      <w:r w:rsidRPr="02E2EE7D">
        <w:t>similar to</w:t>
      </w:r>
      <w:proofErr w:type="gramEnd"/>
      <w:r w:rsidRPr="02E2EE7D">
        <w:t xml:space="preserve"> the one proposed for Australia. The Californian </w:t>
      </w:r>
      <w:r w:rsidR="00445B85" w:rsidRPr="02E2EE7D">
        <w:t xml:space="preserve">protocol </w:t>
      </w:r>
      <w:r w:rsidRPr="02E2EE7D">
        <w:t xml:space="preserve">used </w:t>
      </w:r>
      <w:r w:rsidR="2E704EA8" w:rsidRPr="02E2EE7D">
        <w:t>flow injection analysis (</w:t>
      </w:r>
      <w:r w:rsidRPr="02E2EE7D">
        <w:t>FIA</w:t>
      </w:r>
      <w:r w:rsidR="5FC5B853" w:rsidRPr="02E2EE7D">
        <w:t>)</w:t>
      </w:r>
      <w:r w:rsidRPr="02E2EE7D">
        <w:t xml:space="preserve">-MS/MS followed by </w:t>
      </w:r>
      <w:r w:rsidRPr="02E2EE7D">
        <w:rPr>
          <w:i/>
          <w:iCs/>
        </w:rPr>
        <w:t xml:space="preserve">GAA </w:t>
      </w:r>
      <w:r w:rsidRPr="02E2EE7D">
        <w:t>gene sequencing prior to recall</w:t>
      </w:r>
      <w:r w:rsidR="00445B85" w:rsidRPr="02E2EE7D">
        <w:t xml:space="preserve"> of the baby and family for confirmation</w:t>
      </w:r>
      <w:r w:rsidR="00807D60">
        <w:t>.</w:t>
      </w:r>
      <w:r w:rsidRPr="02E2EE7D">
        <w:t xml:space="preserve"> </w:t>
      </w:r>
      <w:r w:rsidR="00E025B8" w:rsidRPr="00E025B8">
        <w:rPr>
          <w:b/>
          <w:bCs/>
        </w:rPr>
        <w:t>REDACTED</w:t>
      </w:r>
      <w:r w:rsidR="002F1132" w:rsidRPr="02E2EE7D">
        <w:t>.</w:t>
      </w:r>
      <w:r w:rsidR="00E26BDB" w:rsidRPr="008C1C28">
        <w:rPr>
          <w:rStyle w:val="FootnoteReference"/>
        </w:rPr>
        <w:footnoteReference w:id="25"/>
      </w:r>
      <w:r w:rsidRPr="02E2EE7D">
        <w:t xml:space="preserve"> Following NBS, the prevalence increased in </w:t>
      </w:r>
      <w:r w:rsidR="00445B85" w:rsidRPr="02E2EE7D">
        <w:t>California</w:t>
      </w:r>
      <w:r w:rsidRPr="02E2EE7D">
        <w:t xml:space="preserve">, as </w:t>
      </w:r>
      <w:r w:rsidR="00445B85" w:rsidRPr="02E2EE7D">
        <w:t xml:space="preserve">has been the case in other countries and </w:t>
      </w:r>
      <w:r w:rsidRPr="02E2EE7D">
        <w:t>would be expected in Australia</w:t>
      </w:r>
      <w:r w:rsidR="00397F2B" w:rsidRPr="02E2EE7D">
        <w:t xml:space="preserve"> (see</w:t>
      </w:r>
      <w:r w:rsidR="00825E40" w:rsidRPr="02E2EE7D">
        <w:t xml:space="preserve"> </w:t>
      </w:r>
      <w:r w:rsidR="00825E40">
        <w:fldChar w:fldCharType="begin"/>
      </w:r>
      <w:r w:rsidR="00825E40">
        <w:instrText xml:space="preserve"> REF _Ref181030002 \h </w:instrText>
      </w:r>
      <w:r w:rsidR="00825E40">
        <w:fldChar w:fldCharType="separate"/>
      </w:r>
      <w:r w:rsidR="00263379">
        <w:t xml:space="preserve">Table </w:t>
      </w:r>
      <w:r w:rsidR="00263379">
        <w:rPr>
          <w:noProof/>
        </w:rPr>
        <w:t>4</w:t>
      </w:r>
      <w:r w:rsidR="00825E40">
        <w:fldChar w:fldCharType="end"/>
      </w:r>
      <w:r w:rsidR="00587A22" w:rsidRPr="02E2EE7D">
        <w:t>)</w:t>
      </w:r>
      <w:r w:rsidRPr="02E2EE7D">
        <w:t xml:space="preserve">. </w:t>
      </w:r>
    </w:p>
    <w:p w14:paraId="2999BE91" w14:textId="39B216DE" w:rsidR="003502D9" w:rsidRDefault="003502D9" w:rsidP="003502D9">
      <w:pPr>
        <w:pStyle w:val="Caption"/>
      </w:pPr>
      <w:bookmarkStart w:id="41" w:name="_Ref181030002"/>
      <w:bookmarkStart w:id="42" w:name="_Ref181017780"/>
      <w:r>
        <w:t xml:space="preserve">Table </w:t>
      </w:r>
      <w:r w:rsidR="00263379">
        <w:fldChar w:fldCharType="begin"/>
      </w:r>
      <w:r w:rsidR="00263379">
        <w:instrText xml:space="preserve"> SEQ Table \* ARABIC </w:instrText>
      </w:r>
      <w:r w:rsidR="00263379">
        <w:fldChar w:fldCharType="separate"/>
      </w:r>
      <w:r w:rsidR="00263379">
        <w:rPr>
          <w:noProof/>
        </w:rPr>
        <w:t>4</w:t>
      </w:r>
      <w:r w:rsidR="00263379">
        <w:rPr>
          <w:noProof/>
        </w:rPr>
        <w:fldChar w:fldCharType="end"/>
      </w:r>
      <w:bookmarkEnd w:id="41"/>
      <w:r w:rsidR="00D10B4A">
        <w:t xml:space="preserve"> </w:t>
      </w:r>
      <w:r w:rsidR="00B465A5">
        <w:t>Birth p</w:t>
      </w:r>
      <w:r>
        <w:t>revalence estimates of GSD II in California and Australia</w:t>
      </w:r>
      <w:bookmarkEnd w:id="4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tandard 2-by-2 table for a reference standard and index test"/>
      </w:tblPr>
      <w:tblGrid>
        <w:gridCol w:w="1555"/>
        <w:gridCol w:w="1842"/>
        <w:gridCol w:w="1985"/>
        <w:gridCol w:w="1984"/>
        <w:gridCol w:w="1701"/>
      </w:tblGrid>
      <w:tr w:rsidR="003502D9" w:rsidRPr="00CE28E3" w14:paraId="3A745F53" w14:textId="102B9999" w:rsidTr="00175863">
        <w:trPr>
          <w:trHeight w:val="458"/>
          <w:tblHeader/>
        </w:trPr>
        <w:tc>
          <w:tcPr>
            <w:tcW w:w="1555" w:type="dxa"/>
            <w:vMerge w:val="restart"/>
            <w:vAlign w:val="center"/>
          </w:tcPr>
          <w:p w14:paraId="12B2470C" w14:textId="03F7670C" w:rsidR="003502D9" w:rsidRDefault="003502D9" w:rsidP="00C422A6">
            <w:pPr>
              <w:pStyle w:val="In-tableHeading"/>
              <w:jc w:val="center"/>
            </w:pPr>
            <w:r>
              <w:t>NBS program</w:t>
            </w:r>
          </w:p>
        </w:tc>
        <w:tc>
          <w:tcPr>
            <w:tcW w:w="7512" w:type="dxa"/>
            <w:gridSpan w:val="4"/>
            <w:vAlign w:val="center"/>
          </w:tcPr>
          <w:p w14:paraId="05B98D74" w14:textId="4678BF2A" w:rsidR="003502D9" w:rsidRDefault="003502D9" w:rsidP="00C422A6">
            <w:pPr>
              <w:pStyle w:val="In-tableHeading"/>
              <w:spacing w:before="80" w:after="60"/>
              <w:jc w:val="center"/>
            </w:pPr>
            <w:r>
              <w:t>Birth prevalence estimate</w:t>
            </w:r>
          </w:p>
        </w:tc>
      </w:tr>
      <w:tr w:rsidR="003502D9" w:rsidRPr="00CE28E3" w14:paraId="58904FCA" w14:textId="4E7CB35A" w:rsidTr="00175863">
        <w:trPr>
          <w:trHeight w:val="457"/>
          <w:tblHeader/>
        </w:trPr>
        <w:tc>
          <w:tcPr>
            <w:tcW w:w="1555" w:type="dxa"/>
            <w:vMerge/>
            <w:vAlign w:val="center"/>
          </w:tcPr>
          <w:p w14:paraId="20D1D820" w14:textId="77777777" w:rsidR="003502D9" w:rsidRDefault="003502D9" w:rsidP="00C422A6">
            <w:pPr>
              <w:pStyle w:val="In-tableHeading"/>
              <w:jc w:val="center"/>
            </w:pPr>
          </w:p>
        </w:tc>
        <w:tc>
          <w:tcPr>
            <w:tcW w:w="3827" w:type="dxa"/>
            <w:gridSpan w:val="2"/>
            <w:vAlign w:val="center"/>
          </w:tcPr>
          <w:p w14:paraId="2D5D0F01" w14:textId="3F39ED8A" w:rsidR="003502D9" w:rsidRDefault="003502D9" w:rsidP="00C422A6">
            <w:pPr>
              <w:pStyle w:val="In-tableHeading"/>
              <w:jc w:val="center"/>
            </w:pPr>
            <w:r>
              <w:t>Prior to NBS</w:t>
            </w:r>
          </w:p>
        </w:tc>
        <w:tc>
          <w:tcPr>
            <w:tcW w:w="3685" w:type="dxa"/>
            <w:gridSpan w:val="2"/>
          </w:tcPr>
          <w:p w14:paraId="5E64B568" w14:textId="1F1B0A2D" w:rsidR="003502D9" w:rsidRDefault="003502D9" w:rsidP="00C422A6">
            <w:pPr>
              <w:pStyle w:val="In-tableHeading"/>
              <w:spacing w:before="80" w:after="60"/>
              <w:jc w:val="center"/>
            </w:pPr>
            <w:r>
              <w:t>After NBS</w:t>
            </w:r>
          </w:p>
        </w:tc>
      </w:tr>
      <w:tr w:rsidR="003502D9" w:rsidRPr="00CE28E3" w14:paraId="65F1D800" w14:textId="05CCD215" w:rsidTr="00175863">
        <w:trPr>
          <w:trHeight w:val="429"/>
        </w:trPr>
        <w:tc>
          <w:tcPr>
            <w:tcW w:w="1555" w:type="dxa"/>
          </w:tcPr>
          <w:p w14:paraId="66692A8B" w14:textId="0FBDC052" w:rsidR="003502D9" w:rsidRPr="005C0A85" w:rsidRDefault="003502D9" w:rsidP="00C422A6">
            <w:pPr>
              <w:pStyle w:val="TableText1"/>
              <w:spacing w:line="240" w:lineRule="auto"/>
              <w:jc w:val="left"/>
              <w:rPr>
                <w:sz w:val="20"/>
                <w:szCs w:val="20"/>
              </w:rPr>
            </w:pPr>
            <w:r>
              <w:rPr>
                <w:sz w:val="20"/>
                <w:szCs w:val="20"/>
              </w:rPr>
              <w:t>California</w:t>
            </w:r>
          </w:p>
        </w:tc>
        <w:tc>
          <w:tcPr>
            <w:tcW w:w="1842" w:type="dxa"/>
          </w:tcPr>
          <w:p w14:paraId="384B319D" w14:textId="77777777" w:rsidR="003502D9" w:rsidRPr="001A4B1D" w:rsidRDefault="003502D9" w:rsidP="003502D9">
            <w:pPr>
              <w:pStyle w:val="TableText1"/>
              <w:spacing w:line="240" w:lineRule="auto"/>
              <w:jc w:val="left"/>
              <w:rPr>
                <w:sz w:val="20"/>
                <w:szCs w:val="20"/>
              </w:rPr>
            </w:pPr>
            <w:r>
              <w:rPr>
                <w:sz w:val="20"/>
                <w:szCs w:val="20"/>
              </w:rPr>
              <w:t>2.5 cases / 100,000</w:t>
            </w:r>
          </w:p>
        </w:tc>
        <w:tc>
          <w:tcPr>
            <w:tcW w:w="1985" w:type="dxa"/>
          </w:tcPr>
          <w:p w14:paraId="5DC5AAF9" w14:textId="2C10F493" w:rsidR="003502D9" w:rsidRPr="001A4B1D" w:rsidRDefault="003502D9" w:rsidP="003502D9">
            <w:pPr>
              <w:pStyle w:val="TableText1"/>
              <w:spacing w:line="240" w:lineRule="auto"/>
              <w:jc w:val="left"/>
              <w:rPr>
                <w:sz w:val="20"/>
                <w:szCs w:val="20"/>
              </w:rPr>
            </w:pPr>
            <w:r>
              <w:rPr>
                <w:sz w:val="20"/>
                <w:szCs w:val="20"/>
              </w:rPr>
              <w:t>1/40,000 newborns</w:t>
            </w:r>
          </w:p>
        </w:tc>
        <w:tc>
          <w:tcPr>
            <w:tcW w:w="1984" w:type="dxa"/>
          </w:tcPr>
          <w:p w14:paraId="033D0D91" w14:textId="59567AFC" w:rsidR="003502D9" w:rsidRDefault="003502D9" w:rsidP="00C422A6">
            <w:pPr>
              <w:pStyle w:val="TableText1"/>
              <w:spacing w:line="240" w:lineRule="auto"/>
              <w:jc w:val="left"/>
              <w:rPr>
                <w:sz w:val="20"/>
                <w:szCs w:val="20"/>
              </w:rPr>
            </w:pPr>
            <w:r>
              <w:rPr>
                <w:sz w:val="20"/>
                <w:szCs w:val="20"/>
              </w:rPr>
              <w:t>3.97 cases / 100,000</w:t>
            </w:r>
          </w:p>
        </w:tc>
        <w:tc>
          <w:tcPr>
            <w:tcW w:w="1701" w:type="dxa"/>
          </w:tcPr>
          <w:p w14:paraId="583E37DC" w14:textId="37D21D1B" w:rsidR="003502D9" w:rsidRDefault="003502D9" w:rsidP="00C422A6">
            <w:pPr>
              <w:pStyle w:val="TableText1"/>
              <w:spacing w:line="240" w:lineRule="auto"/>
              <w:jc w:val="left"/>
              <w:rPr>
                <w:sz w:val="20"/>
                <w:szCs w:val="20"/>
              </w:rPr>
            </w:pPr>
            <w:r>
              <w:rPr>
                <w:sz w:val="20"/>
                <w:szCs w:val="20"/>
              </w:rPr>
              <w:t>1/25,000 newborns</w:t>
            </w:r>
          </w:p>
        </w:tc>
      </w:tr>
      <w:tr w:rsidR="003502D9" w:rsidRPr="009300B3" w14:paraId="4CE84ABC" w14:textId="7BB3FE15" w:rsidTr="00175863">
        <w:trPr>
          <w:trHeight w:val="407"/>
        </w:trPr>
        <w:tc>
          <w:tcPr>
            <w:tcW w:w="1555" w:type="dxa"/>
          </w:tcPr>
          <w:p w14:paraId="1A0BCCE1" w14:textId="287EA531" w:rsidR="003502D9" w:rsidRPr="003502D9" w:rsidRDefault="003502D9" w:rsidP="02E2EE7D">
            <w:pPr>
              <w:pStyle w:val="TableText1"/>
              <w:spacing w:line="240" w:lineRule="auto"/>
              <w:jc w:val="left"/>
              <w:rPr>
                <w:sz w:val="20"/>
                <w:szCs w:val="20"/>
                <w:vertAlign w:val="superscript"/>
              </w:rPr>
            </w:pPr>
            <w:proofErr w:type="spellStart"/>
            <w:r w:rsidRPr="02E2EE7D">
              <w:rPr>
                <w:sz w:val="20"/>
                <w:szCs w:val="20"/>
              </w:rPr>
              <w:t>Australia</w:t>
            </w:r>
            <w:r w:rsidRPr="02E2EE7D">
              <w:rPr>
                <w:sz w:val="20"/>
                <w:szCs w:val="20"/>
                <w:vertAlign w:val="superscript"/>
              </w:rPr>
              <w:t>a</w:t>
            </w:r>
            <w:proofErr w:type="spellEnd"/>
          </w:p>
        </w:tc>
        <w:tc>
          <w:tcPr>
            <w:tcW w:w="1842" w:type="dxa"/>
          </w:tcPr>
          <w:p w14:paraId="1EC111E2" w14:textId="77777777" w:rsidR="003502D9" w:rsidRDefault="003502D9" w:rsidP="00C422A6">
            <w:pPr>
              <w:pStyle w:val="TableText1"/>
              <w:spacing w:line="240" w:lineRule="auto"/>
              <w:jc w:val="left"/>
              <w:rPr>
                <w:sz w:val="20"/>
                <w:szCs w:val="20"/>
              </w:rPr>
            </w:pPr>
            <w:r>
              <w:rPr>
                <w:sz w:val="20"/>
                <w:szCs w:val="20"/>
              </w:rPr>
              <w:t>2.19 cases / 100,000</w:t>
            </w:r>
          </w:p>
        </w:tc>
        <w:tc>
          <w:tcPr>
            <w:tcW w:w="1985" w:type="dxa"/>
          </w:tcPr>
          <w:p w14:paraId="51BF8E42" w14:textId="05730C8A" w:rsidR="003502D9" w:rsidRDefault="00397F2B" w:rsidP="00C422A6">
            <w:pPr>
              <w:pStyle w:val="TableText1"/>
              <w:spacing w:line="240" w:lineRule="auto"/>
              <w:jc w:val="left"/>
              <w:rPr>
                <w:sz w:val="20"/>
                <w:szCs w:val="20"/>
              </w:rPr>
            </w:pPr>
            <w:r>
              <w:rPr>
                <w:sz w:val="20"/>
                <w:szCs w:val="20"/>
              </w:rPr>
              <w:t>1/46,000 newborns</w:t>
            </w:r>
          </w:p>
        </w:tc>
        <w:tc>
          <w:tcPr>
            <w:tcW w:w="1984" w:type="dxa"/>
          </w:tcPr>
          <w:p w14:paraId="3CC14E7F" w14:textId="3216A5A2" w:rsidR="003502D9" w:rsidRPr="003502D9" w:rsidRDefault="003502D9" w:rsidP="00C422A6">
            <w:pPr>
              <w:pStyle w:val="TableText1"/>
              <w:spacing w:line="240" w:lineRule="auto"/>
              <w:jc w:val="left"/>
              <w:rPr>
                <w:sz w:val="20"/>
                <w:szCs w:val="20"/>
                <w:vertAlign w:val="superscript"/>
              </w:rPr>
            </w:pPr>
            <w:r>
              <w:rPr>
                <w:sz w:val="20"/>
                <w:szCs w:val="20"/>
              </w:rPr>
              <w:t>3.48 cases / 100,000</w:t>
            </w:r>
          </w:p>
        </w:tc>
        <w:tc>
          <w:tcPr>
            <w:tcW w:w="1701" w:type="dxa"/>
          </w:tcPr>
          <w:p w14:paraId="5EED33C7" w14:textId="4CD24FC4" w:rsidR="003502D9" w:rsidRDefault="003502D9" w:rsidP="00C422A6">
            <w:pPr>
              <w:pStyle w:val="TableText1"/>
              <w:spacing w:line="240" w:lineRule="auto"/>
              <w:jc w:val="left"/>
              <w:rPr>
                <w:sz w:val="20"/>
                <w:szCs w:val="20"/>
              </w:rPr>
            </w:pPr>
            <w:r>
              <w:rPr>
                <w:sz w:val="20"/>
                <w:szCs w:val="20"/>
              </w:rPr>
              <w:t>1/29,000 newborns</w:t>
            </w:r>
          </w:p>
        </w:tc>
      </w:tr>
    </w:tbl>
    <w:p w14:paraId="156BF9DA" w14:textId="77777777" w:rsidR="008D1AF8" w:rsidRDefault="008A4289" w:rsidP="008B6BB7">
      <w:pPr>
        <w:pStyle w:val="Tablenotes"/>
      </w:pPr>
      <w:r>
        <w:t>GSD II = glycogen storage disease Type II; NBS = newborn bloodspot screening</w:t>
      </w:r>
    </w:p>
    <w:p w14:paraId="0F2CD9B0" w14:textId="59CD9795" w:rsidR="0089672E" w:rsidRDefault="003502D9" w:rsidP="003502D9">
      <w:pPr>
        <w:pStyle w:val="Tablenotes0"/>
      </w:pPr>
      <w:r>
        <w:t>a. Prevalence estimate in Australia after proposed NBS is based on the proportional increase in California following NBS (3.97/2.5).</w:t>
      </w:r>
    </w:p>
    <w:p w14:paraId="57C451A1" w14:textId="6C492B52" w:rsidR="0053057F" w:rsidRDefault="0025525D" w:rsidP="00D90642">
      <w:r>
        <w:t>Based on d</w:t>
      </w:r>
      <w:r w:rsidR="00FA12CD" w:rsidRPr="02E2EE7D">
        <w:t>iagnostic d</w:t>
      </w:r>
      <w:r w:rsidR="0053057F" w:rsidRPr="02E2EE7D">
        <w:t xml:space="preserve">ata from the </w:t>
      </w:r>
      <w:r w:rsidR="00445B85" w:rsidRPr="02E2EE7D">
        <w:t>Californian</w:t>
      </w:r>
      <w:r w:rsidR="0053057F" w:rsidRPr="02E2EE7D">
        <w:t xml:space="preserve"> NBS</w:t>
      </w:r>
      <w:r w:rsidR="00980A7A" w:rsidRPr="00980A7A">
        <w:rPr>
          <w:vertAlign w:val="superscript"/>
        </w:rPr>
        <w:fldChar w:fldCharType="begin"/>
      </w:r>
      <w:r w:rsidR="00980A7A" w:rsidRPr="00980A7A">
        <w:rPr>
          <w:vertAlign w:val="superscript"/>
        </w:rPr>
        <w:instrText xml:space="preserve"> NOTEREF _Ref181038243 \h </w:instrText>
      </w:r>
      <w:r w:rsidR="00980A7A">
        <w:rPr>
          <w:vertAlign w:val="superscript"/>
        </w:rPr>
        <w:instrText xml:space="preserve"> \* MERGEFORMAT </w:instrText>
      </w:r>
      <w:r w:rsidR="00980A7A" w:rsidRPr="00980A7A">
        <w:rPr>
          <w:vertAlign w:val="superscript"/>
        </w:rPr>
      </w:r>
      <w:r w:rsidR="00980A7A" w:rsidRPr="00980A7A">
        <w:rPr>
          <w:vertAlign w:val="superscript"/>
        </w:rPr>
        <w:fldChar w:fldCharType="separate"/>
      </w:r>
      <w:r w:rsidR="004E584A" w:rsidRPr="02E2EE7D">
        <w:rPr>
          <w:vertAlign w:val="superscript"/>
        </w:rPr>
        <w:t>11</w:t>
      </w:r>
      <w:r w:rsidR="00980A7A" w:rsidRPr="00980A7A">
        <w:rPr>
          <w:vertAlign w:val="superscript"/>
        </w:rPr>
        <w:fldChar w:fldCharType="end"/>
      </w:r>
      <w:r>
        <w:t xml:space="preserve">, </w:t>
      </w:r>
      <w:r w:rsidR="0053057F" w:rsidRPr="02E2EE7D">
        <w:t xml:space="preserve"> </w:t>
      </w:r>
      <w:r>
        <w:t xml:space="preserve">prevalence data </w:t>
      </w:r>
      <w:r w:rsidR="0053057F" w:rsidRPr="02E2EE7D">
        <w:t xml:space="preserve"> for</w:t>
      </w:r>
      <w:r w:rsidR="00FA12CD" w:rsidRPr="02E2EE7D">
        <w:t xml:space="preserve"> NBS in</w:t>
      </w:r>
      <w:r w:rsidR="0053057F" w:rsidRPr="02E2EE7D">
        <w:t xml:space="preserve"> Australia</w:t>
      </w:r>
      <w:r w:rsidRPr="007476D0">
        <w:rPr>
          <w:vertAlign w:val="superscript"/>
        </w:rPr>
        <w:t>3</w:t>
      </w:r>
      <w:r w:rsidR="0053057F" w:rsidRPr="02E2EE7D">
        <w:t xml:space="preserve">, </w:t>
      </w:r>
      <w:r w:rsidR="00F23CA6">
        <w:t>over</w:t>
      </w:r>
      <w:r>
        <w:t xml:space="preserve"> 99.</w:t>
      </w:r>
      <w:r w:rsidR="00F23CA6">
        <w:t>0</w:t>
      </w:r>
      <w:r>
        <w:t xml:space="preserve">% uptake rate and a projected number of live births based on ABS data, it was estimated that </w:t>
      </w:r>
      <w:r w:rsidR="00B465A5" w:rsidRPr="02E2EE7D">
        <w:t xml:space="preserve">there would be </w:t>
      </w:r>
      <w:r>
        <w:t xml:space="preserve">approximately </w:t>
      </w:r>
      <w:r w:rsidR="00B465A5" w:rsidRPr="02E2EE7D">
        <w:t xml:space="preserve"> </w:t>
      </w:r>
      <w:r w:rsidR="00DB26A9" w:rsidRPr="02E2EE7D">
        <w:t>one IOG</w:t>
      </w:r>
      <w:r w:rsidR="00B465A5" w:rsidRPr="02E2EE7D">
        <w:t>SD II case</w:t>
      </w:r>
      <w:r w:rsidR="00DB26A9" w:rsidRPr="02E2EE7D">
        <w:t xml:space="preserve"> and </w:t>
      </w:r>
      <w:r w:rsidR="00F23CA6">
        <w:t>10</w:t>
      </w:r>
      <w:r w:rsidR="00F23CA6" w:rsidRPr="02E2EE7D">
        <w:t xml:space="preserve"> </w:t>
      </w:r>
      <w:r w:rsidR="00DB26A9" w:rsidRPr="02E2EE7D">
        <w:t>LOGSD II case</w:t>
      </w:r>
      <w:r w:rsidR="00B465A5" w:rsidRPr="02E2EE7D">
        <w:t xml:space="preserve">s  diagnosed by NBS per year in Australia. </w:t>
      </w:r>
      <w:r w:rsidR="005A548F" w:rsidRPr="02E2EE7D">
        <w:t>In</w:t>
      </w:r>
      <w:r w:rsidR="000A5BB0" w:rsidRPr="02E2EE7D">
        <w:t xml:space="preserve"> a scenario where a </w:t>
      </w:r>
      <w:r w:rsidR="00825904" w:rsidRPr="02E2EE7D">
        <w:t>s</w:t>
      </w:r>
      <w:r w:rsidR="00825904">
        <w:t>mall</w:t>
      </w:r>
      <w:r w:rsidR="00825904" w:rsidRPr="02E2EE7D">
        <w:t xml:space="preserve"> </w:t>
      </w:r>
      <w:r w:rsidR="00825904">
        <w:t xml:space="preserve">genetic </w:t>
      </w:r>
      <w:r w:rsidR="00825904" w:rsidRPr="00175863">
        <w:rPr>
          <w:i/>
          <w:iCs/>
        </w:rPr>
        <w:t>GAA</w:t>
      </w:r>
      <w:r w:rsidR="00825904">
        <w:t xml:space="preserve"> screening </w:t>
      </w:r>
      <w:r w:rsidR="000A5BB0" w:rsidRPr="02E2EE7D">
        <w:t xml:space="preserve">panel </w:t>
      </w:r>
      <w:r w:rsidR="005A548F" w:rsidRPr="02E2EE7D">
        <w:t>i</w:t>
      </w:r>
      <w:r w:rsidR="000A5BB0" w:rsidRPr="02E2EE7D">
        <w:t xml:space="preserve">s used as a second-tier </w:t>
      </w:r>
      <w:r w:rsidR="008E670D" w:rsidRPr="02E2EE7D">
        <w:t>screen</w:t>
      </w:r>
      <w:r w:rsidR="000A5BB0" w:rsidRPr="02E2EE7D">
        <w:t xml:space="preserve"> </w:t>
      </w:r>
      <w:r w:rsidR="00825904">
        <w:t>to</w:t>
      </w:r>
      <w:r w:rsidR="000A5BB0" w:rsidRPr="02E2EE7D">
        <w:t xml:space="preserve"> rule out </w:t>
      </w:r>
      <w:proofErr w:type="spellStart"/>
      <w:r w:rsidR="000A5BB0" w:rsidRPr="02E2EE7D">
        <w:t>pseudodeficiency</w:t>
      </w:r>
      <w:proofErr w:type="spellEnd"/>
      <w:r w:rsidR="000A5BB0" w:rsidRPr="02E2EE7D">
        <w:t xml:space="preserve"> cases that d</w:t>
      </w:r>
      <w:r w:rsidR="003A4E9D" w:rsidRPr="02E2EE7D">
        <w:t>o</w:t>
      </w:r>
      <w:r w:rsidR="000A5BB0" w:rsidRPr="02E2EE7D">
        <w:t xml:space="preserve"> not require further assessment</w:t>
      </w:r>
      <w:r w:rsidR="008E670D" w:rsidRPr="02E2EE7D">
        <w:t xml:space="preserve"> </w:t>
      </w:r>
      <w:r w:rsidR="005A548F" w:rsidRPr="02E2EE7D">
        <w:t>(</w:t>
      </w:r>
      <w:r w:rsidR="008E670D" w:rsidRPr="02E2EE7D">
        <w:t xml:space="preserve">and all other first-tier positive cases </w:t>
      </w:r>
      <w:r w:rsidR="005A548F" w:rsidRPr="02E2EE7D">
        <w:t>go</w:t>
      </w:r>
      <w:r w:rsidR="008E670D" w:rsidRPr="02E2EE7D">
        <w:t xml:space="preserve"> on to clinical assessment and gene sequencing</w:t>
      </w:r>
      <w:r w:rsidR="005A548F" w:rsidRPr="02E2EE7D">
        <w:t>)</w:t>
      </w:r>
      <w:r w:rsidR="000A5BB0" w:rsidRPr="02E2EE7D">
        <w:t>,</w:t>
      </w:r>
      <w:r w:rsidR="008E670D" w:rsidRPr="02E2EE7D">
        <w:t xml:space="preserve"> a similar specificity might</w:t>
      </w:r>
      <w:r w:rsidR="00B465A5" w:rsidRPr="02E2EE7D">
        <w:t xml:space="preserve"> be </w:t>
      </w:r>
      <w:r w:rsidR="008E670D" w:rsidRPr="02E2EE7D">
        <w:t xml:space="preserve">found in Australian NBS to </w:t>
      </w:r>
      <w:r>
        <w:t xml:space="preserve">the </w:t>
      </w:r>
      <w:r w:rsidR="008E670D" w:rsidRPr="02E2EE7D">
        <w:t>California</w:t>
      </w:r>
      <w:r w:rsidR="00A53B71" w:rsidRPr="02E2EE7D">
        <w:t xml:space="preserve"> </w:t>
      </w:r>
      <w:r>
        <w:t>NBS data</w:t>
      </w:r>
      <w:r w:rsidR="008E670D" w:rsidRPr="02E2EE7D">
        <w:t>.</w:t>
      </w:r>
      <w:r w:rsidR="000A5BB0" w:rsidRPr="02E2EE7D">
        <w:t xml:space="preserve"> </w:t>
      </w:r>
      <w:r w:rsidR="008E670D" w:rsidRPr="02E2EE7D">
        <w:t xml:space="preserve">Alternatively, </w:t>
      </w:r>
      <w:r w:rsidR="0014330A" w:rsidRPr="02E2EE7D">
        <w:t>i</w:t>
      </w:r>
      <w:r w:rsidR="00B465A5" w:rsidRPr="02E2EE7D">
        <w:t xml:space="preserve">f a </w:t>
      </w:r>
      <w:r w:rsidR="00825904">
        <w:t>larger</w:t>
      </w:r>
      <w:r w:rsidR="00825904" w:rsidRPr="02E2EE7D">
        <w:t xml:space="preserve"> </w:t>
      </w:r>
      <w:r w:rsidR="00B465A5" w:rsidRPr="02E2EE7D">
        <w:t xml:space="preserve">panel </w:t>
      </w:r>
      <w:r w:rsidR="003A4E9D" w:rsidRPr="02E2EE7D">
        <w:t xml:space="preserve">is used </w:t>
      </w:r>
      <w:r w:rsidR="000A5BB0" w:rsidRPr="02E2EE7D">
        <w:t xml:space="preserve">and </w:t>
      </w:r>
      <w:r w:rsidR="003A4E9D" w:rsidRPr="02E2EE7D">
        <w:t xml:space="preserve">only those with </w:t>
      </w:r>
      <w:r w:rsidR="00295AC7" w:rsidRPr="02E2EE7D">
        <w:t>P</w:t>
      </w:r>
      <w:r w:rsidR="003A4E9D" w:rsidRPr="02E2EE7D">
        <w:t>/LP variants are referred on for confirmatory testing, some rarer variants may be missed, and</w:t>
      </w:r>
      <w:r w:rsidR="00B465A5" w:rsidRPr="02E2EE7D">
        <w:t xml:space="preserve"> </w:t>
      </w:r>
      <w:r w:rsidR="000A5BB0" w:rsidRPr="02E2EE7D">
        <w:t xml:space="preserve">there may be fewer GSD II cases diagnosed by NBS in Australia </w:t>
      </w:r>
      <w:r w:rsidR="00825904">
        <w:t>than</w:t>
      </w:r>
      <w:r w:rsidR="000A5BB0" w:rsidRPr="02E2EE7D">
        <w:t xml:space="preserve"> in the Californian program.</w:t>
      </w:r>
      <w:r w:rsidR="00B465A5" w:rsidRPr="02E2EE7D">
        <w:t xml:space="preserve"> There may be a higher number of false negative results </w:t>
      </w:r>
      <w:r w:rsidR="6D76526B" w:rsidRPr="02E2EE7D">
        <w:t>because</w:t>
      </w:r>
      <w:r w:rsidR="00B465A5" w:rsidRPr="02E2EE7D">
        <w:t xml:space="preserve"> of the lower specificity</w:t>
      </w:r>
      <w:r w:rsidR="008E670D" w:rsidRPr="02E2EE7D">
        <w:t xml:space="preserve"> in this </w:t>
      </w:r>
      <w:r w:rsidR="008D0EEA" w:rsidRPr="02E2EE7D">
        <w:t xml:space="preserve">alternative </w:t>
      </w:r>
      <w:r w:rsidR="008E670D" w:rsidRPr="02E2EE7D">
        <w:t>scenario</w:t>
      </w:r>
      <w:r w:rsidR="00E11046" w:rsidRPr="02E2EE7D">
        <w:t>, which would be identified later when symptoms appeared</w:t>
      </w:r>
      <w:r w:rsidR="00B465A5" w:rsidRPr="02E2EE7D">
        <w:t>.</w:t>
      </w:r>
      <w:r w:rsidR="0093178C" w:rsidRPr="02E2EE7D">
        <w:t xml:space="preserve"> If, however, only those with at least </w:t>
      </w:r>
      <w:r w:rsidR="00B65C63" w:rsidRPr="02E2EE7D">
        <w:t xml:space="preserve">one </w:t>
      </w:r>
      <w:r w:rsidR="0093178C" w:rsidRPr="02E2EE7D">
        <w:t xml:space="preserve">common </w:t>
      </w:r>
      <w:proofErr w:type="spellStart"/>
      <w:r w:rsidR="0093178C" w:rsidRPr="02E2EE7D">
        <w:t>pseudodeficiency</w:t>
      </w:r>
      <w:proofErr w:type="spellEnd"/>
      <w:r w:rsidR="0093178C" w:rsidRPr="02E2EE7D">
        <w:t xml:space="preserve"> variant are excluded after the </w:t>
      </w:r>
      <w:r w:rsidR="00825904" w:rsidRPr="02E2EE7D">
        <w:t>s</w:t>
      </w:r>
      <w:r w:rsidR="00825904">
        <w:t>mall</w:t>
      </w:r>
      <w:r w:rsidR="00825904" w:rsidRPr="02E2EE7D">
        <w:t xml:space="preserve"> </w:t>
      </w:r>
      <w:r w:rsidR="0093178C" w:rsidRPr="02E2EE7D">
        <w:t xml:space="preserve">panel (i.e. those without any variants are referred for confirmatory testing), then all cases should be identified. </w:t>
      </w:r>
    </w:p>
    <w:p w14:paraId="3FB342FB" w14:textId="7B80C192" w:rsidR="006E7DD7" w:rsidRDefault="006E7DD7" w:rsidP="00737442">
      <w:pPr>
        <w:pStyle w:val="Heading4"/>
      </w:pPr>
      <w:r>
        <w:t>Change in management</w:t>
      </w:r>
      <w:r w:rsidR="008728ED">
        <w:t xml:space="preserve"> due to early compared with late diagnosis of GSD II</w:t>
      </w:r>
    </w:p>
    <w:p w14:paraId="34956A4E" w14:textId="5BFE441E" w:rsidR="004B07F6" w:rsidRDefault="00825E40" w:rsidP="00737442">
      <w:pPr>
        <w:keepNext/>
        <w:keepLines/>
      </w:pPr>
      <w:r w:rsidRPr="02E2EE7D">
        <w:t>E</w:t>
      </w:r>
      <w:r w:rsidR="004B07F6" w:rsidRPr="02E2EE7D">
        <w:t>vidence</w:t>
      </w:r>
      <w:r w:rsidRPr="02E2EE7D">
        <w:t xml:space="preserve"> for change in management was poor quality</w:t>
      </w:r>
      <w:r w:rsidR="004B07F6" w:rsidRPr="02E2EE7D">
        <w:t xml:space="preserve">, </w:t>
      </w:r>
      <w:r w:rsidRPr="02E2EE7D">
        <w:t>but consistent in showing a</w:t>
      </w:r>
      <w:r w:rsidR="004B07F6" w:rsidRPr="02E2EE7D">
        <w:t xml:space="preserve"> diagnostic delay for both symptomatic IOGSD II and LOGSD II patients. </w:t>
      </w:r>
    </w:p>
    <w:p w14:paraId="70793097" w14:textId="7B43DB36" w:rsidR="009D2D26" w:rsidRDefault="008728ED" w:rsidP="00737442">
      <w:pPr>
        <w:pStyle w:val="Heading5"/>
      </w:pPr>
      <w:r>
        <w:t xml:space="preserve">Early compared with late diagnosis </w:t>
      </w:r>
      <w:r w:rsidR="0036714B">
        <w:t>of</w:t>
      </w:r>
      <w:r>
        <w:t xml:space="preserve"> </w:t>
      </w:r>
      <w:r w:rsidR="009D2D26">
        <w:t>IOGSD II</w:t>
      </w:r>
    </w:p>
    <w:p w14:paraId="65AB7ED1" w14:textId="0524760D" w:rsidR="009D2D26" w:rsidRDefault="009D2D26" w:rsidP="20A6B0BE">
      <w:pPr>
        <w:keepNext/>
        <w:keepLines/>
      </w:pPr>
      <w:r w:rsidRPr="02E2EE7D">
        <w:t>For IOGSD II infants</w:t>
      </w:r>
      <w:r w:rsidR="41508F62" w:rsidRPr="02E2EE7D">
        <w:t xml:space="preserve"> who were not diagnosed until after symptom onset</w:t>
      </w:r>
      <w:r w:rsidRPr="02E2EE7D">
        <w:t xml:space="preserve">, data from the Pompe Registry showed </w:t>
      </w:r>
      <w:r w:rsidR="00674FCB" w:rsidRPr="02E2EE7D">
        <w:t xml:space="preserve">delays from symptom onset to diagnosis of </w:t>
      </w:r>
      <w:r w:rsidRPr="02E2EE7D">
        <w:t>a median of 1.4 (range 0.0 to 13.9) months</w:t>
      </w:r>
      <w:r w:rsidR="65393805" w:rsidRPr="02E2EE7D">
        <w:t>.</w:t>
      </w:r>
      <w:r w:rsidRPr="02E2EE7D">
        <w:t xml:space="preserve"> This evidence was supported by </w:t>
      </w:r>
      <w:r w:rsidR="00A10E29" w:rsidRPr="02E2EE7D">
        <w:t xml:space="preserve">three </w:t>
      </w:r>
      <w:r w:rsidRPr="02E2EE7D">
        <w:t xml:space="preserve">smaller studies that found diagnosis was delayed </w:t>
      </w:r>
      <w:r w:rsidR="001F05A2" w:rsidRPr="02E2EE7D">
        <w:t xml:space="preserve">(compared to age at symptom onset) </w:t>
      </w:r>
      <w:r w:rsidRPr="02E2EE7D">
        <w:t>by approximately 1.4 months (median of medians</w:t>
      </w:r>
      <w:proofErr w:type="gramStart"/>
      <w:r w:rsidRPr="02E2EE7D">
        <w:t>)</w:t>
      </w:r>
      <w:r w:rsidR="00295AC7" w:rsidRPr="02E2EE7D">
        <w:t>,</w:t>
      </w:r>
      <w:r w:rsidRPr="02E2EE7D">
        <w:t xml:space="preserve"> and</w:t>
      </w:r>
      <w:proofErr w:type="gramEnd"/>
      <w:r w:rsidRPr="02E2EE7D">
        <w:t xml:space="preserve"> </w:t>
      </w:r>
      <w:r w:rsidR="002E0B4F" w:rsidRPr="02E2EE7D">
        <w:t>occurred</w:t>
      </w:r>
      <w:r w:rsidRPr="02E2EE7D">
        <w:t xml:space="preserve"> at an age of 3 months (median of medians). </w:t>
      </w:r>
      <w:r w:rsidR="00291D69">
        <w:t>The DCAR considered t</w:t>
      </w:r>
      <w:r w:rsidRPr="02E2EE7D">
        <w:t>his has the potential to delay ERT treatment and impact health outcomes including survival for these infants</w:t>
      </w:r>
      <w:r w:rsidR="5F988168" w:rsidRPr="02E2EE7D">
        <w:t>.</w:t>
      </w:r>
    </w:p>
    <w:p w14:paraId="4D181054" w14:textId="63B6A8A1" w:rsidR="007206C4" w:rsidRDefault="008728ED" w:rsidP="0014330A">
      <w:pPr>
        <w:pStyle w:val="Heading5"/>
      </w:pPr>
      <w:r>
        <w:t xml:space="preserve">Early compared with late diagnosis of </w:t>
      </w:r>
      <w:r w:rsidR="007206C4">
        <w:t>LOGSD II</w:t>
      </w:r>
    </w:p>
    <w:p w14:paraId="59D41AC3" w14:textId="746613A1" w:rsidR="007A60D5" w:rsidRDefault="007A60D5" w:rsidP="000C31BC">
      <w:r>
        <w:t>Across the case series included (k</w:t>
      </w:r>
      <w:r w:rsidR="002E0B4F">
        <w:t xml:space="preserve"> </w:t>
      </w:r>
      <w:r>
        <w:t>=</w:t>
      </w:r>
      <w:r w:rsidR="002E0B4F">
        <w:t xml:space="preserve"> </w:t>
      </w:r>
      <w:r w:rsidR="00893743">
        <w:t>4</w:t>
      </w:r>
      <w:r>
        <w:t>), the median of median diagnostic delays (for all LOGSD II cases, regardless of age of onset) was 8 years.</w:t>
      </w:r>
    </w:p>
    <w:p w14:paraId="54F403EE" w14:textId="4E0FEAB7" w:rsidR="000C31BC" w:rsidRDefault="000C31BC" w:rsidP="000C31BC">
      <w:r w:rsidRPr="02E2EE7D">
        <w:t xml:space="preserve">Data from the Pompe Registry provided a median </w:t>
      </w:r>
      <w:r w:rsidR="0036714B" w:rsidRPr="02E2EE7D">
        <w:t>interval</w:t>
      </w:r>
      <w:r w:rsidRPr="02E2EE7D">
        <w:t xml:space="preserve"> </w:t>
      </w:r>
      <w:r w:rsidR="00CE15B6" w:rsidRPr="02E2EE7D">
        <w:t>from the point of symptom onset to diagnosis of 12.6 (range 0 to 60) years</w:t>
      </w:r>
      <w:r w:rsidR="00CE15B6" w:rsidRPr="02E2EE7D">
        <w:rPr>
          <w:rStyle w:val="CommentReference"/>
          <w:rFonts w:ascii="Calibri" w:eastAsia="Times New Roman" w:hAnsi="Calibri" w:cs="Times New Roman"/>
          <w:color w:val="000000" w:themeColor="text1"/>
          <w:lang w:eastAsia="en-AU"/>
        </w:rPr>
        <w:t xml:space="preserve">; </w:t>
      </w:r>
      <w:r w:rsidR="00CE15B6" w:rsidRPr="02E2EE7D">
        <w:rPr>
          <w:rStyle w:val="CommentReference"/>
          <w:rFonts w:eastAsia="Times New Roman" w:cs="Times New Roman"/>
          <w:color w:val="000000" w:themeColor="text1"/>
          <w:sz w:val="22"/>
          <w:szCs w:val="22"/>
          <w:lang w:eastAsia="en-AU"/>
        </w:rPr>
        <w:t>the median age of symptom onset was</w:t>
      </w:r>
      <w:r w:rsidR="00CE15B6" w:rsidRPr="02E2EE7D">
        <w:rPr>
          <w:rStyle w:val="CommentReference"/>
          <w:rFonts w:ascii="Calibri" w:eastAsia="Times New Roman" w:hAnsi="Calibri" w:cs="Times New Roman"/>
          <w:color w:val="000000" w:themeColor="text1"/>
          <w:lang w:eastAsia="en-AU"/>
        </w:rPr>
        <w:t xml:space="preserve"> </w:t>
      </w:r>
      <w:r w:rsidR="00CE15B6" w:rsidRPr="02E2EE7D">
        <w:t xml:space="preserve">6.2 years, with the median age of diagnosis of 18.5 years. The age range of the children in the Pompe registry was </w:t>
      </w:r>
      <w:r w:rsidRPr="02E2EE7D">
        <w:t>12 months to 12 years</w:t>
      </w:r>
      <w:r w:rsidR="00CE15B6" w:rsidRPr="02E2EE7D">
        <w:t>.</w:t>
      </w:r>
      <w:r w:rsidRPr="02E2EE7D">
        <w:t xml:space="preserve"> As this was the largest data set for children with LOGSD II </w:t>
      </w:r>
      <w:r w:rsidR="00386B4F" w:rsidRPr="02E2EE7D">
        <w:t xml:space="preserve">(n=118) </w:t>
      </w:r>
      <w:r w:rsidRPr="02E2EE7D">
        <w:t xml:space="preserve">it was </w:t>
      </w:r>
      <w:r w:rsidR="00CE15B6" w:rsidRPr="02E2EE7D">
        <w:t xml:space="preserve">likely to be </w:t>
      </w:r>
      <w:r w:rsidRPr="02E2EE7D">
        <w:t xml:space="preserve">the most accurate, although the range was very broad. Other small studies </w:t>
      </w:r>
      <w:r w:rsidR="77116669" w:rsidRPr="02E2EE7D">
        <w:t>(k</w:t>
      </w:r>
      <w:r w:rsidR="00A14E95" w:rsidRPr="02E2EE7D">
        <w:t xml:space="preserve"> </w:t>
      </w:r>
      <w:r w:rsidR="77116669" w:rsidRPr="02E2EE7D">
        <w:t>=</w:t>
      </w:r>
      <w:r w:rsidR="00A14E95" w:rsidRPr="02E2EE7D">
        <w:t xml:space="preserve"> 3</w:t>
      </w:r>
      <w:r w:rsidR="77116669" w:rsidRPr="02E2EE7D">
        <w:t xml:space="preserve">) </w:t>
      </w:r>
      <w:r w:rsidRPr="02E2EE7D">
        <w:t xml:space="preserve">supported the evidence but found smaller median diagnostic delays between 0.9 (range 0 to 5.8) years to 6.5 (range 0 to 11) years. Some children were diagnosed prior to symptom onset in the study populations (hence the ranges start at zero), either because of </w:t>
      </w:r>
      <w:r w:rsidR="00825904">
        <w:t xml:space="preserve">a family history of </w:t>
      </w:r>
      <w:r w:rsidRPr="02E2EE7D">
        <w:t xml:space="preserve">GSD II, or possibly incidental detection in other cases. </w:t>
      </w:r>
    </w:p>
    <w:p w14:paraId="30479562" w14:textId="573A67BD" w:rsidR="000C31BC" w:rsidRDefault="000C31BC" w:rsidP="000C31BC">
      <w:r w:rsidRPr="02E2EE7D">
        <w:t xml:space="preserve">Data from a single study indicated that symptomatic children were more often misdiagnosed than affected adults, and it is </w:t>
      </w:r>
      <w:r w:rsidR="001F131A" w:rsidRPr="02E2EE7D">
        <w:t>possible</w:t>
      </w:r>
      <w:r w:rsidRPr="02E2EE7D">
        <w:t xml:space="preserve"> that </w:t>
      </w:r>
      <w:r w:rsidR="001F131A" w:rsidRPr="02E2EE7D">
        <w:t xml:space="preserve">individuals </w:t>
      </w:r>
      <w:r w:rsidRPr="02E2EE7D">
        <w:t xml:space="preserve">diagnosed with LOGSD II who become symptomatic </w:t>
      </w:r>
      <w:r w:rsidR="001F131A" w:rsidRPr="02E2EE7D">
        <w:t xml:space="preserve">as children </w:t>
      </w:r>
      <w:r w:rsidRPr="02E2EE7D">
        <w:t>would benefit more from the implementation of NBS than those who become symptomatic as adults</w:t>
      </w:r>
      <w:r w:rsidR="001F131A" w:rsidRPr="02E2EE7D">
        <w:t xml:space="preserve">. </w:t>
      </w:r>
      <w:r w:rsidR="00686E44" w:rsidRPr="02E2EE7D">
        <w:t>Those</w:t>
      </w:r>
      <w:r w:rsidR="001F131A" w:rsidRPr="02E2EE7D">
        <w:t xml:space="preserve"> who are symptomatic at a younger age</w:t>
      </w:r>
      <w:r w:rsidRPr="02E2EE7D">
        <w:t xml:space="preserve"> are at risk of delayed motor development, worse pulmonary outcomes, and worse prognosis</w:t>
      </w:r>
      <w:r w:rsidR="00686E44" w:rsidRPr="02E2EE7D">
        <w:t xml:space="preserve"> than those who are symptomatic at a later age</w:t>
      </w:r>
      <w:r w:rsidRPr="02E2EE7D">
        <w:t xml:space="preserve">. In some cases, ERT may be warranted if they have a known severe genotype. </w:t>
      </w:r>
    </w:p>
    <w:p w14:paraId="21A18D0C" w14:textId="5408BAFC" w:rsidR="00FB5719" w:rsidRDefault="000C31BC" w:rsidP="000C31BC">
      <w:r w:rsidRPr="02E2EE7D">
        <w:t>Data from the Pompe Registry found a median diagnostic delay of 6 (range 0 to 49) years for adults and children aged over 12 years</w:t>
      </w:r>
      <w:r w:rsidR="00386B4F" w:rsidRPr="02E2EE7D">
        <w:t xml:space="preserve"> at the point of symptoms onset </w:t>
      </w:r>
      <w:r w:rsidRPr="02E2EE7D">
        <w:t>diagnosed with LOGSD II</w:t>
      </w:r>
      <w:r w:rsidR="008D5687" w:rsidRPr="02E2EE7D">
        <w:t xml:space="preserve"> (n=426)</w:t>
      </w:r>
      <w:r w:rsidRPr="02E2EE7D">
        <w:t xml:space="preserve">. </w:t>
      </w:r>
      <w:r w:rsidR="00386B4F" w:rsidRPr="02E2EE7D">
        <w:t xml:space="preserve">Median age at symptom onset was 35 years, and median age at diagnosis was 43 years. </w:t>
      </w:r>
      <w:r w:rsidRPr="02E2EE7D">
        <w:t xml:space="preserve">Again, the diagnostic delay had a broad range, likely due to non-specific symptoms, occurring within a broad age-range and varying degrees of severity. Other studies </w:t>
      </w:r>
      <w:r w:rsidR="699A54D0" w:rsidRPr="02E2EE7D">
        <w:t>(k</w:t>
      </w:r>
      <w:r w:rsidR="00A14E95" w:rsidRPr="02E2EE7D">
        <w:t xml:space="preserve"> </w:t>
      </w:r>
      <w:r w:rsidR="699A54D0" w:rsidRPr="02E2EE7D">
        <w:t>=</w:t>
      </w:r>
      <w:r w:rsidR="00A14E95" w:rsidRPr="02E2EE7D">
        <w:t xml:space="preserve"> 3</w:t>
      </w:r>
      <w:r w:rsidR="699A54D0" w:rsidRPr="02E2EE7D">
        <w:t>)</w:t>
      </w:r>
      <w:r w:rsidRPr="02E2EE7D">
        <w:t xml:space="preserve"> found median delays ranged from 5 to 21.5 years in adults. Adults received up to four misdiagnoses prior to their final GSD II diagnosis but most LOGSD II adults experience one to two misdiagnoses</w:t>
      </w:r>
      <w:r w:rsidR="2D63E78F" w:rsidRPr="02E2EE7D">
        <w:t>, and potentially inappropriate treatment for a non-existent condition</w:t>
      </w:r>
      <w:r w:rsidR="14801C9C" w:rsidRPr="02E2EE7D">
        <w:t>.</w:t>
      </w:r>
      <w:r w:rsidRPr="02E2EE7D">
        <w:t xml:space="preserve"> This can impact their access to </w:t>
      </w:r>
      <w:r w:rsidR="00386B4F" w:rsidRPr="02E2EE7D">
        <w:t xml:space="preserve">appropriate </w:t>
      </w:r>
      <w:r w:rsidRPr="02E2EE7D">
        <w:t xml:space="preserve">treatment. </w:t>
      </w:r>
    </w:p>
    <w:p w14:paraId="248B516D" w14:textId="5F1CB916" w:rsidR="000C31BC" w:rsidRDefault="000C31BC" w:rsidP="000C31BC">
      <w:r w:rsidRPr="02E2EE7D">
        <w:t xml:space="preserve">Data from low level evidence from studies that reported whether symptomatic patients were treated or monitored after diagnosis of LOGSD II, 75% patients were given ERT, 33% were given ventilation assistance (invasive or non-invasive), however these rates would </w:t>
      </w:r>
      <w:r w:rsidR="44F498F9" w:rsidRPr="02E2EE7D">
        <w:t xml:space="preserve">vary by </w:t>
      </w:r>
      <w:r w:rsidRPr="02E2EE7D">
        <w:t xml:space="preserve">the severity of symptoms </w:t>
      </w:r>
      <w:r w:rsidR="718DB4E2" w:rsidRPr="02E2EE7D">
        <w:t xml:space="preserve">in </w:t>
      </w:r>
      <w:r w:rsidRPr="02E2EE7D">
        <w:t xml:space="preserve">the populations. </w:t>
      </w:r>
      <w:r w:rsidR="00D2083A" w:rsidRPr="02E2EE7D">
        <w:t>Notably, i</w:t>
      </w:r>
      <w:r w:rsidR="00D235EA" w:rsidRPr="02E2EE7D">
        <w:t xml:space="preserve">n the longest </w:t>
      </w:r>
      <w:r w:rsidR="00D2083A" w:rsidRPr="02E2EE7D">
        <w:t xml:space="preserve">single </w:t>
      </w:r>
      <w:r w:rsidR="00D235EA" w:rsidRPr="02E2EE7D">
        <w:t>study of monitoring of patients with NBS-diagnosed LOGSD II,</w:t>
      </w:r>
      <w:r w:rsidRPr="02E2EE7D">
        <w:t xml:space="preserve"> 8.22% were treated with ERT, and 82.6% were monitored up to 7 years (the longest study period that reported monitoring). </w:t>
      </w:r>
    </w:p>
    <w:p w14:paraId="6F82EC69" w14:textId="7ECFCEAF" w:rsidR="00C63E12" w:rsidRPr="00C63E12" w:rsidRDefault="00C63E12" w:rsidP="00C63E12">
      <w:pPr>
        <w:pStyle w:val="Heading4"/>
      </w:pPr>
      <w:r w:rsidRPr="00C63E12">
        <w:t>Summary of the clinical findings</w:t>
      </w:r>
      <w:r>
        <w:t xml:space="preserve"> for PICO Set 1</w:t>
      </w:r>
    </w:p>
    <w:p w14:paraId="46A9CE96" w14:textId="4DB47564" w:rsidR="003C23FE" w:rsidRPr="00C63E12" w:rsidRDefault="00291D69" w:rsidP="007B4DE2">
      <w:r>
        <w:t>The DCAR considered b</w:t>
      </w:r>
      <w:r w:rsidR="00F04C90" w:rsidRPr="02E2EE7D">
        <w:t xml:space="preserve">ased on </w:t>
      </w:r>
      <w:r w:rsidR="00FD1A5F" w:rsidRPr="02E2EE7D">
        <w:t xml:space="preserve">the literature review findings, results </w:t>
      </w:r>
      <w:r w:rsidR="00F04C90" w:rsidRPr="02E2EE7D">
        <w:t xml:space="preserve">from the Californian NBS program </w:t>
      </w:r>
      <w:r w:rsidR="00F04C90">
        <w:fldChar w:fldCharType="begin"/>
      </w:r>
      <w:r w:rsidR="00F04C90">
        <w:instrText xml:space="preserve"> ADDIN EN.CITE &lt;EndNote&gt;&lt;Cite&gt;&lt;Author&gt;Tang&lt;/Author&gt;&lt;Year&gt;2020&lt;/Year&gt;&lt;RecNum&gt;56&lt;/RecNum&gt;&lt;DisplayText&gt;(Tang et al. 2020)&lt;/DisplayText&gt;&lt;record&gt;&lt;rec-number&gt;56&lt;/rec-number&gt;&lt;foreign-keys&gt;&lt;key app="EN" db-id="2x2zxatf22afpcea0ecx2wv1zvdas0x52t0e" timestamp="1728353553"&gt;56&lt;/key&gt;&lt;/foreign-keys&gt;&lt;ref-type name="Journal Article"&gt;17&lt;/ref-type&gt;&lt;contributors&gt;&lt;authors&gt;&lt;author&gt;Tang, H.&lt;/author&gt;&lt;author&gt;Feuchtbaum, L.&lt;/author&gt;&lt;author&gt;Sciortino, S.&lt;/author&gt;&lt;author&gt;Matteson, J.&lt;/author&gt;&lt;author&gt;Mathur, D.&lt;/author&gt;&lt;author&gt;Bishop, T.&lt;/author&gt;&lt;author&gt;Olney, R. S.&lt;/author&gt;&lt;/authors&gt;&lt;/contributors&gt;&lt;auth-address&gt;Genetic Disease Screening Program, California Department of Public Health, 850 Marina Bay Parkway, MS 8200, USA; lisa.feuchtbaum@cdph.ca.gov (L.F.); stanley.sciortino@cdph.ca.gov (S.S.); jamie.matteson@cdph.ca.gov (J.M.); deepika.mathur@cdph.ca.gov (D.M.); tracey.bishop@cdph.ca.gov (T.B.); richard.olney@cdph.ca.gov (R.S.O.).&lt;/auth-address&gt;&lt;titles&gt;&lt;title&gt;The First Year Experience of Newborn Screening for Pompe Disease in California&lt;/title&gt;&lt;secondary-title&gt;Int J Neonatal Screen&lt;/secondary-title&gt;&lt;/titles&gt;&lt;periodical&gt;&lt;full-title&gt;Int J Neonatal Screen&lt;/full-title&gt;&lt;/periodical&gt;&lt;volume&gt;6&lt;/volume&gt;&lt;number&gt;1&lt;/number&gt;&lt;keywords&gt;&lt;keyword&gt;California&lt;/keyword&gt;&lt;keyword&gt;Pompe disease&lt;/keyword&gt;&lt;keyword&gt;newborn screening&lt;/keyword&gt;&lt;keyword&gt;Infant, Newborn&lt;/keyword&gt;&lt;/keywords&gt;&lt;dates&gt;&lt;year&gt;2020&lt;/year&gt;&lt;pub-dates&gt;&lt;date&gt;2020&lt;/date&gt;&lt;/pub-dates&gt;&lt;/dates&gt;&lt;isbn&gt;2409-515x&lt;/isbn&gt;&lt;accession-num&gt;rayyan-735767265&lt;/accession-num&gt;&lt;urls&gt;&lt;related-urls&gt;&lt;url&gt;https://mdpi-res.com/d_attachment/IJNS/IJNS-06-00009/article_deploy/IJNS-06-00009-v2.pdf?version=1584873789&lt;/url&gt;&lt;/related-urls&gt;&lt;/urls&gt;&lt;custom1&gt;Conflicts of InterestThe authors declare no conflict of interest. | RAYYAN-INCLUSION: {&amp;quot;Sarah&amp;quot;=&amp;gt;&amp;quot;Included&amp;quot;}&lt;/custom1&gt;&lt;electronic-resource-num&gt;doi:10.3390/ijns6010009&lt;/electronic-resource-num&gt;&lt;/record&gt;&lt;/Cite&gt;&lt;/EndNote&gt;</w:instrText>
      </w:r>
      <w:r w:rsidR="00F04C90">
        <w:fldChar w:fldCharType="separate"/>
      </w:r>
      <w:r w:rsidR="00D0543B" w:rsidRPr="02E2EE7D">
        <w:rPr>
          <w:noProof/>
        </w:rPr>
        <w:t>(Tang et al. 2020)</w:t>
      </w:r>
      <w:r w:rsidR="00F04C90">
        <w:fldChar w:fldCharType="end"/>
      </w:r>
      <w:r w:rsidR="00F04C90" w:rsidRPr="02E2EE7D">
        <w:t xml:space="preserve"> and Australian data </w:t>
      </w:r>
      <w:r w:rsidR="00F04C90">
        <w:fldChar w:fldCharType="begin"/>
      </w:r>
      <w:r w:rsidR="00F04C90">
        <w:instrText xml:space="preserve"> ADDIN EN.CITE &lt;EndNote&gt;&lt;Cite&gt;&lt;Author&gt;Chin&lt;/Author&gt;&lt;Year&gt;2022&lt;/Year&gt;&lt;RecNum&gt;14&lt;/RecNum&gt;&lt;DisplayText&gt;(Chin &amp;amp; Fuller 2022)&lt;/DisplayText&gt;&lt;record&gt;&lt;rec-number&gt;14&lt;/rec-number&gt;&lt;foreign-keys&gt;&lt;key app="EN" db-id="2x2zxatf22afpcea0ecx2wv1zvdas0x52t0e" timestamp="1725245231"&gt;14&lt;/key&gt;&lt;/foreign-keys&gt;&lt;ref-type name="Journal Article"&gt;17&lt;/ref-type&gt;&lt;contributors&gt;&lt;authors&gt;&lt;author&gt;Chin, S.&lt;/author&gt;&lt;author&gt;Fuller, M.&lt;/author&gt;&lt;/authors&gt;&lt;/contributors&gt;&lt;auth-address&gt;Genetics and Molecular Pathology, SA Pathology at Women&amp;apos;s and Children&amp;apos;s Hospital.&amp;#xD;Adelaide Medical School, University of Adelaide, Adelaide, South Australia, 5005.&lt;/auth-address&gt;&lt;titles&gt;&lt;title&gt;Prevalence of lysosomal storage disorders in Australia from 2009 to 2020&lt;/title&gt;&lt;secondary-title&gt;Lancet Reg Health West Pac&lt;/secondary-title&gt;&lt;/titles&gt;&lt;periodical&gt;&lt;full-title&gt;Lancet Reg Health West Pac&lt;/full-title&gt;&lt;/periodical&gt;&lt;pages&gt;100344&lt;/pages&gt;&lt;volume&gt;19&lt;/volume&gt;&lt;edition&gt;20211212&lt;/edition&gt;&lt;dates&gt;&lt;year&gt;2022&lt;/year&gt;&lt;pub-dates&gt;&lt;date&gt;Feb&lt;/date&gt;&lt;/pub-dates&gt;&lt;/dates&gt;&lt;isbn&gt;2666-6065&lt;/isbn&gt;&lt;accession-num&gt;35024668&lt;/accession-num&gt;&lt;urls&gt;&lt;related-urls&gt;&lt;url&gt;https://www.ncbi.nlm.nih.gov/pmc/articles/PMC8671750/pdf/main.pdf&lt;/url&gt;&lt;/related-urls&gt;&lt;/urls&gt;&lt;custom1&gt;We declare that we have no conflicts of interest.&lt;/custom1&gt;&lt;custom2&gt;PMC8671750&lt;/custom2&gt;&lt;electronic-resource-num&gt;10.1016/j.lanwpc.2021.100344&lt;/electronic-resource-num&gt;&lt;remote-database-provider&gt;NLM&lt;/remote-database-provider&gt;&lt;language&gt;eng&lt;/language&gt;&lt;/record&gt;&lt;/Cite&gt;&lt;/EndNote&gt;</w:instrText>
      </w:r>
      <w:r w:rsidR="00F04C90">
        <w:fldChar w:fldCharType="separate"/>
      </w:r>
      <w:r w:rsidR="00CD67F1" w:rsidRPr="02E2EE7D">
        <w:rPr>
          <w:noProof/>
        </w:rPr>
        <w:t>(Chin &amp; Fuller 2022)</w:t>
      </w:r>
      <w:r w:rsidR="00F04C90">
        <w:fldChar w:fldCharType="end"/>
      </w:r>
      <w:r w:rsidR="00F04C90" w:rsidRPr="02E2EE7D">
        <w:t>, f</w:t>
      </w:r>
      <w:r w:rsidR="003C23FE" w:rsidRPr="02E2EE7D">
        <w:t xml:space="preserve">or every 1 million babies tested, </w:t>
      </w:r>
      <w:r w:rsidR="00541CD2">
        <w:t>approximately 189 patients</w:t>
      </w:r>
      <w:r w:rsidR="003C23FE" w:rsidRPr="02E2EE7D">
        <w:t xml:space="preserve"> </w:t>
      </w:r>
      <w:r w:rsidR="0062099E" w:rsidRPr="02E2EE7D">
        <w:t xml:space="preserve">would test positive on GAA enzyme testing and </w:t>
      </w:r>
      <w:r w:rsidR="00541CD2">
        <w:t>be referred</w:t>
      </w:r>
      <w:r w:rsidR="002E44A9" w:rsidRPr="02E2EE7D">
        <w:t xml:space="preserve"> for diagnostic testing</w:t>
      </w:r>
      <w:r w:rsidR="00541CD2">
        <w:rPr>
          <w:rStyle w:val="FootnoteReference"/>
        </w:rPr>
        <w:footnoteReference w:id="26"/>
      </w:r>
      <w:r w:rsidR="00541CD2">
        <w:t xml:space="preserve">. </w:t>
      </w:r>
      <w:r w:rsidR="000F37B3" w:rsidRPr="02E2EE7D">
        <w:t xml:space="preserve">. </w:t>
      </w:r>
    </w:p>
    <w:p w14:paraId="5B1AE312" w14:textId="21353991" w:rsidR="00F85CA6" w:rsidRPr="00C63E12" w:rsidRDefault="000F37B3" w:rsidP="007B4DE2">
      <w:r w:rsidRPr="00C63E12">
        <w:t>Of those referred for diagnostic testing</w:t>
      </w:r>
      <w:r w:rsidR="000635C7">
        <w:t xml:space="preserve"> (n = 18</w:t>
      </w:r>
      <w:r w:rsidR="00541CD2">
        <w:t>9</w:t>
      </w:r>
      <w:r w:rsidR="000635C7">
        <w:t>)</w:t>
      </w:r>
      <w:r w:rsidRPr="00C63E12">
        <w:t xml:space="preserve">, </w:t>
      </w:r>
      <w:r w:rsidR="00820D6A">
        <w:t>there would be approximately</w:t>
      </w:r>
      <w:r w:rsidR="0293DF21">
        <w:t>:</w:t>
      </w:r>
    </w:p>
    <w:p w14:paraId="3CC3B201" w14:textId="7A8A8106" w:rsidR="00820D6A" w:rsidRPr="00C63E12" w:rsidRDefault="000635C7" w:rsidP="000635C7">
      <w:pPr>
        <w:ind w:left="360"/>
      </w:pPr>
      <w:r>
        <w:t>n</w:t>
      </w:r>
      <w:r w:rsidR="00820D6A">
        <w:t xml:space="preserve"> = 3</w:t>
      </w:r>
      <w:r w:rsidR="00541CD2">
        <w:t>5</w:t>
      </w:r>
      <w:r w:rsidR="00820D6A">
        <w:t xml:space="preserve"> true positives</w:t>
      </w:r>
      <w:r w:rsidR="00893743">
        <w:t xml:space="preserve"> -</w:t>
      </w:r>
    </w:p>
    <w:p w14:paraId="1A712E4A" w14:textId="2E84B299" w:rsidR="00F85CA6" w:rsidRPr="00C63E12" w:rsidRDefault="00541CD2" w:rsidP="0078218A">
      <w:pPr>
        <w:pStyle w:val="ListParagraph"/>
        <w:numPr>
          <w:ilvl w:val="0"/>
          <w:numId w:val="14"/>
        </w:numPr>
      </w:pPr>
      <w:r>
        <w:t>3</w:t>
      </w:r>
      <w:r w:rsidR="001355C0" w:rsidRPr="02E2EE7D">
        <w:t xml:space="preserve"> newborns</w:t>
      </w:r>
      <w:r w:rsidR="000F37B3" w:rsidRPr="02E2EE7D">
        <w:t xml:space="preserve"> would have IOGSD II </w:t>
      </w:r>
      <w:r w:rsidR="00DF319C" w:rsidRPr="02E2EE7D">
        <w:t xml:space="preserve">and </w:t>
      </w:r>
      <w:r w:rsidR="00F85CA6" w:rsidRPr="02E2EE7D">
        <w:t>receive earlier ERT</w:t>
      </w:r>
      <w:r w:rsidR="00A473AF" w:rsidRPr="02E2EE7D">
        <w:t>, and have likely survival, respiratory and motor benefits</w:t>
      </w:r>
      <w:r w:rsidR="0079533C" w:rsidRPr="02E2EE7D">
        <w:t>,</w:t>
      </w:r>
    </w:p>
    <w:p w14:paraId="57DA8BBC" w14:textId="12D5872F" w:rsidR="00820D6A" w:rsidRDefault="00820D6A" w:rsidP="0078218A">
      <w:pPr>
        <w:pStyle w:val="ListParagraph"/>
        <w:numPr>
          <w:ilvl w:val="0"/>
          <w:numId w:val="14"/>
        </w:numPr>
      </w:pPr>
      <w:r w:rsidRPr="02E2EE7D">
        <w:t>3</w:t>
      </w:r>
      <w:r w:rsidR="00541CD2">
        <w:t>2</w:t>
      </w:r>
      <w:r w:rsidR="00F85CA6" w:rsidRPr="02E2EE7D">
        <w:t xml:space="preserve"> would have LOGSD II and would be regularly monitored to determine when they should receive ERT (</w:t>
      </w:r>
      <w:r w:rsidR="001617F7" w:rsidRPr="02E2EE7D">
        <w:t>LSDP criteria require they be over age 2</w:t>
      </w:r>
      <w:r w:rsidR="009265EE" w:rsidRPr="02E2EE7D">
        <w:t xml:space="preserve"> years</w:t>
      </w:r>
      <w:r w:rsidR="00A83098" w:rsidRPr="02E2EE7D">
        <w:t xml:space="preserve"> to become eligible</w:t>
      </w:r>
      <w:r w:rsidR="001617F7" w:rsidRPr="02E2EE7D">
        <w:t>)</w:t>
      </w:r>
      <w:r w:rsidR="00A473AF" w:rsidRPr="02E2EE7D">
        <w:t>,</w:t>
      </w:r>
      <w:r w:rsidR="0036714B" w:rsidRPr="02E2EE7D">
        <w:t xml:space="preserve"> whether symptomatic or not</w:t>
      </w:r>
      <w:r w:rsidR="001617F7" w:rsidRPr="02E2EE7D">
        <w:t>)</w:t>
      </w:r>
      <w:r w:rsidR="00A473AF" w:rsidRPr="02E2EE7D">
        <w:t xml:space="preserve">, </w:t>
      </w:r>
    </w:p>
    <w:p w14:paraId="31584776" w14:textId="09241D42" w:rsidR="00F85CA6" w:rsidRPr="00C63E12" w:rsidRDefault="00820D6A" w:rsidP="0078218A">
      <w:pPr>
        <w:pStyle w:val="ListParagraph"/>
        <w:numPr>
          <w:ilvl w:val="0"/>
          <w:numId w:val="14"/>
        </w:numPr>
      </w:pPr>
      <w:r>
        <w:t>1</w:t>
      </w:r>
      <w:r w:rsidR="00541CD2">
        <w:t>2</w:t>
      </w:r>
      <w:r>
        <w:t xml:space="preserve"> of those diagnosed with LOGSD II would have a VUS (and </w:t>
      </w:r>
      <w:r w:rsidR="00F04C90">
        <w:t xml:space="preserve">therefore </w:t>
      </w:r>
      <w:r w:rsidR="008B312D">
        <w:t>a more</w:t>
      </w:r>
      <w:r>
        <w:t xml:space="preserve"> uncertain prognosis)</w:t>
      </w:r>
      <w:r w:rsidR="009265EE">
        <w:t xml:space="preserve"> </w:t>
      </w:r>
      <w:r w:rsidR="00A473AF">
        <w:t xml:space="preserve">and would be regularly monitored to receive timely ERT if required, but </w:t>
      </w:r>
      <w:r w:rsidR="0079533C">
        <w:t xml:space="preserve">some </w:t>
      </w:r>
      <w:r w:rsidR="00A473AF">
        <w:t xml:space="preserve">may experience harm from knowledge of uncertain </w:t>
      </w:r>
      <w:r w:rsidR="0079533C">
        <w:t>future health</w:t>
      </w:r>
      <w:r w:rsidR="00A473AF">
        <w:t>, or hyperawareness</w:t>
      </w:r>
      <w:r w:rsidR="0079533C">
        <w:t xml:space="preserve"> of their health (while others would find a benefit in that knowledge).</w:t>
      </w:r>
    </w:p>
    <w:p w14:paraId="3CE1A184" w14:textId="45B1DD20" w:rsidR="00820D6A" w:rsidRDefault="000635C7" w:rsidP="000635C7">
      <w:pPr>
        <w:ind w:left="360"/>
      </w:pPr>
      <w:r>
        <w:t>n</w:t>
      </w:r>
      <w:r w:rsidR="00820D6A">
        <w:t xml:space="preserve"> = 1</w:t>
      </w:r>
      <w:r w:rsidR="00541CD2">
        <w:t>54</w:t>
      </w:r>
      <w:r w:rsidR="00820D6A">
        <w:t xml:space="preserve"> false positives</w:t>
      </w:r>
      <w:r w:rsidR="00893743">
        <w:t xml:space="preserve"> -</w:t>
      </w:r>
    </w:p>
    <w:p w14:paraId="0DC4AD4F" w14:textId="793CEF43" w:rsidR="00820D6A" w:rsidRDefault="00820D6A" w:rsidP="0078218A">
      <w:pPr>
        <w:pStyle w:val="ListParagraph"/>
        <w:numPr>
          <w:ilvl w:val="0"/>
          <w:numId w:val="14"/>
        </w:numPr>
      </w:pPr>
      <w:r w:rsidRPr="02E2EE7D">
        <w:t>3</w:t>
      </w:r>
      <w:r w:rsidR="00541CD2">
        <w:t>9</w:t>
      </w:r>
      <w:r w:rsidRPr="02E2EE7D">
        <w:t xml:space="preserve"> would have </w:t>
      </w:r>
      <w:proofErr w:type="spellStart"/>
      <w:r w:rsidRPr="02E2EE7D">
        <w:t>pseudodeficiency</w:t>
      </w:r>
      <w:proofErr w:type="spellEnd"/>
      <w:r w:rsidR="006C3515" w:rsidRPr="02E2EE7D">
        <w:t xml:space="preserve"> of which 19 individuals would be assumed to be ruled out due to finding a variant known to be associated with a </w:t>
      </w:r>
      <w:proofErr w:type="spellStart"/>
      <w:r w:rsidR="006C3515" w:rsidRPr="02E2EE7D">
        <w:t>pseudodeficiency</w:t>
      </w:r>
      <w:proofErr w:type="spellEnd"/>
      <w:r w:rsidR="006C3515" w:rsidRPr="02E2EE7D">
        <w:t>.</w:t>
      </w:r>
    </w:p>
    <w:p w14:paraId="4B7FA34D" w14:textId="5DAB5F34" w:rsidR="00820D6A" w:rsidRDefault="00820D6A" w:rsidP="0078218A">
      <w:pPr>
        <w:pStyle w:val="ListParagraph"/>
        <w:numPr>
          <w:ilvl w:val="0"/>
          <w:numId w:val="14"/>
        </w:numPr>
      </w:pPr>
      <w:r>
        <w:t>6</w:t>
      </w:r>
      <w:r w:rsidR="00541CD2">
        <w:t>6</w:t>
      </w:r>
      <w:r>
        <w:t xml:space="preserve"> carriers</w:t>
      </w:r>
      <w:r w:rsidR="00A20941">
        <w:t>,</w:t>
      </w:r>
    </w:p>
    <w:p w14:paraId="41E36E70" w14:textId="12704854" w:rsidR="00820D6A" w:rsidRPr="00C63E12" w:rsidRDefault="00541CD2" w:rsidP="0078218A">
      <w:pPr>
        <w:pStyle w:val="ListParagraph"/>
        <w:numPr>
          <w:ilvl w:val="0"/>
          <w:numId w:val="14"/>
        </w:numPr>
      </w:pPr>
      <w:r>
        <w:t>50</w:t>
      </w:r>
      <w:r w:rsidR="00820D6A">
        <w:t xml:space="preserve"> would have no</w:t>
      </w:r>
      <w:r w:rsidR="00F04C90">
        <w:t xml:space="preserve"> GSD II</w:t>
      </w:r>
      <w:r w:rsidR="00820D6A">
        <w:t xml:space="preserve"> variant</w:t>
      </w:r>
      <w:r w:rsidR="00A10E29">
        <w:t>.</w:t>
      </w:r>
    </w:p>
    <w:p w14:paraId="58545FD1" w14:textId="5FE185A4" w:rsidR="008A62F7" w:rsidRDefault="00C8384C" w:rsidP="008A62F7">
      <w:pPr>
        <w:pStyle w:val="Heading3"/>
      </w:pPr>
      <w:bookmarkStart w:id="43" w:name="_Toc184839279"/>
      <w:r>
        <w:t>PICO Set 2 - Family members</w:t>
      </w:r>
      <w:bookmarkEnd w:id="43"/>
    </w:p>
    <w:p w14:paraId="6EAFDCA0" w14:textId="4A63BC23" w:rsidR="00F91A59" w:rsidRDefault="01A03E47" w:rsidP="008A62F7">
      <w:r w:rsidRPr="02E2EE7D">
        <w:t xml:space="preserve">There </w:t>
      </w:r>
      <w:r w:rsidR="00F91A59" w:rsidRPr="02E2EE7D">
        <w:t>were</w:t>
      </w:r>
      <w:r w:rsidRPr="02E2EE7D">
        <w:t xml:space="preserve"> very little data on the uptake of testing in family members of </w:t>
      </w:r>
      <w:r w:rsidR="00E92228" w:rsidRPr="02E2EE7D">
        <w:t>individuals</w:t>
      </w:r>
      <w:r w:rsidRPr="02E2EE7D">
        <w:t xml:space="preserve"> diagnosed with GSD II upon diagnosis </w:t>
      </w:r>
      <w:r w:rsidR="2359D914" w:rsidRPr="02E2EE7D">
        <w:t xml:space="preserve">by either NBS or presentation with signs and symptoms of GSD II. </w:t>
      </w:r>
    </w:p>
    <w:p w14:paraId="786B6A6F" w14:textId="6E0EF0E0" w:rsidR="00F91A59" w:rsidRPr="003251C2" w:rsidRDefault="00F91A59" w:rsidP="00F91A59">
      <w:pPr>
        <w:rPr>
          <w:rFonts w:eastAsia="Franklin Gothic Book" w:cs="Franklin Gothic Book"/>
        </w:rPr>
      </w:pPr>
      <w:r w:rsidRPr="02E2EE7D">
        <w:rPr>
          <w:rFonts w:eastAsia="Franklin Gothic Book" w:cs="Franklin Gothic Book"/>
        </w:rPr>
        <w:t xml:space="preserve">As a clinical diagnosis of IOGSD II is made within the first 12 months, the timing of cascade testing following NBS or following a clinical diagnosis would also differ by a year at most. In most cases, the testing of parents would occur early enough to be informative for reproductive planning of subsequent children, regardless of the presence of NBS or no NBS. It is assumed that the uptake of </w:t>
      </w:r>
      <w:r w:rsidR="00825904">
        <w:rPr>
          <w:rFonts w:eastAsia="Franklin Gothic Book" w:cs="Franklin Gothic Book"/>
        </w:rPr>
        <w:t>genetic</w:t>
      </w:r>
      <w:r w:rsidR="00825904" w:rsidRPr="02E2EE7D">
        <w:rPr>
          <w:rFonts w:eastAsia="Franklin Gothic Book" w:cs="Franklin Gothic Book"/>
        </w:rPr>
        <w:t xml:space="preserve"> </w:t>
      </w:r>
      <w:r w:rsidRPr="02E2EE7D">
        <w:rPr>
          <w:rFonts w:eastAsia="Franklin Gothic Book" w:cs="Franklin Gothic Book"/>
        </w:rPr>
        <w:t xml:space="preserve">testing after the diagnosis of a child with IOGSD II would be the same, regardless of the method of diagnosis. </w:t>
      </w:r>
    </w:p>
    <w:p w14:paraId="54571921" w14:textId="4E3BC194" w:rsidR="00901D30" w:rsidRPr="003251C2" w:rsidRDefault="00EE596A" w:rsidP="02E2EE7D">
      <w:r w:rsidRPr="02E2EE7D">
        <w:t xml:space="preserve">No data were available on the proportion of parents or siblings of someone diagnosed through NBS to have LOGSD II, who </w:t>
      </w:r>
      <w:r w:rsidR="00936CCC" w:rsidRPr="02E2EE7D">
        <w:t>underwent testing. F</w:t>
      </w:r>
      <w:r w:rsidR="45A813C8" w:rsidRPr="02E2EE7D">
        <w:t xml:space="preserve">amily members diagnosed with LOGSD II were only reported if they received treatment with ERT which </w:t>
      </w:r>
      <w:r w:rsidR="00F91A59" w:rsidRPr="02E2EE7D">
        <w:t xml:space="preserve">made </w:t>
      </w:r>
      <w:r w:rsidR="45A813C8" w:rsidRPr="02E2EE7D">
        <w:t xml:space="preserve">it difficult to know what proportion of individuals diagnosed with LOGSD II </w:t>
      </w:r>
      <w:r w:rsidR="7B1AAD3F" w:rsidRPr="02E2EE7D">
        <w:t>via NBS gained benefit from diagnosis via NBS.</w:t>
      </w:r>
      <w:r w:rsidR="00936CCC" w:rsidRPr="02E2EE7D">
        <w:t xml:space="preserve"> One study (of 18 probands and 42 siblings) reported that only 29% of eligible siblings completed cascade testing following the clinical diagnosis of LOGSD II</w:t>
      </w:r>
      <w:r w:rsidR="0099660B" w:rsidRPr="02E2EE7D">
        <w:rPr>
          <w:rStyle w:val="FootnoteReference"/>
        </w:rPr>
        <w:footnoteReference w:id="27"/>
      </w:r>
      <w:r w:rsidR="00936CCC" w:rsidRPr="02E2EE7D">
        <w:t xml:space="preserve"> when the proband was an adult. Small case series were identified describing the cascade testing (and subsequent management) of siblings, which identified some additional affected individuals. These siblings either commenced ERT or were regularly monitored for symptoms. The very limited evidence available suggests that cascade testing may assist in the earlier diagnosis of siblings, and </w:t>
      </w:r>
      <w:r w:rsidR="005A3407" w:rsidRPr="02E2EE7D">
        <w:t>this had an impact on the clinical management of these siblings. Although ERT is likely to be beneficial (as there is evidence that ERT is superior to no ERT), the advantage of earlier ERT is uncertain.</w:t>
      </w:r>
    </w:p>
    <w:p w14:paraId="1830A9F7" w14:textId="020145B4" w:rsidR="0A00D6EB" w:rsidRDefault="0A00D6EB" w:rsidP="02E2EE7D">
      <w:pPr>
        <w:rPr>
          <w:rFonts w:eastAsia="Franklin Gothic Book" w:cs="Franklin Gothic Book"/>
        </w:rPr>
      </w:pPr>
      <w:r w:rsidRPr="02E2EE7D">
        <w:rPr>
          <w:rFonts w:eastAsia="Franklin Gothic Book" w:cs="Franklin Gothic Book"/>
        </w:rPr>
        <w:t>If a child is diagnosed through NBS, parents would be able to use this information for reproductive planning</w:t>
      </w:r>
      <w:r w:rsidR="003E1887" w:rsidRPr="02E2EE7D">
        <w:rPr>
          <w:rFonts w:eastAsia="Franklin Gothic Book" w:cs="Franklin Gothic Book"/>
        </w:rPr>
        <w:t xml:space="preserve"> and elder siblings may benefit from cascade testing. Patients</w:t>
      </w:r>
      <w:r w:rsidRPr="02E2EE7D">
        <w:rPr>
          <w:rFonts w:eastAsia="Franklin Gothic Book" w:cs="Franklin Gothic Book"/>
        </w:rPr>
        <w:t xml:space="preserve"> diagnosed </w:t>
      </w:r>
      <w:r w:rsidR="003E1887" w:rsidRPr="02E2EE7D">
        <w:rPr>
          <w:rFonts w:eastAsia="Franklin Gothic Book" w:cs="Franklin Gothic Book"/>
        </w:rPr>
        <w:t xml:space="preserve">on clinical presentation with symptoms of </w:t>
      </w:r>
      <w:r w:rsidRPr="02E2EE7D">
        <w:rPr>
          <w:rFonts w:eastAsia="Franklin Gothic Book" w:cs="Franklin Gothic Book"/>
        </w:rPr>
        <w:t>LOGSD II may have both older and younger siblings who would benefit from cascade testin</w:t>
      </w:r>
      <w:r w:rsidR="003E1887" w:rsidRPr="02E2EE7D">
        <w:rPr>
          <w:rFonts w:eastAsia="Franklin Gothic Book" w:cs="Franklin Gothic Book"/>
        </w:rPr>
        <w:t>g.</w:t>
      </w:r>
    </w:p>
    <w:p w14:paraId="46EBAA40" w14:textId="6F194D53" w:rsidR="3431059D" w:rsidRDefault="3431059D" w:rsidP="02E2EE7D">
      <w:pPr>
        <w:rPr>
          <w:rFonts w:eastAsia="Franklin Gothic Book" w:cs="Franklin Gothic Book"/>
        </w:rPr>
      </w:pPr>
      <w:r w:rsidRPr="02E2EE7D">
        <w:rPr>
          <w:rFonts w:eastAsia="Franklin Gothic Book" w:cs="Franklin Gothic Book"/>
          <w:color w:val="000000" w:themeColor="text1"/>
        </w:rPr>
        <w:t xml:space="preserve">What remains unknown, is the extent to which LOGSD II </w:t>
      </w:r>
      <w:r w:rsidR="007B212C" w:rsidRPr="02E2EE7D">
        <w:rPr>
          <w:rFonts w:eastAsia="Franklin Gothic Book" w:cs="Franklin Gothic Book"/>
          <w:color w:val="000000" w:themeColor="text1"/>
        </w:rPr>
        <w:t>is</w:t>
      </w:r>
      <w:r w:rsidRPr="02E2EE7D">
        <w:rPr>
          <w:rFonts w:eastAsia="Franklin Gothic Book" w:cs="Franklin Gothic Book"/>
          <w:color w:val="000000" w:themeColor="text1"/>
        </w:rPr>
        <w:t xml:space="preserve"> currently undiagnosed because of substantial heterogeneity of clinical presentation, and the similarity of symptoms to those of other myopathies. As such, </w:t>
      </w:r>
      <w:r w:rsidR="00291D69">
        <w:rPr>
          <w:rFonts w:eastAsia="Franklin Gothic Book" w:cs="Franklin Gothic Book"/>
          <w:color w:val="000000" w:themeColor="text1"/>
        </w:rPr>
        <w:t xml:space="preserve">the DCAR noted </w:t>
      </w:r>
      <w:r w:rsidRPr="02E2EE7D">
        <w:rPr>
          <w:rFonts w:eastAsia="Franklin Gothic Book" w:cs="Franklin Gothic Book"/>
          <w:color w:val="000000" w:themeColor="text1"/>
        </w:rPr>
        <w:t>it is possible that some additional parents would be tested if these currently undiagnosed cases are detected through NBS.</w:t>
      </w:r>
    </w:p>
    <w:p w14:paraId="213924C6" w14:textId="7275BCBA" w:rsidR="00772829" w:rsidRPr="00223664" w:rsidRDefault="00772829" w:rsidP="00F22028">
      <w:pPr>
        <w:pStyle w:val="Heading3"/>
      </w:pPr>
      <w:bookmarkStart w:id="44" w:name="_Toc184839280"/>
      <w:r w:rsidRPr="00223664">
        <w:t>Clinical claim</w:t>
      </w:r>
      <w:bookmarkEnd w:id="44"/>
    </w:p>
    <w:p w14:paraId="3AF6F735" w14:textId="77777777" w:rsidR="00F22028" w:rsidRPr="00C51A8F" w:rsidRDefault="00F22028" w:rsidP="00F22028">
      <w:pPr>
        <w:pStyle w:val="Heading4"/>
      </w:pPr>
      <w:r>
        <w:t>PICO Set 1: Newborns</w:t>
      </w:r>
    </w:p>
    <w:p w14:paraId="2F7680A0" w14:textId="1459EE06" w:rsidR="00F22028" w:rsidRPr="00CE28E3" w:rsidRDefault="00F22028" w:rsidP="00F22028">
      <w:r w:rsidRPr="00CE28E3">
        <w:t xml:space="preserve">The use of </w:t>
      </w:r>
      <w:r>
        <w:t>NBS for IOGSD II</w:t>
      </w:r>
      <w:r w:rsidRPr="00CE28E3">
        <w:t xml:space="preserve"> </w:t>
      </w:r>
      <w:r w:rsidRPr="00D53334">
        <w:t>result</w:t>
      </w:r>
      <w:r>
        <w:t>ed</w:t>
      </w:r>
      <w:r w:rsidRPr="00D53334">
        <w:t xml:space="preserve"> </w:t>
      </w:r>
      <w:r w:rsidRPr="00CE28E3">
        <w:t xml:space="preserve">in </w:t>
      </w:r>
      <w:r w:rsidRPr="006D3C28">
        <w:t>superior</w:t>
      </w:r>
      <w:r w:rsidRPr="00CE28E3">
        <w:t xml:space="preserve"> effectiveness </w:t>
      </w:r>
      <w:r>
        <w:t xml:space="preserve">and noninferior safety </w:t>
      </w:r>
      <w:r w:rsidRPr="00CE28E3">
        <w:t xml:space="preserve">compared with </w:t>
      </w:r>
      <w:r>
        <w:t>no NBS. The</w:t>
      </w:r>
      <w:r w:rsidR="004856D4">
        <w:t xml:space="preserve"> statistically </w:t>
      </w:r>
      <w:r w:rsidR="00D25CD6">
        <w:t>significant</w:t>
      </w:r>
      <w:r>
        <w:t xml:space="preserve"> benefits in survival and ventilation-free survival arise through the facilitation by NBS of earl</w:t>
      </w:r>
      <w:r w:rsidR="00A83098">
        <w:t>ier</w:t>
      </w:r>
      <w:r>
        <w:t xml:space="preserve"> treatment with ERT</w:t>
      </w:r>
      <w:r w:rsidR="00A83098">
        <w:t xml:space="preserve"> than</w:t>
      </w:r>
      <w:r w:rsidR="003E1887">
        <w:t xml:space="preserve"> </w:t>
      </w:r>
      <w:r w:rsidR="00A83098">
        <w:t xml:space="preserve">following </w:t>
      </w:r>
      <w:r w:rsidR="0036714B">
        <w:t xml:space="preserve">a diagnosis after </w:t>
      </w:r>
      <w:r w:rsidR="00A83098">
        <w:t>symptomatic presentation</w:t>
      </w:r>
      <w:r>
        <w:t>.</w:t>
      </w:r>
    </w:p>
    <w:p w14:paraId="703141D4" w14:textId="657E1C83" w:rsidR="00F22028" w:rsidRPr="00CE28E3" w:rsidRDefault="00F22028" w:rsidP="00F22028">
      <w:r w:rsidRPr="02E2EE7D">
        <w:t xml:space="preserve">The use of NBS for LOGSD II resulted in potentially superior effectiveness compared with no NBS (due to avoidance of the diagnostic </w:t>
      </w:r>
      <w:r w:rsidR="00F858A6">
        <w:t>delay</w:t>
      </w:r>
      <w:r w:rsidRPr="02E2EE7D">
        <w:t xml:space="preserve"> and uncertain but possible benefits of earl</w:t>
      </w:r>
      <w:r w:rsidR="00A83098" w:rsidRPr="02E2EE7D">
        <w:t>ier</w:t>
      </w:r>
      <w:r w:rsidRPr="02E2EE7D">
        <w:t xml:space="preserve"> ERT). However, the use of NBS for LOGSD II has potentially inferior safety compared to no NBS (due to the psychological impact of creating patients-in-waiting</w:t>
      </w:r>
      <w:r w:rsidR="0036714B" w:rsidRPr="02E2EE7D">
        <w:t xml:space="preserve">, and </w:t>
      </w:r>
      <w:r w:rsidR="00BF199C" w:rsidRPr="02E2EE7D">
        <w:t xml:space="preserve">potential </w:t>
      </w:r>
      <w:r w:rsidR="0036714B" w:rsidRPr="02E2EE7D">
        <w:t>harms following earlier commencement of ERT</w:t>
      </w:r>
      <w:r w:rsidRPr="02E2EE7D">
        <w:t>).</w:t>
      </w:r>
    </w:p>
    <w:p w14:paraId="2CB75BB3" w14:textId="77777777" w:rsidR="00F22028" w:rsidRPr="00CE28E3" w:rsidRDefault="00F22028" w:rsidP="00F22028">
      <w:pPr>
        <w:pStyle w:val="Heading4"/>
      </w:pPr>
      <w:r>
        <w:t>PICO Set 2: Family members</w:t>
      </w:r>
    </w:p>
    <w:p w14:paraId="1145BB45" w14:textId="69CC34BA" w:rsidR="00F22028" w:rsidRPr="00CE28E3" w:rsidRDefault="00E03F98" w:rsidP="00F22028">
      <w:r w:rsidRPr="02E2EE7D">
        <w:t xml:space="preserve">Based on logic and a limited evidence base, </w:t>
      </w:r>
      <w:r w:rsidR="00F22028" w:rsidRPr="02E2EE7D">
        <w:t xml:space="preserve">testing </w:t>
      </w:r>
      <w:r w:rsidR="003D76A3">
        <w:t xml:space="preserve">of family members </w:t>
      </w:r>
      <w:r w:rsidR="00F22028" w:rsidRPr="02E2EE7D">
        <w:t>after NBS (when the</w:t>
      </w:r>
      <w:r w:rsidR="003E1887" w:rsidRPr="02E2EE7D">
        <w:t xml:space="preserve"> index cases or probands</w:t>
      </w:r>
      <w:r w:rsidR="00F22028" w:rsidRPr="02E2EE7D">
        <w:t xml:space="preserve"> ha</w:t>
      </w:r>
      <w:r w:rsidR="003E1887" w:rsidRPr="02E2EE7D">
        <w:t>ve</w:t>
      </w:r>
      <w:r w:rsidR="00F22028" w:rsidRPr="02E2EE7D">
        <w:t xml:space="preserve"> IOGSD II) likely results in non-inferior safety and effectiveness compared to testing </w:t>
      </w:r>
      <w:r w:rsidR="00E474C0">
        <w:t xml:space="preserve">of family members </w:t>
      </w:r>
      <w:r w:rsidR="00F22028" w:rsidRPr="02E2EE7D">
        <w:t xml:space="preserve">after clinical diagnosis due to symptom onset. </w:t>
      </w:r>
    </w:p>
    <w:p w14:paraId="59156610" w14:textId="2EA87AB4" w:rsidR="6F9BA009" w:rsidRDefault="00291D69" w:rsidP="02E2EE7D">
      <w:pPr>
        <w:tabs>
          <w:tab w:val="left" w:pos="720"/>
          <w:tab w:val="left" w:pos="1140"/>
        </w:tabs>
        <w:spacing w:before="240" w:after="120"/>
        <w:rPr>
          <w:b/>
          <w:bCs/>
        </w:rPr>
      </w:pPr>
      <w:r>
        <w:t xml:space="preserve">The DCAR considered </w:t>
      </w:r>
      <w:r w:rsidR="00F22028" w:rsidRPr="02E2EE7D">
        <w:t xml:space="preserve">testing </w:t>
      </w:r>
      <w:r w:rsidR="00E474C0">
        <w:t xml:space="preserve">of family members </w:t>
      </w:r>
      <w:r w:rsidR="00F22028" w:rsidRPr="02E2EE7D">
        <w:t xml:space="preserve">after NBS (when the index case has LOGSD II) </w:t>
      </w:r>
      <w:r w:rsidR="52D35647" w:rsidRPr="02E2EE7D">
        <w:t>may</w:t>
      </w:r>
      <w:r w:rsidR="40A102DD" w:rsidRPr="02E2EE7D">
        <w:t xml:space="preserve"> result</w:t>
      </w:r>
      <w:r w:rsidR="00F22028" w:rsidRPr="02E2EE7D">
        <w:t xml:space="preserve"> in superior effectiveness </w:t>
      </w:r>
      <w:r w:rsidR="008A102D" w:rsidRPr="02E2EE7D">
        <w:t xml:space="preserve">and non-inferior safety </w:t>
      </w:r>
      <w:r w:rsidR="00F22028" w:rsidRPr="02E2EE7D">
        <w:t>compared to testing after clinical diagnosis due to symptom onset</w:t>
      </w:r>
      <w:r w:rsidR="004502A3" w:rsidRPr="02E2EE7D">
        <w:t>. For parents,</w:t>
      </w:r>
      <w:r w:rsidR="00F22028" w:rsidRPr="02E2EE7D">
        <w:t xml:space="preserve"> the information is more likely to be gained at a time </w:t>
      </w:r>
      <w:r w:rsidR="00FC22F7" w:rsidRPr="02E2EE7D">
        <w:t>when</w:t>
      </w:r>
      <w:r w:rsidR="00F22028" w:rsidRPr="02E2EE7D">
        <w:t xml:space="preserve"> it may be used for reproductive planning</w:t>
      </w:r>
      <w:r w:rsidR="004502A3" w:rsidRPr="02E2EE7D">
        <w:t xml:space="preserve">. </w:t>
      </w:r>
      <w:r w:rsidR="008A102D" w:rsidRPr="02E2EE7D">
        <w:t>In addition, cascade testing of siblings may allow</w:t>
      </w:r>
      <w:r w:rsidR="00F22028" w:rsidRPr="02E2EE7D">
        <w:t xml:space="preserve"> siblings to </w:t>
      </w:r>
      <w:r w:rsidR="008A102D" w:rsidRPr="02E2EE7D">
        <w:t xml:space="preserve">be monitored and </w:t>
      </w:r>
      <w:r w:rsidR="00F22028" w:rsidRPr="02E2EE7D">
        <w:t>receive earlier ERT</w:t>
      </w:r>
      <w:r w:rsidR="008A102D" w:rsidRPr="02E2EE7D">
        <w:t xml:space="preserve"> </w:t>
      </w:r>
      <w:r w:rsidR="006C29AF" w:rsidRPr="02E2EE7D">
        <w:t>on presentation with signs and/or symptoms of disease.</w:t>
      </w:r>
      <w:r w:rsidR="00F22028" w:rsidRPr="02E2EE7D">
        <w:t xml:space="preserve"> </w:t>
      </w:r>
    </w:p>
    <w:p w14:paraId="0D09C9E4" w14:textId="7E69B5EF" w:rsidR="00772829" w:rsidRDefault="00772829" w:rsidP="00ED5CB7">
      <w:pPr>
        <w:pStyle w:val="Heading2"/>
        <w:numPr>
          <w:ilvl w:val="0"/>
          <w:numId w:val="36"/>
        </w:numPr>
        <w:ind w:hanging="720"/>
      </w:pPr>
      <w:bookmarkStart w:id="45" w:name="_Toc184839281"/>
      <w:r w:rsidRPr="00CE28E3">
        <w:t>Economic evaluation</w:t>
      </w:r>
      <w:bookmarkEnd w:id="45"/>
    </w:p>
    <w:p w14:paraId="20E785C6" w14:textId="10780F6E" w:rsidR="006835D5" w:rsidRDefault="008B1199" w:rsidP="006835D5">
      <w:r w:rsidRPr="02E2EE7D">
        <w:t xml:space="preserve">A cost-effectiveness analysis (estimating cost per diagnosis) and cost consequences analysis were presented to evaluate the addition of GSD II to the NBS </w:t>
      </w:r>
      <w:r w:rsidR="00240073" w:rsidRPr="02E2EE7D">
        <w:t>programs</w:t>
      </w:r>
      <w:r w:rsidRPr="02E2EE7D">
        <w:t xml:space="preserve">. An exploratory cost-utility analysis translated the possible additional benefits of adding GSD II to NBS into upper and lower range estimates of the survival/QALY gains expected in IOGSD II patients, </w:t>
      </w:r>
      <w:proofErr w:type="gramStart"/>
      <w:r w:rsidRPr="02E2EE7D">
        <w:t>and also</w:t>
      </w:r>
      <w:proofErr w:type="gramEnd"/>
      <w:r w:rsidRPr="02E2EE7D">
        <w:t xml:space="preserve"> incorporated the cost</w:t>
      </w:r>
      <w:r w:rsidR="00BF6303" w:rsidRPr="02E2EE7D">
        <w:t>s</w:t>
      </w:r>
      <w:r w:rsidRPr="02E2EE7D">
        <w:t xml:space="preserve"> </w:t>
      </w:r>
      <w:r w:rsidR="00BF6303" w:rsidRPr="02E2EE7D">
        <w:t xml:space="preserve">and disutility associated with unmanaged symptoms during the </w:t>
      </w:r>
      <w:r w:rsidRPr="02E2EE7D">
        <w:t xml:space="preserve">diagnostic </w:t>
      </w:r>
      <w:r w:rsidR="00023A9D">
        <w:t>delay</w:t>
      </w:r>
      <w:r w:rsidR="00023A9D" w:rsidRPr="02E2EE7D">
        <w:t xml:space="preserve"> </w:t>
      </w:r>
      <w:r w:rsidRPr="02E2EE7D">
        <w:t>in LOGSD II patients.</w:t>
      </w:r>
    </w:p>
    <w:p w14:paraId="010D9471" w14:textId="3884F209" w:rsidR="004E5329" w:rsidRDefault="004E5329" w:rsidP="006835D5">
      <w:r w:rsidRPr="02E2EE7D">
        <w:t xml:space="preserve">The clinical evaluation suggested that testing of parents and siblings following NBS is likely to be superior to testing of parents and siblings following symptom onset, however there is no evidence available to demonstrate this. Therefore, a cost consequence analysis was conducted to estimate the costs per couple informed for </w:t>
      </w:r>
      <w:r w:rsidRPr="02E2EE7D">
        <w:rPr>
          <w:i/>
          <w:iCs/>
        </w:rPr>
        <w:t>GAA</w:t>
      </w:r>
      <w:r w:rsidRPr="02E2EE7D">
        <w:t xml:space="preserve"> carrier status associated with testing </w:t>
      </w:r>
      <w:r w:rsidR="00D8363F">
        <w:t xml:space="preserve">of family members </w:t>
      </w:r>
      <w:r w:rsidRPr="02E2EE7D">
        <w:t>per affected newborn.</w:t>
      </w:r>
    </w:p>
    <w:p w14:paraId="2891AE74" w14:textId="478CEFE9" w:rsidR="00370CAB" w:rsidRPr="009A0400" w:rsidRDefault="00370CAB" w:rsidP="00370CAB">
      <w:r>
        <w:t xml:space="preserve">A summary of the key components of the economic evaluation </w:t>
      </w:r>
      <w:r w:rsidR="00A30A02">
        <w:t xml:space="preserve">is </w:t>
      </w:r>
      <w:r>
        <w:t>presented in</w:t>
      </w:r>
      <w:r w:rsidR="005C6850">
        <w:t xml:space="preserve"> </w:t>
      </w:r>
      <w:r w:rsidR="0063013E">
        <w:t>Table 5</w:t>
      </w:r>
      <w:r>
        <w:t>.</w:t>
      </w:r>
    </w:p>
    <w:p w14:paraId="77DE59A0" w14:textId="04DC8821" w:rsidR="00370CAB" w:rsidRDefault="00370CAB" w:rsidP="00370CAB">
      <w:pPr>
        <w:pStyle w:val="Caption"/>
      </w:pPr>
      <w:bookmarkStart w:id="46" w:name="_Ref181823880"/>
      <w:r>
        <w:t xml:space="preserve">Table </w:t>
      </w:r>
      <w:bookmarkEnd w:id="46"/>
      <w:r w:rsidR="0063013E">
        <w:t>5</w:t>
      </w:r>
      <w:r>
        <w:tab/>
      </w:r>
      <w:r w:rsidRPr="00CE28E3">
        <w:t xml:space="preserve">Summary of the economic evaluation </w:t>
      </w:r>
      <w:r>
        <w:t>for NBS for GSD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345"/>
        <w:gridCol w:w="7671"/>
      </w:tblGrid>
      <w:tr w:rsidR="00370CAB" w:rsidRPr="00CE28E3" w14:paraId="7C939B78" w14:textId="77777777" w:rsidTr="00175863">
        <w:trPr>
          <w:tblHeader/>
        </w:trPr>
        <w:tc>
          <w:tcPr>
            <w:tcW w:w="746" w:type="pct"/>
          </w:tcPr>
          <w:p w14:paraId="282145E3" w14:textId="77777777" w:rsidR="00370CAB" w:rsidRPr="000449D1" w:rsidRDefault="00370CAB" w:rsidP="02E2EE7D">
            <w:pPr>
              <w:pStyle w:val="TableHeading"/>
              <w:rPr>
                <w:rFonts w:cs="Courier New"/>
              </w:rPr>
            </w:pPr>
            <w:r w:rsidRPr="02E2EE7D">
              <w:rPr>
                <w:rFonts w:cs="Courier New"/>
              </w:rPr>
              <w:t>Component</w:t>
            </w:r>
          </w:p>
        </w:tc>
        <w:tc>
          <w:tcPr>
            <w:tcW w:w="4254" w:type="pct"/>
          </w:tcPr>
          <w:p w14:paraId="1F82EB8F" w14:textId="77777777" w:rsidR="00370CAB" w:rsidRPr="000449D1" w:rsidRDefault="00370CAB" w:rsidP="00EC15A4">
            <w:pPr>
              <w:pStyle w:val="TableHeading"/>
              <w:rPr>
                <w:rFonts w:cs="Courier New"/>
                <w:szCs w:val="20"/>
              </w:rPr>
            </w:pPr>
            <w:r w:rsidRPr="000449D1">
              <w:rPr>
                <w:rFonts w:cs="Courier New"/>
                <w:szCs w:val="20"/>
              </w:rPr>
              <w:t>Description</w:t>
            </w:r>
          </w:p>
        </w:tc>
      </w:tr>
      <w:tr w:rsidR="00370CAB" w:rsidRPr="000449D1" w14:paraId="1DDADECD" w14:textId="77777777" w:rsidTr="00175863">
        <w:tc>
          <w:tcPr>
            <w:tcW w:w="746" w:type="pct"/>
          </w:tcPr>
          <w:p w14:paraId="45C05895" w14:textId="77777777" w:rsidR="00370CAB" w:rsidRPr="000449D1" w:rsidRDefault="00370CAB" w:rsidP="00EC15A4">
            <w:pPr>
              <w:pStyle w:val="TableText"/>
              <w:rPr>
                <w:rFonts w:cs="Courier New"/>
                <w:szCs w:val="20"/>
              </w:rPr>
            </w:pPr>
            <w:r w:rsidRPr="000449D1">
              <w:rPr>
                <w:rFonts w:cs="Courier New"/>
                <w:szCs w:val="20"/>
              </w:rPr>
              <w:t>Perspective</w:t>
            </w:r>
          </w:p>
        </w:tc>
        <w:tc>
          <w:tcPr>
            <w:tcW w:w="4254" w:type="pct"/>
          </w:tcPr>
          <w:p w14:paraId="7F132E0F" w14:textId="77777777" w:rsidR="00370CAB" w:rsidRPr="000449D1" w:rsidRDefault="00370CAB" w:rsidP="00EC15A4">
            <w:pPr>
              <w:pStyle w:val="TableText"/>
              <w:rPr>
                <w:rFonts w:cs="Courier New"/>
                <w:szCs w:val="20"/>
              </w:rPr>
            </w:pPr>
            <w:r>
              <w:rPr>
                <w:rFonts w:cs="Courier New"/>
                <w:szCs w:val="20"/>
              </w:rPr>
              <w:t>Australian</w:t>
            </w:r>
            <w:r w:rsidRPr="000449D1">
              <w:rPr>
                <w:rFonts w:cs="Courier New"/>
                <w:szCs w:val="20"/>
              </w:rPr>
              <w:t xml:space="preserve"> </w:t>
            </w:r>
            <w:r>
              <w:rPr>
                <w:rFonts w:cs="Courier New"/>
                <w:szCs w:val="20"/>
              </w:rPr>
              <w:t>h</w:t>
            </w:r>
            <w:r w:rsidRPr="000449D1">
              <w:rPr>
                <w:rFonts w:cs="Courier New"/>
                <w:szCs w:val="20"/>
              </w:rPr>
              <w:t>ealth care system perspective</w:t>
            </w:r>
          </w:p>
        </w:tc>
      </w:tr>
      <w:tr w:rsidR="00370CAB" w:rsidRPr="000449D1" w14:paraId="6A4AD5A3" w14:textId="77777777" w:rsidTr="00175863">
        <w:tc>
          <w:tcPr>
            <w:tcW w:w="746" w:type="pct"/>
          </w:tcPr>
          <w:p w14:paraId="70A220EE" w14:textId="77777777" w:rsidR="00370CAB" w:rsidRPr="000449D1" w:rsidRDefault="00370CAB" w:rsidP="00EC15A4">
            <w:pPr>
              <w:pStyle w:val="TableText"/>
              <w:rPr>
                <w:rFonts w:cs="Courier New"/>
                <w:szCs w:val="20"/>
              </w:rPr>
            </w:pPr>
            <w:r w:rsidRPr="000449D1">
              <w:rPr>
                <w:rFonts w:cs="Courier New"/>
                <w:szCs w:val="20"/>
              </w:rPr>
              <w:t>Population</w:t>
            </w:r>
          </w:p>
        </w:tc>
        <w:tc>
          <w:tcPr>
            <w:tcW w:w="4254" w:type="pct"/>
          </w:tcPr>
          <w:p w14:paraId="16D64F16" w14:textId="77777777" w:rsidR="00370CAB" w:rsidRDefault="00370CAB" w:rsidP="02E2EE7D">
            <w:pPr>
              <w:pStyle w:val="TableText"/>
              <w:rPr>
                <w:rFonts w:cs="Courier New"/>
              </w:rPr>
            </w:pPr>
            <w:r w:rsidRPr="02E2EE7D">
              <w:rPr>
                <w:rFonts w:cs="Courier New"/>
                <w:u w:val="single"/>
              </w:rPr>
              <w:t>PICO Set 1:</w:t>
            </w:r>
            <w:r w:rsidRPr="02E2EE7D">
              <w:rPr>
                <w:rFonts w:cs="Courier New"/>
              </w:rPr>
              <w:t xml:space="preserve"> All newborns participating in NBS programs</w:t>
            </w:r>
          </w:p>
          <w:p w14:paraId="36A4C5F3" w14:textId="77777777" w:rsidR="00370CAB" w:rsidRPr="009F5B8B" w:rsidRDefault="00370CAB" w:rsidP="00EC15A4">
            <w:pPr>
              <w:pStyle w:val="TableText"/>
              <w:rPr>
                <w:rFonts w:cs="Courier New"/>
                <w:szCs w:val="20"/>
              </w:rPr>
            </w:pPr>
            <w:r w:rsidRPr="004744F4">
              <w:rPr>
                <w:rFonts w:cs="Courier New"/>
                <w:szCs w:val="20"/>
                <w:u w:val="single"/>
              </w:rPr>
              <w:t>PICO Set 2:</w:t>
            </w:r>
            <w:r>
              <w:rPr>
                <w:rFonts w:cs="Courier New"/>
                <w:szCs w:val="20"/>
              </w:rPr>
              <w:t xml:space="preserve"> Family members of the cases diagnosed with GSD II</w:t>
            </w:r>
          </w:p>
        </w:tc>
      </w:tr>
      <w:tr w:rsidR="00370CAB" w:rsidRPr="000449D1" w14:paraId="2C551E20" w14:textId="77777777" w:rsidTr="00175863">
        <w:tc>
          <w:tcPr>
            <w:tcW w:w="746" w:type="pct"/>
          </w:tcPr>
          <w:p w14:paraId="53F2D0AA" w14:textId="77777777" w:rsidR="00370CAB" w:rsidRPr="000449D1" w:rsidRDefault="00370CAB" w:rsidP="00EC15A4">
            <w:pPr>
              <w:pStyle w:val="TableText"/>
              <w:rPr>
                <w:rFonts w:cs="Courier New"/>
                <w:szCs w:val="20"/>
              </w:rPr>
            </w:pPr>
            <w:r w:rsidRPr="000449D1">
              <w:rPr>
                <w:rFonts w:cs="Courier New"/>
                <w:szCs w:val="20"/>
              </w:rPr>
              <w:t>Comparator</w:t>
            </w:r>
          </w:p>
        </w:tc>
        <w:tc>
          <w:tcPr>
            <w:tcW w:w="4254" w:type="pct"/>
          </w:tcPr>
          <w:p w14:paraId="253BECAA" w14:textId="77777777" w:rsidR="00370CAB" w:rsidRDefault="00370CAB" w:rsidP="00EC15A4">
            <w:pPr>
              <w:pStyle w:val="TableText"/>
              <w:rPr>
                <w:rFonts w:cs="Courier New"/>
                <w:szCs w:val="20"/>
              </w:rPr>
            </w:pPr>
            <w:r w:rsidRPr="00E51864">
              <w:rPr>
                <w:rFonts w:cs="Courier New"/>
                <w:szCs w:val="20"/>
              </w:rPr>
              <w:t>Current practice</w:t>
            </w:r>
          </w:p>
          <w:p w14:paraId="06F3069C" w14:textId="77777777" w:rsidR="00370CAB" w:rsidRDefault="00370CAB" w:rsidP="00EC15A4">
            <w:pPr>
              <w:pStyle w:val="TableText"/>
              <w:rPr>
                <w:rFonts w:cs="Courier New"/>
                <w:szCs w:val="20"/>
              </w:rPr>
            </w:pPr>
            <w:r w:rsidRPr="004744F4">
              <w:rPr>
                <w:rFonts w:cs="Courier New"/>
                <w:szCs w:val="20"/>
                <w:u w:val="single"/>
              </w:rPr>
              <w:t>PICO Set 1</w:t>
            </w:r>
            <w:r>
              <w:rPr>
                <w:rFonts w:cs="Courier New"/>
                <w:szCs w:val="20"/>
              </w:rPr>
              <w:t>:</w:t>
            </w:r>
            <w:r w:rsidRPr="00E51864">
              <w:rPr>
                <w:rFonts w:cs="Courier New"/>
                <w:szCs w:val="20"/>
              </w:rPr>
              <w:t xml:space="preserve"> Diagnostic testing for </w:t>
            </w:r>
            <w:r>
              <w:rPr>
                <w:rFonts w:cs="Courier New"/>
                <w:szCs w:val="20"/>
              </w:rPr>
              <w:t>GSD II</w:t>
            </w:r>
            <w:r w:rsidRPr="00E51864">
              <w:rPr>
                <w:rFonts w:cs="Courier New"/>
                <w:szCs w:val="20"/>
              </w:rPr>
              <w:t xml:space="preserve"> at the point of onset of phenotypic signs and symptoms; no universal newborn screening</w:t>
            </w:r>
            <w:r>
              <w:rPr>
                <w:rFonts w:cs="Courier New"/>
                <w:szCs w:val="20"/>
              </w:rPr>
              <w:t xml:space="preserve"> for this disease</w:t>
            </w:r>
            <w:r w:rsidRPr="00E51864">
              <w:rPr>
                <w:rFonts w:cs="Courier New"/>
                <w:szCs w:val="20"/>
              </w:rPr>
              <w:t>.</w:t>
            </w:r>
          </w:p>
          <w:p w14:paraId="345141C6" w14:textId="7B81D65A" w:rsidR="00370CAB" w:rsidRPr="000449D1" w:rsidRDefault="00370CAB" w:rsidP="00EC15A4">
            <w:pPr>
              <w:pStyle w:val="TableText"/>
              <w:rPr>
                <w:rFonts w:cs="Courier New"/>
                <w:szCs w:val="20"/>
              </w:rPr>
            </w:pPr>
            <w:r w:rsidRPr="004744F4">
              <w:rPr>
                <w:rFonts w:cs="Courier New"/>
                <w:szCs w:val="20"/>
                <w:u w:val="single"/>
              </w:rPr>
              <w:t>PICO Set 2</w:t>
            </w:r>
            <w:r>
              <w:rPr>
                <w:rFonts w:cs="Courier New"/>
                <w:szCs w:val="20"/>
              </w:rPr>
              <w:t xml:space="preserve">: </w:t>
            </w:r>
            <w:r w:rsidR="00023A9D">
              <w:rPr>
                <w:rFonts w:cs="Courier New"/>
                <w:szCs w:val="20"/>
              </w:rPr>
              <w:t>T</w:t>
            </w:r>
            <w:r>
              <w:rPr>
                <w:rFonts w:cs="Courier New"/>
                <w:szCs w:val="20"/>
              </w:rPr>
              <w:t xml:space="preserve">esting </w:t>
            </w:r>
            <w:r w:rsidR="00E122A8">
              <w:rPr>
                <w:rFonts w:cs="Courier New"/>
                <w:szCs w:val="20"/>
              </w:rPr>
              <w:t xml:space="preserve">of </w:t>
            </w:r>
            <w:r>
              <w:rPr>
                <w:rFonts w:cs="Courier New"/>
                <w:szCs w:val="20"/>
              </w:rPr>
              <w:t xml:space="preserve">family members after the clinical identification of </w:t>
            </w:r>
            <w:r w:rsidR="00A30A02">
              <w:rPr>
                <w:rFonts w:cs="Courier New"/>
                <w:szCs w:val="20"/>
              </w:rPr>
              <w:t>probands</w:t>
            </w:r>
          </w:p>
        </w:tc>
      </w:tr>
      <w:tr w:rsidR="00370CAB" w:rsidRPr="00BD5AB9" w14:paraId="2AFECBA7" w14:textId="77777777" w:rsidTr="00175863">
        <w:tc>
          <w:tcPr>
            <w:tcW w:w="746" w:type="pct"/>
          </w:tcPr>
          <w:p w14:paraId="58717941" w14:textId="77777777" w:rsidR="00370CAB" w:rsidRPr="00CC664A" w:rsidRDefault="00370CAB" w:rsidP="00EC15A4">
            <w:pPr>
              <w:pStyle w:val="TableText"/>
              <w:rPr>
                <w:rFonts w:cs="Courier New"/>
                <w:szCs w:val="20"/>
              </w:rPr>
            </w:pPr>
            <w:r w:rsidRPr="00CC664A">
              <w:rPr>
                <w:rFonts w:cs="Courier New"/>
                <w:szCs w:val="20"/>
              </w:rPr>
              <w:t>Type(s) of analysis</w:t>
            </w:r>
          </w:p>
        </w:tc>
        <w:tc>
          <w:tcPr>
            <w:tcW w:w="4254" w:type="pct"/>
          </w:tcPr>
          <w:p w14:paraId="1445A555" w14:textId="77777777" w:rsidR="00370CAB" w:rsidRDefault="00370CAB" w:rsidP="00EC15A4">
            <w:pPr>
              <w:pStyle w:val="TableText"/>
              <w:rPr>
                <w:rFonts w:cs="Courier New"/>
                <w:szCs w:val="20"/>
              </w:rPr>
            </w:pPr>
            <w:r w:rsidRPr="004744F4">
              <w:rPr>
                <w:rFonts w:cs="Courier New"/>
                <w:szCs w:val="20"/>
                <w:u w:val="single"/>
              </w:rPr>
              <w:t>PICO Set 1</w:t>
            </w:r>
            <w:r>
              <w:rPr>
                <w:rFonts w:cs="Courier New"/>
                <w:szCs w:val="20"/>
              </w:rPr>
              <w:t xml:space="preserve">: Newborns: </w:t>
            </w:r>
            <w:r w:rsidRPr="00CC664A">
              <w:rPr>
                <w:rFonts w:cs="Courier New"/>
                <w:szCs w:val="20"/>
              </w:rPr>
              <w:t>Cost-effectiveness analysis</w:t>
            </w:r>
            <w:r>
              <w:rPr>
                <w:rFonts w:cs="Courier New"/>
                <w:szCs w:val="20"/>
              </w:rPr>
              <w:t xml:space="preserve"> (CEA)</w:t>
            </w:r>
            <w:r w:rsidRPr="00CC664A">
              <w:rPr>
                <w:rFonts w:cs="Courier New"/>
                <w:szCs w:val="20"/>
              </w:rPr>
              <w:t xml:space="preserve">, </w:t>
            </w:r>
            <w:r>
              <w:rPr>
                <w:rFonts w:cs="Courier New"/>
                <w:szCs w:val="20"/>
              </w:rPr>
              <w:t xml:space="preserve">cost consequences analysis (CCA), </w:t>
            </w:r>
            <w:r w:rsidRPr="00845E39">
              <w:rPr>
                <w:rFonts w:cs="Courier New"/>
                <w:szCs w:val="20"/>
              </w:rPr>
              <w:t>exploratory cost-utility analysis (CUA</w:t>
            </w:r>
            <w:r>
              <w:rPr>
                <w:rFonts w:cs="Courier New"/>
                <w:szCs w:val="20"/>
              </w:rPr>
              <w:t>)</w:t>
            </w:r>
          </w:p>
          <w:p w14:paraId="4EE464E0" w14:textId="3FEC1E78" w:rsidR="00370CAB" w:rsidRPr="00CC664A" w:rsidRDefault="00370CAB" w:rsidP="00EC15A4">
            <w:pPr>
              <w:pStyle w:val="TableText"/>
              <w:rPr>
                <w:rFonts w:cs="Courier New"/>
                <w:szCs w:val="20"/>
              </w:rPr>
            </w:pPr>
            <w:r w:rsidRPr="004744F4">
              <w:rPr>
                <w:rFonts w:cs="Courier New"/>
                <w:szCs w:val="20"/>
                <w:u w:val="single"/>
              </w:rPr>
              <w:t>PICO Set 2:</w:t>
            </w:r>
            <w:r>
              <w:rPr>
                <w:rFonts w:cs="Courier New"/>
                <w:szCs w:val="20"/>
              </w:rPr>
              <w:t xml:space="preserve"> </w:t>
            </w:r>
            <w:r w:rsidR="00023A9D">
              <w:rPr>
                <w:rFonts w:cs="Courier New"/>
                <w:szCs w:val="20"/>
              </w:rPr>
              <w:t>T</w:t>
            </w:r>
            <w:r>
              <w:rPr>
                <w:rFonts w:cs="Courier New"/>
                <w:szCs w:val="20"/>
              </w:rPr>
              <w:t xml:space="preserve">esting: </w:t>
            </w:r>
            <w:r>
              <w:rPr>
                <w:szCs w:val="20"/>
              </w:rPr>
              <w:t>Cost analysis and/or cost consequence</w:t>
            </w:r>
            <w:r w:rsidR="00A30A02">
              <w:rPr>
                <w:szCs w:val="20"/>
              </w:rPr>
              <w:t>s</w:t>
            </w:r>
            <w:r>
              <w:rPr>
                <w:szCs w:val="20"/>
              </w:rPr>
              <w:t xml:space="preserve"> analysis</w:t>
            </w:r>
          </w:p>
        </w:tc>
      </w:tr>
      <w:tr w:rsidR="00370CAB" w:rsidRPr="00BD5AB9" w14:paraId="58F37074" w14:textId="77777777" w:rsidTr="00175863">
        <w:tc>
          <w:tcPr>
            <w:tcW w:w="746" w:type="pct"/>
          </w:tcPr>
          <w:p w14:paraId="0BD79D30" w14:textId="77777777" w:rsidR="00370CAB" w:rsidRPr="00CC664A" w:rsidRDefault="00370CAB" w:rsidP="00EC15A4">
            <w:pPr>
              <w:pStyle w:val="TableText"/>
              <w:rPr>
                <w:rFonts w:cs="Courier New"/>
                <w:szCs w:val="20"/>
              </w:rPr>
            </w:pPr>
            <w:r w:rsidRPr="00CC664A">
              <w:rPr>
                <w:rFonts w:cs="Courier New"/>
                <w:szCs w:val="20"/>
              </w:rPr>
              <w:t>Outcomes</w:t>
            </w:r>
          </w:p>
        </w:tc>
        <w:tc>
          <w:tcPr>
            <w:tcW w:w="4254" w:type="pct"/>
          </w:tcPr>
          <w:p w14:paraId="69B5F3E8" w14:textId="77777777" w:rsidR="00370CAB" w:rsidRDefault="00370CAB" w:rsidP="00EC15A4">
            <w:pPr>
              <w:pStyle w:val="TableText"/>
              <w:rPr>
                <w:rFonts w:cs="Courier New"/>
                <w:szCs w:val="20"/>
              </w:rPr>
            </w:pPr>
            <w:r w:rsidRPr="004744F4">
              <w:rPr>
                <w:rFonts w:cs="Courier New"/>
                <w:szCs w:val="20"/>
                <w:u w:val="single"/>
              </w:rPr>
              <w:t>PICO Set 1:</w:t>
            </w:r>
            <w:r>
              <w:rPr>
                <w:rFonts w:cs="Courier New"/>
                <w:szCs w:val="20"/>
              </w:rPr>
              <w:t xml:space="preserve"> </w:t>
            </w:r>
            <w:r w:rsidRPr="00A85202">
              <w:rPr>
                <w:rFonts w:cs="Courier New"/>
                <w:szCs w:val="20"/>
              </w:rPr>
              <w:t>Newborns:</w:t>
            </w:r>
          </w:p>
          <w:p w14:paraId="045AF156" w14:textId="77777777" w:rsidR="00370CAB" w:rsidRDefault="00370CAB" w:rsidP="0078218A">
            <w:pPr>
              <w:pStyle w:val="TableText"/>
              <w:numPr>
                <w:ilvl w:val="0"/>
                <w:numId w:val="10"/>
              </w:numPr>
              <w:rPr>
                <w:rFonts w:cs="Courier New"/>
                <w:szCs w:val="20"/>
              </w:rPr>
            </w:pPr>
            <w:r w:rsidRPr="005F4D10">
              <w:rPr>
                <w:rFonts w:cs="Courier New"/>
                <w:szCs w:val="20"/>
              </w:rPr>
              <w:t>Direct effect (primary analysis</w:t>
            </w:r>
            <w:r>
              <w:rPr>
                <w:rFonts w:cs="Courier New"/>
                <w:szCs w:val="20"/>
              </w:rPr>
              <w:t xml:space="preserve"> for CEA</w:t>
            </w:r>
            <w:r w:rsidRPr="005F4D10">
              <w:rPr>
                <w:rFonts w:cs="Courier New"/>
                <w:szCs w:val="20"/>
              </w:rPr>
              <w:t>): clinically relevant early diagnoses</w:t>
            </w:r>
          </w:p>
          <w:p w14:paraId="2FE932DB" w14:textId="225E476D" w:rsidR="00370CAB" w:rsidRPr="005F4D10" w:rsidRDefault="00370CAB" w:rsidP="0078218A">
            <w:pPr>
              <w:pStyle w:val="TableText"/>
              <w:numPr>
                <w:ilvl w:val="0"/>
                <w:numId w:val="10"/>
              </w:numPr>
              <w:rPr>
                <w:rFonts w:cs="Courier New"/>
                <w:szCs w:val="20"/>
              </w:rPr>
            </w:pPr>
            <w:r w:rsidRPr="005F4D10">
              <w:rPr>
                <w:rFonts w:cs="Courier New"/>
                <w:szCs w:val="20"/>
              </w:rPr>
              <w:t xml:space="preserve">Associated intermediate health consequences: reduced diagnostic </w:t>
            </w:r>
            <w:r w:rsidR="00F858A6">
              <w:rPr>
                <w:rFonts w:cs="Courier New"/>
                <w:szCs w:val="20"/>
              </w:rPr>
              <w:t>delay</w:t>
            </w:r>
            <w:r w:rsidRPr="005F4D10">
              <w:rPr>
                <w:rFonts w:cs="Courier New"/>
                <w:szCs w:val="20"/>
              </w:rPr>
              <w:t>, faster access to treatment, improved likelihood of treatment effectiveness,</w:t>
            </w:r>
            <w:r>
              <w:rPr>
                <w:rFonts w:cs="Courier New"/>
                <w:szCs w:val="20"/>
              </w:rPr>
              <w:t xml:space="preserve"> improved survival,</w:t>
            </w:r>
            <w:r w:rsidRPr="005F4D10">
              <w:rPr>
                <w:rFonts w:cs="Courier New"/>
                <w:szCs w:val="20"/>
              </w:rPr>
              <w:t xml:space="preserve"> reduced recurrence in families</w:t>
            </w:r>
          </w:p>
          <w:p w14:paraId="2050C165" w14:textId="77777777" w:rsidR="00370CAB" w:rsidRDefault="00370CAB" w:rsidP="0078218A">
            <w:pPr>
              <w:pStyle w:val="TableText"/>
              <w:numPr>
                <w:ilvl w:val="0"/>
                <w:numId w:val="10"/>
              </w:numPr>
              <w:rPr>
                <w:rFonts w:cs="Courier New"/>
                <w:szCs w:val="20"/>
              </w:rPr>
            </w:pPr>
            <w:r w:rsidRPr="005F4D10">
              <w:rPr>
                <w:rFonts w:cs="Courier New"/>
                <w:szCs w:val="20"/>
              </w:rPr>
              <w:t xml:space="preserve">Exploratory </w:t>
            </w:r>
            <w:r>
              <w:rPr>
                <w:rFonts w:cs="Courier New"/>
                <w:szCs w:val="20"/>
              </w:rPr>
              <w:t>CUA</w:t>
            </w:r>
            <w:r w:rsidRPr="005F4D10">
              <w:rPr>
                <w:rFonts w:cs="Courier New"/>
                <w:szCs w:val="20"/>
              </w:rPr>
              <w:t>: life year</w:t>
            </w:r>
            <w:r>
              <w:rPr>
                <w:rFonts w:cs="Courier New"/>
                <w:szCs w:val="20"/>
              </w:rPr>
              <w:t>s</w:t>
            </w:r>
            <w:r w:rsidRPr="005F4D10">
              <w:rPr>
                <w:rFonts w:cs="Courier New"/>
                <w:szCs w:val="20"/>
              </w:rPr>
              <w:t xml:space="preserve"> gain</w:t>
            </w:r>
            <w:r>
              <w:rPr>
                <w:rFonts w:cs="Courier New"/>
                <w:szCs w:val="20"/>
              </w:rPr>
              <w:t>ed</w:t>
            </w:r>
            <w:r w:rsidRPr="005F4D10">
              <w:rPr>
                <w:rFonts w:cs="Courier New"/>
                <w:szCs w:val="20"/>
              </w:rPr>
              <w:t>, QALY</w:t>
            </w:r>
            <w:r>
              <w:rPr>
                <w:rFonts w:cs="Courier New"/>
                <w:szCs w:val="20"/>
              </w:rPr>
              <w:t>s</w:t>
            </w:r>
            <w:r w:rsidRPr="005F4D10">
              <w:rPr>
                <w:rFonts w:cs="Courier New"/>
                <w:szCs w:val="20"/>
              </w:rPr>
              <w:t xml:space="preserve"> gain</w:t>
            </w:r>
            <w:r>
              <w:rPr>
                <w:rFonts w:cs="Courier New"/>
                <w:szCs w:val="20"/>
              </w:rPr>
              <w:t>ed</w:t>
            </w:r>
          </w:p>
          <w:p w14:paraId="5517FE41" w14:textId="134C89F2" w:rsidR="00370CAB" w:rsidRDefault="00370CAB" w:rsidP="00EC15A4">
            <w:pPr>
              <w:pStyle w:val="TableText"/>
              <w:rPr>
                <w:szCs w:val="20"/>
              </w:rPr>
            </w:pPr>
            <w:r w:rsidRPr="004744F4">
              <w:rPr>
                <w:rFonts w:cs="Courier New"/>
                <w:szCs w:val="20"/>
                <w:u w:val="single"/>
              </w:rPr>
              <w:t>PICO Set 2</w:t>
            </w:r>
            <w:r>
              <w:rPr>
                <w:rFonts w:cs="Courier New"/>
                <w:szCs w:val="20"/>
              </w:rPr>
              <w:t xml:space="preserve">: </w:t>
            </w:r>
            <w:r w:rsidR="00023A9D">
              <w:rPr>
                <w:szCs w:val="20"/>
              </w:rPr>
              <w:t>T</w:t>
            </w:r>
            <w:r>
              <w:rPr>
                <w:szCs w:val="20"/>
              </w:rPr>
              <w:t>esting</w:t>
            </w:r>
            <w:r w:rsidR="00023A9D">
              <w:rPr>
                <w:szCs w:val="20"/>
              </w:rPr>
              <w:t xml:space="preserve"> of family members</w:t>
            </w:r>
            <w:r>
              <w:rPr>
                <w:szCs w:val="20"/>
              </w:rPr>
              <w:t>:</w:t>
            </w:r>
          </w:p>
          <w:p w14:paraId="1481F728" w14:textId="5F461278" w:rsidR="00370CAB" w:rsidRPr="005F4D10" w:rsidRDefault="00370CAB" w:rsidP="02E2EE7D">
            <w:pPr>
              <w:pStyle w:val="TableText"/>
              <w:numPr>
                <w:ilvl w:val="0"/>
                <w:numId w:val="13"/>
              </w:numPr>
              <w:rPr>
                <w:rFonts w:cs="Courier New"/>
              </w:rPr>
            </w:pPr>
            <w:r w:rsidRPr="02E2EE7D">
              <w:t>Cost of additional testing + qualitative description of health outcomes</w:t>
            </w:r>
          </w:p>
        </w:tc>
      </w:tr>
      <w:tr w:rsidR="00370CAB" w:rsidRPr="00BD5AB9" w14:paraId="487455F7" w14:textId="77777777" w:rsidTr="00175863">
        <w:tc>
          <w:tcPr>
            <w:tcW w:w="746" w:type="pct"/>
          </w:tcPr>
          <w:p w14:paraId="0E2DF174" w14:textId="77777777" w:rsidR="00370CAB" w:rsidRPr="008E207C" w:rsidRDefault="00370CAB" w:rsidP="00EC15A4">
            <w:pPr>
              <w:pStyle w:val="TableText"/>
              <w:rPr>
                <w:rFonts w:cs="Courier New"/>
                <w:szCs w:val="20"/>
              </w:rPr>
            </w:pPr>
            <w:r w:rsidRPr="008E207C">
              <w:rPr>
                <w:rFonts w:cs="Courier New"/>
                <w:szCs w:val="20"/>
              </w:rPr>
              <w:t>Time horizon</w:t>
            </w:r>
          </w:p>
        </w:tc>
        <w:tc>
          <w:tcPr>
            <w:tcW w:w="4254" w:type="pct"/>
          </w:tcPr>
          <w:p w14:paraId="1394A46B" w14:textId="77777777" w:rsidR="00370CAB" w:rsidRPr="008E207C" w:rsidRDefault="00370CAB" w:rsidP="00EC15A4">
            <w:pPr>
              <w:pStyle w:val="TableText"/>
              <w:rPr>
                <w:rFonts w:cs="Courier New"/>
                <w:szCs w:val="20"/>
              </w:rPr>
            </w:pPr>
            <w:r w:rsidRPr="008E207C">
              <w:rPr>
                <w:rFonts w:cs="Courier New"/>
                <w:szCs w:val="20"/>
              </w:rPr>
              <w:t>50 years</w:t>
            </w:r>
          </w:p>
        </w:tc>
      </w:tr>
      <w:tr w:rsidR="00370CAB" w:rsidRPr="00BD5AB9" w14:paraId="77EAB8B8" w14:textId="77777777" w:rsidTr="00175863">
        <w:tc>
          <w:tcPr>
            <w:tcW w:w="746" w:type="pct"/>
          </w:tcPr>
          <w:p w14:paraId="3212CE4E" w14:textId="77777777" w:rsidR="00370CAB" w:rsidRPr="00CC664A" w:rsidRDefault="00370CAB" w:rsidP="00EC15A4">
            <w:pPr>
              <w:pStyle w:val="TableText"/>
              <w:rPr>
                <w:rFonts w:cs="Courier New"/>
                <w:szCs w:val="20"/>
              </w:rPr>
            </w:pPr>
            <w:r w:rsidRPr="00CC664A">
              <w:rPr>
                <w:rFonts w:cs="Courier New"/>
                <w:szCs w:val="20"/>
              </w:rPr>
              <w:t>Computational method</w:t>
            </w:r>
          </w:p>
        </w:tc>
        <w:tc>
          <w:tcPr>
            <w:tcW w:w="4254" w:type="pct"/>
          </w:tcPr>
          <w:p w14:paraId="16815D8E" w14:textId="77777777" w:rsidR="00370CAB" w:rsidRPr="004744F4" w:rsidRDefault="00370CAB" w:rsidP="00EC15A4">
            <w:pPr>
              <w:pStyle w:val="TableText"/>
              <w:rPr>
                <w:rFonts w:cs="Courier New"/>
                <w:szCs w:val="20"/>
                <w:u w:val="single"/>
              </w:rPr>
            </w:pPr>
            <w:r w:rsidRPr="004744F4">
              <w:rPr>
                <w:rFonts w:cs="Courier New"/>
                <w:szCs w:val="20"/>
                <w:u w:val="single"/>
              </w:rPr>
              <w:t xml:space="preserve">PICO Set 1: </w:t>
            </w:r>
          </w:p>
          <w:p w14:paraId="7BEED48B" w14:textId="77777777" w:rsidR="00370CAB" w:rsidRPr="00CC664A" w:rsidRDefault="00370CAB" w:rsidP="0078218A">
            <w:pPr>
              <w:pStyle w:val="TableText"/>
              <w:numPr>
                <w:ilvl w:val="0"/>
                <w:numId w:val="13"/>
              </w:numPr>
              <w:rPr>
                <w:rFonts w:cs="Courier New"/>
                <w:szCs w:val="20"/>
              </w:rPr>
            </w:pPr>
            <w:r w:rsidRPr="00CC664A">
              <w:rPr>
                <w:rFonts w:cs="Courier New"/>
                <w:szCs w:val="20"/>
              </w:rPr>
              <w:t>Decision tree model for base case analysis</w:t>
            </w:r>
            <w:r>
              <w:rPr>
                <w:rFonts w:cs="Courier New"/>
                <w:szCs w:val="20"/>
              </w:rPr>
              <w:t xml:space="preserve"> and cost-consequences</w:t>
            </w:r>
          </w:p>
          <w:p w14:paraId="145CCF09" w14:textId="77777777" w:rsidR="00370CAB" w:rsidRDefault="00370CAB" w:rsidP="02E2EE7D">
            <w:pPr>
              <w:pStyle w:val="TableText"/>
              <w:numPr>
                <w:ilvl w:val="0"/>
                <w:numId w:val="13"/>
              </w:numPr>
              <w:rPr>
                <w:rFonts w:cs="Courier New"/>
              </w:rPr>
            </w:pPr>
            <w:r w:rsidRPr="02E2EE7D">
              <w:rPr>
                <w:rFonts w:cs="Courier New"/>
              </w:rPr>
              <w:t>Additional partitioned survival model added to the decision tree for the exploratory analysis</w:t>
            </w:r>
          </w:p>
          <w:p w14:paraId="477F4D88" w14:textId="77777777" w:rsidR="00370CAB" w:rsidRPr="004744F4" w:rsidRDefault="00370CAB" w:rsidP="00EC15A4">
            <w:pPr>
              <w:pStyle w:val="TableText"/>
              <w:rPr>
                <w:rFonts w:cs="Courier New"/>
                <w:szCs w:val="20"/>
                <w:u w:val="single"/>
              </w:rPr>
            </w:pPr>
            <w:r w:rsidRPr="004744F4">
              <w:rPr>
                <w:rFonts w:cs="Courier New"/>
                <w:szCs w:val="20"/>
                <w:u w:val="single"/>
              </w:rPr>
              <w:t>PICO Set 2:</w:t>
            </w:r>
          </w:p>
          <w:p w14:paraId="79CE3C42" w14:textId="77777777" w:rsidR="00370CAB" w:rsidRPr="00CC664A" w:rsidRDefault="00370CAB" w:rsidP="0078218A">
            <w:pPr>
              <w:pStyle w:val="TableText"/>
              <w:numPr>
                <w:ilvl w:val="0"/>
                <w:numId w:val="20"/>
              </w:numPr>
              <w:rPr>
                <w:rFonts w:cs="Courier New"/>
                <w:szCs w:val="20"/>
              </w:rPr>
            </w:pPr>
            <w:r>
              <w:rPr>
                <w:szCs w:val="20"/>
              </w:rPr>
              <w:t>Cost analysis and/or cost consequence analysis</w:t>
            </w:r>
          </w:p>
        </w:tc>
      </w:tr>
      <w:tr w:rsidR="00370CAB" w:rsidRPr="00BD5AB9" w14:paraId="45C35F6A" w14:textId="77777777" w:rsidTr="00175863">
        <w:tc>
          <w:tcPr>
            <w:tcW w:w="746" w:type="pct"/>
          </w:tcPr>
          <w:p w14:paraId="02BD57B8" w14:textId="77777777" w:rsidR="00370CAB" w:rsidRPr="00CC664A" w:rsidRDefault="00370CAB" w:rsidP="00EC15A4">
            <w:pPr>
              <w:pStyle w:val="TableText"/>
              <w:rPr>
                <w:rFonts w:cs="Courier New"/>
                <w:szCs w:val="20"/>
              </w:rPr>
            </w:pPr>
            <w:r w:rsidRPr="00CC664A">
              <w:rPr>
                <w:rFonts w:cs="Courier New"/>
                <w:szCs w:val="20"/>
              </w:rPr>
              <w:t>Generation of the base case</w:t>
            </w:r>
          </w:p>
        </w:tc>
        <w:tc>
          <w:tcPr>
            <w:tcW w:w="4254" w:type="pct"/>
          </w:tcPr>
          <w:p w14:paraId="34DADE79" w14:textId="77777777" w:rsidR="00370CAB" w:rsidRDefault="00370CAB" w:rsidP="00EC15A4">
            <w:pPr>
              <w:pStyle w:val="TableText"/>
              <w:rPr>
                <w:rFonts w:cs="Courier New"/>
                <w:szCs w:val="20"/>
              </w:rPr>
            </w:pPr>
            <w:r w:rsidRPr="005C4BD9">
              <w:rPr>
                <w:rFonts w:cs="Courier New"/>
                <w:szCs w:val="20"/>
                <w:u w:val="single"/>
              </w:rPr>
              <w:t>PICO Set 1:</w:t>
            </w:r>
            <w:r>
              <w:rPr>
                <w:rFonts w:cs="Courier New"/>
                <w:szCs w:val="20"/>
              </w:rPr>
              <w:t xml:space="preserve"> </w:t>
            </w:r>
            <w:r w:rsidRPr="001D34C7">
              <w:rPr>
                <w:rFonts w:cs="Courier New"/>
                <w:szCs w:val="20"/>
              </w:rPr>
              <w:t>Modelled stepped analysis, incorporating aspects of the</w:t>
            </w:r>
            <w:r>
              <w:rPr>
                <w:rFonts w:cs="Courier New"/>
                <w:szCs w:val="20"/>
              </w:rPr>
              <w:t xml:space="preserve"> direct and</w:t>
            </w:r>
            <w:r w:rsidRPr="001D34C7">
              <w:rPr>
                <w:rFonts w:cs="Courier New"/>
                <w:szCs w:val="20"/>
              </w:rPr>
              <w:t xml:space="preserve"> linked evidence and other key model assumptions </w:t>
            </w:r>
            <w:r>
              <w:rPr>
                <w:rFonts w:cs="Courier New"/>
                <w:szCs w:val="20"/>
              </w:rPr>
              <w:t>sequentially</w:t>
            </w:r>
            <w:r w:rsidRPr="001D34C7">
              <w:rPr>
                <w:rFonts w:cs="Courier New"/>
                <w:szCs w:val="20"/>
              </w:rPr>
              <w:t>.</w:t>
            </w:r>
            <w:r w:rsidRPr="00FF3FA7">
              <w:rPr>
                <w:rFonts w:cs="Courier New"/>
                <w:szCs w:val="20"/>
              </w:rPr>
              <w:t xml:space="preserve"> </w:t>
            </w:r>
          </w:p>
          <w:p w14:paraId="4B959D61" w14:textId="77777777" w:rsidR="00370CAB" w:rsidRPr="00CC664A" w:rsidRDefault="00370CAB" w:rsidP="00EC15A4">
            <w:pPr>
              <w:pStyle w:val="TableText"/>
              <w:rPr>
                <w:rFonts w:cs="Courier New"/>
                <w:szCs w:val="20"/>
              </w:rPr>
            </w:pPr>
            <w:r w:rsidRPr="005C4BD9">
              <w:rPr>
                <w:rFonts w:cs="Courier New"/>
                <w:szCs w:val="20"/>
                <w:u w:val="single"/>
              </w:rPr>
              <w:t>PICO Set 2:</w:t>
            </w:r>
            <w:r>
              <w:rPr>
                <w:rFonts w:cs="Courier New"/>
                <w:szCs w:val="20"/>
              </w:rPr>
              <w:t xml:space="preserve"> </w:t>
            </w:r>
            <w:r>
              <w:rPr>
                <w:szCs w:val="20"/>
              </w:rPr>
              <w:t>Cost consequence analysis added to the PICO Set 1 model</w:t>
            </w:r>
          </w:p>
        </w:tc>
      </w:tr>
      <w:tr w:rsidR="00370CAB" w:rsidRPr="00BD5AB9" w14:paraId="41AD69AA" w14:textId="77777777" w:rsidTr="00175863">
        <w:tc>
          <w:tcPr>
            <w:tcW w:w="746" w:type="pct"/>
          </w:tcPr>
          <w:p w14:paraId="733042CA" w14:textId="77777777" w:rsidR="00370CAB" w:rsidRPr="00CC664A" w:rsidRDefault="00370CAB" w:rsidP="00EC15A4">
            <w:pPr>
              <w:pStyle w:val="TableText"/>
              <w:rPr>
                <w:rFonts w:cs="Courier New"/>
                <w:szCs w:val="20"/>
              </w:rPr>
            </w:pPr>
            <w:r w:rsidRPr="00CC664A">
              <w:rPr>
                <w:rFonts w:cs="Courier New"/>
                <w:szCs w:val="20"/>
              </w:rPr>
              <w:t>Health states</w:t>
            </w:r>
          </w:p>
        </w:tc>
        <w:tc>
          <w:tcPr>
            <w:tcW w:w="4254" w:type="pct"/>
          </w:tcPr>
          <w:p w14:paraId="1D7F450F" w14:textId="1E3F5F36" w:rsidR="00370CAB" w:rsidRDefault="00370CAB" w:rsidP="02E2EE7D">
            <w:pPr>
              <w:pStyle w:val="TableText"/>
              <w:rPr>
                <w:rFonts w:cs="Courier New"/>
              </w:rPr>
            </w:pPr>
            <w:proofErr w:type="gramStart"/>
            <w:r w:rsidRPr="02E2EE7D">
              <w:rPr>
                <w:rFonts w:cs="Courier New"/>
              </w:rPr>
              <w:t>None relevant</w:t>
            </w:r>
            <w:proofErr w:type="gramEnd"/>
            <w:r w:rsidRPr="02E2EE7D">
              <w:rPr>
                <w:rFonts w:cs="Courier New"/>
              </w:rPr>
              <w:t xml:space="preserve"> for the base case CEA, CCA and testing</w:t>
            </w:r>
            <w:r w:rsidR="00D8363F">
              <w:rPr>
                <w:rFonts w:cs="Courier New"/>
              </w:rPr>
              <w:t xml:space="preserve"> of family members</w:t>
            </w:r>
          </w:p>
          <w:p w14:paraId="368905B9" w14:textId="77777777" w:rsidR="00370CAB" w:rsidRPr="004E5329" w:rsidRDefault="00370CAB" w:rsidP="00EC15A4">
            <w:pPr>
              <w:pStyle w:val="TableText"/>
              <w:rPr>
                <w:rFonts w:cs="Courier New"/>
                <w:szCs w:val="20"/>
              </w:rPr>
            </w:pPr>
            <w:r>
              <w:rPr>
                <w:rFonts w:cs="Courier New"/>
                <w:szCs w:val="20"/>
              </w:rPr>
              <w:t>Exploratory CUA: IOGSD II:</w:t>
            </w:r>
            <w:r w:rsidRPr="005336CE">
              <w:rPr>
                <w:rFonts w:cs="Courier New"/>
                <w:szCs w:val="20"/>
              </w:rPr>
              <w:t xml:space="preserve"> mild symptoms, severe symptoms, and dead</w:t>
            </w:r>
          </w:p>
        </w:tc>
      </w:tr>
      <w:tr w:rsidR="00370CAB" w:rsidRPr="00BD5AB9" w14:paraId="11F90F0C" w14:textId="77777777" w:rsidTr="00175863">
        <w:tc>
          <w:tcPr>
            <w:tcW w:w="746" w:type="pct"/>
          </w:tcPr>
          <w:p w14:paraId="34BB8855" w14:textId="77777777" w:rsidR="00370CAB" w:rsidRPr="00CC664A" w:rsidRDefault="00370CAB" w:rsidP="00EC15A4">
            <w:pPr>
              <w:pStyle w:val="TableText"/>
              <w:rPr>
                <w:rFonts w:cs="Courier New"/>
                <w:szCs w:val="20"/>
              </w:rPr>
            </w:pPr>
            <w:r w:rsidRPr="00CC664A">
              <w:rPr>
                <w:rFonts w:cs="Courier New"/>
                <w:szCs w:val="20"/>
              </w:rPr>
              <w:t>Cycle length</w:t>
            </w:r>
          </w:p>
        </w:tc>
        <w:tc>
          <w:tcPr>
            <w:tcW w:w="4254" w:type="pct"/>
          </w:tcPr>
          <w:p w14:paraId="1969FC19" w14:textId="0C75CD5F" w:rsidR="00370CAB" w:rsidRPr="00420C81" w:rsidRDefault="00370CAB" w:rsidP="00EC15A4">
            <w:pPr>
              <w:pStyle w:val="TableText"/>
              <w:rPr>
                <w:rFonts w:cs="Courier New"/>
                <w:szCs w:val="20"/>
                <w:highlight w:val="cyan"/>
              </w:rPr>
            </w:pPr>
            <w:r w:rsidRPr="004C1FA8">
              <w:rPr>
                <w:rFonts w:cs="Courier New"/>
                <w:szCs w:val="20"/>
              </w:rPr>
              <w:t>One year</w:t>
            </w:r>
            <w:r w:rsidR="002851CF">
              <w:rPr>
                <w:rFonts w:cs="Courier New"/>
                <w:szCs w:val="20"/>
              </w:rPr>
              <w:t xml:space="preserve"> in base case analysis and one month in exploratory analysis</w:t>
            </w:r>
          </w:p>
        </w:tc>
      </w:tr>
      <w:tr w:rsidR="00370CAB" w:rsidRPr="000449D1" w14:paraId="4F204117" w14:textId="77777777" w:rsidTr="02E2EE7D">
        <w:tc>
          <w:tcPr>
            <w:tcW w:w="746" w:type="pct"/>
          </w:tcPr>
          <w:p w14:paraId="1AC2E92C" w14:textId="77777777" w:rsidR="00370CAB" w:rsidRPr="004C1FA8" w:rsidRDefault="00370CAB" w:rsidP="00EC15A4">
            <w:pPr>
              <w:pStyle w:val="TableText"/>
              <w:rPr>
                <w:rFonts w:cs="Courier New"/>
                <w:szCs w:val="20"/>
              </w:rPr>
            </w:pPr>
            <w:r w:rsidRPr="004C1FA8">
              <w:rPr>
                <w:rFonts w:cs="Courier New"/>
                <w:szCs w:val="20"/>
              </w:rPr>
              <w:t>Transition probabilities</w:t>
            </w:r>
          </w:p>
        </w:tc>
        <w:tc>
          <w:tcPr>
            <w:tcW w:w="4254" w:type="pct"/>
          </w:tcPr>
          <w:p w14:paraId="4277FE19" w14:textId="77777777" w:rsidR="00370CAB" w:rsidRPr="004C1FA8" w:rsidRDefault="00370CAB" w:rsidP="00EC15A4">
            <w:pPr>
              <w:pStyle w:val="TableText"/>
              <w:rPr>
                <w:rFonts w:cs="Courier New"/>
                <w:szCs w:val="20"/>
                <w:u w:val="single"/>
              </w:rPr>
            </w:pPr>
            <w:r w:rsidRPr="004C1FA8">
              <w:rPr>
                <w:rFonts w:cs="Courier New"/>
                <w:szCs w:val="20"/>
                <w:u w:val="single"/>
              </w:rPr>
              <w:t xml:space="preserve">PICO Set 1: </w:t>
            </w:r>
          </w:p>
          <w:p w14:paraId="105BD901" w14:textId="77777777" w:rsidR="00370CAB" w:rsidRPr="004C1FA8" w:rsidRDefault="00370CAB" w:rsidP="00EC15A4">
            <w:pPr>
              <w:pStyle w:val="TableText"/>
              <w:rPr>
                <w:rFonts w:cs="Courier New"/>
                <w:szCs w:val="20"/>
                <w:u w:val="single"/>
              </w:rPr>
            </w:pPr>
            <w:r w:rsidRPr="004C1FA8">
              <w:rPr>
                <w:rFonts w:cs="Courier New"/>
                <w:szCs w:val="20"/>
                <w:u w:val="single"/>
              </w:rPr>
              <w:t>All analyses:</w:t>
            </w:r>
          </w:p>
          <w:p w14:paraId="2EA0BFA0" w14:textId="1317636D" w:rsidR="00370CAB" w:rsidRPr="004C1FA8" w:rsidRDefault="00370CAB" w:rsidP="0078218A">
            <w:pPr>
              <w:pStyle w:val="TableText"/>
              <w:numPr>
                <w:ilvl w:val="0"/>
                <w:numId w:val="12"/>
              </w:numPr>
              <w:rPr>
                <w:rFonts w:cs="Courier New"/>
                <w:szCs w:val="20"/>
              </w:rPr>
            </w:pPr>
            <w:r w:rsidRPr="004C1FA8">
              <w:rPr>
                <w:rFonts w:cs="Courier New"/>
                <w:szCs w:val="20"/>
              </w:rPr>
              <w:t xml:space="preserve">Prevalence of GSD II and subtypes: in the absence of NBS based on the </w:t>
            </w:r>
            <w:r>
              <w:rPr>
                <w:rFonts w:cs="Courier New"/>
                <w:szCs w:val="20"/>
              </w:rPr>
              <w:t>Australian study</w:t>
            </w:r>
            <w:r w:rsidR="0028154D">
              <w:rPr>
                <w:rFonts w:cs="Courier New"/>
                <w:szCs w:val="20"/>
              </w:rPr>
              <w:t xml:space="preserve"> </w:t>
            </w:r>
            <w:r w:rsidR="0028154D" w:rsidRPr="0028154D">
              <w:rPr>
                <w:rFonts w:cs="Courier New"/>
                <w:szCs w:val="20"/>
                <w:vertAlign w:val="superscript"/>
              </w:rPr>
              <w:fldChar w:fldCharType="begin"/>
            </w:r>
            <w:r w:rsidR="0028154D" w:rsidRPr="0028154D">
              <w:rPr>
                <w:rFonts w:cs="Courier New"/>
                <w:szCs w:val="20"/>
                <w:vertAlign w:val="superscript"/>
              </w:rPr>
              <w:instrText xml:space="preserve"> NOTEREF _Ref208328945 \h </w:instrText>
            </w:r>
            <w:r w:rsidR="0028154D" w:rsidRPr="0028154D">
              <w:rPr>
                <w:rFonts w:cs="Courier New"/>
                <w:szCs w:val="20"/>
                <w:vertAlign w:val="superscript"/>
              </w:rPr>
            </w:r>
            <w:r w:rsidR="0028154D">
              <w:rPr>
                <w:rFonts w:cs="Courier New"/>
                <w:szCs w:val="20"/>
                <w:vertAlign w:val="superscript"/>
              </w:rPr>
              <w:instrText xml:space="preserve"> \* MERGEFORMAT </w:instrText>
            </w:r>
            <w:r w:rsidR="0028154D" w:rsidRPr="0028154D">
              <w:rPr>
                <w:rFonts w:cs="Courier New"/>
                <w:szCs w:val="20"/>
                <w:vertAlign w:val="superscript"/>
              </w:rPr>
              <w:fldChar w:fldCharType="separate"/>
            </w:r>
            <w:r w:rsidR="0028154D" w:rsidRPr="0028154D">
              <w:rPr>
                <w:rFonts w:cs="Courier New"/>
                <w:szCs w:val="20"/>
                <w:vertAlign w:val="superscript"/>
              </w:rPr>
              <w:t>4</w:t>
            </w:r>
            <w:r w:rsidR="0028154D" w:rsidRPr="0028154D">
              <w:rPr>
                <w:rFonts w:cs="Courier New"/>
                <w:szCs w:val="20"/>
                <w:vertAlign w:val="superscript"/>
              </w:rPr>
              <w:fldChar w:fldCharType="end"/>
            </w:r>
            <w:r w:rsidR="009B7985" w:rsidRPr="0028154D">
              <w:rPr>
                <w:rFonts w:cs="Courier New"/>
                <w:szCs w:val="20"/>
                <w:vertAlign w:val="superscript"/>
              </w:rPr>
              <w:t>(</w:t>
            </w:r>
            <w:r w:rsidR="009B7985" w:rsidRPr="00F076FA">
              <w:rPr>
                <w:rFonts w:cs="Courier New"/>
                <w:szCs w:val="20"/>
              </w:rPr>
              <w:t>Chin and Fuller 2022)</w:t>
            </w:r>
            <w:r>
              <w:rPr>
                <w:rFonts w:cs="Courier New"/>
                <w:szCs w:val="20"/>
              </w:rPr>
              <w:t xml:space="preserve"> and LSDP registry data</w:t>
            </w:r>
            <w:r w:rsidRPr="004C1FA8">
              <w:rPr>
                <w:rFonts w:cs="Courier New"/>
                <w:szCs w:val="20"/>
              </w:rPr>
              <w:t xml:space="preserve">. </w:t>
            </w:r>
            <w:r>
              <w:rPr>
                <w:rFonts w:cs="Courier New"/>
                <w:szCs w:val="20"/>
              </w:rPr>
              <w:t>P</w:t>
            </w:r>
            <w:r w:rsidRPr="004C1FA8">
              <w:rPr>
                <w:rFonts w:cs="Courier New"/>
                <w:szCs w:val="20"/>
              </w:rPr>
              <w:t xml:space="preserve">ost NBS based on </w:t>
            </w:r>
            <w:r>
              <w:rPr>
                <w:rFonts w:cs="Courier New"/>
                <w:szCs w:val="20"/>
              </w:rPr>
              <w:t xml:space="preserve">proportional increase in </w:t>
            </w:r>
            <w:r w:rsidRPr="004C1FA8">
              <w:rPr>
                <w:rFonts w:cs="Courier New"/>
                <w:szCs w:val="20"/>
              </w:rPr>
              <w:t xml:space="preserve">prevalence of GSD II </w:t>
            </w:r>
            <w:r>
              <w:rPr>
                <w:rFonts w:cs="Courier New"/>
                <w:szCs w:val="20"/>
              </w:rPr>
              <w:t xml:space="preserve">post-NBS </w:t>
            </w:r>
            <w:r w:rsidRPr="004C1FA8">
              <w:rPr>
                <w:rFonts w:cs="Courier New"/>
                <w:szCs w:val="20"/>
              </w:rPr>
              <w:t xml:space="preserve">in </w:t>
            </w:r>
            <w:r>
              <w:rPr>
                <w:rFonts w:cs="Courier New"/>
                <w:szCs w:val="20"/>
              </w:rPr>
              <w:t>California NBS study</w:t>
            </w:r>
            <w:r w:rsidR="002E6BCB">
              <w:rPr>
                <w:rFonts w:cs="Courier New"/>
                <w:szCs w:val="20"/>
              </w:rPr>
              <w:fldChar w:fldCharType="begin"/>
            </w:r>
            <w:r w:rsidR="002E6BCB">
              <w:rPr>
                <w:rFonts w:cs="Courier New"/>
                <w:szCs w:val="20"/>
              </w:rPr>
              <w:instrText xml:space="preserve"> NOTEREF _Ref181038243 \h  \* MERGEFORMAT </w:instrText>
            </w:r>
            <w:r w:rsidR="002E6BCB">
              <w:rPr>
                <w:rFonts w:cs="Courier New"/>
                <w:szCs w:val="20"/>
              </w:rPr>
            </w:r>
            <w:r w:rsidR="002E6BCB">
              <w:rPr>
                <w:rFonts w:cs="Courier New"/>
                <w:szCs w:val="20"/>
              </w:rPr>
              <w:fldChar w:fldCharType="separate"/>
            </w:r>
            <w:r w:rsidR="00A345A2" w:rsidRPr="00F076FA">
              <w:rPr>
                <w:rFonts w:cs="Courier New"/>
                <w:szCs w:val="20"/>
                <w:vertAlign w:val="superscript"/>
              </w:rPr>
              <w:t>17</w:t>
            </w:r>
            <w:r w:rsidR="002E6BCB">
              <w:rPr>
                <w:rFonts w:cs="Courier New"/>
                <w:szCs w:val="20"/>
              </w:rPr>
              <w:fldChar w:fldCharType="end"/>
            </w:r>
            <w:r w:rsidRPr="004C1FA8">
              <w:rPr>
                <w:rFonts w:cs="Courier New"/>
                <w:szCs w:val="20"/>
              </w:rPr>
              <w:t>.</w:t>
            </w:r>
          </w:p>
          <w:p w14:paraId="67E422CE" w14:textId="6FC5802F" w:rsidR="00370CAB" w:rsidRPr="004C1FA8" w:rsidRDefault="00370CAB" w:rsidP="02E2EE7D">
            <w:pPr>
              <w:pStyle w:val="TableText"/>
              <w:numPr>
                <w:ilvl w:val="0"/>
                <w:numId w:val="12"/>
              </w:numPr>
              <w:rPr>
                <w:rFonts w:cs="Courier New"/>
              </w:rPr>
            </w:pPr>
            <w:r w:rsidRPr="02E2EE7D">
              <w:rPr>
                <w:rFonts w:cs="Courier New"/>
              </w:rPr>
              <w:t xml:space="preserve">Test performance: Performance of </w:t>
            </w:r>
            <w:proofErr w:type="gramStart"/>
            <w:r w:rsidRPr="02E2EE7D">
              <w:rPr>
                <w:rFonts w:cs="Courier New"/>
              </w:rPr>
              <w:t>first-tier</w:t>
            </w:r>
            <w:proofErr w:type="gramEnd"/>
            <w:r w:rsidRPr="02E2EE7D">
              <w:rPr>
                <w:rFonts w:cs="Courier New"/>
              </w:rPr>
              <w:t xml:space="preserve"> and second-tier screening was as per </w:t>
            </w:r>
            <w:r w:rsidR="002869E8">
              <w:rPr>
                <w:rFonts w:cs="Courier New"/>
              </w:rPr>
              <w:t>table below</w:t>
            </w:r>
            <w:r w:rsidRPr="02E2EE7D">
              <w:rPr>
                <w:rFonts w:cs="Courier New"/>
              </w:rPr>
              <w:t>.</w:t>
            </w:r>
          </w:p>
          <w:p w14:paraId="36183631" w14:textId="06D36B83" w:rsidR="00370CAB" w:rsidRPr="004C1FA8" w:rsidRDefault="00370CAB" w:rsidP="02E2EE7D">
            <w:pPr>
              <w:pStyle w:val="TableText"/>
              <w:rPr>
                <w:rFonts w:cs="Courier New"/>
              </w:rPr>
            </w:pPr>
            <w:r w:rsidRPr="02E2EE7D">
              <w:rPr>
                <w:rFonts w:cs="Courier New"/>
                <w:u w:val="single"/>
              </w:rPr>
              <w:t>Exploratory analysis</w:t>
            </w:r>
            <w:r w:rsidR="005543CF" w:rsidRPr="02E2EE7D">
              <w:rPr>
                <w:rFonts w:cs="Courier New"/>
                <w:u w:val="single"/>
              </w:rPr>
              <w:t xml:space="preserve">: </w:t>
            </w:r>
            <w:r w:rsidR="005543CF" w:rsidRPr="02E2EE7D">
              <w:rPr>
                <w:rFonts w:cs="Courier New"/>
              </w:rPr>
              <w:t xml:space="preserve">extended model estimates ICERs associated with assumptions of minimum and maximum potential effectiveness associated with early access to ERT, translated into survival and health related quality of life gains </w:t>
            </w:r>
            <w:r w:rsidRPr="02E2EE7D">
              <w:rPr>
                <w:rFonts w:cs="Courier New"/>
              </w:rPr>
              <w:t xml:space="preserve">based on evidence review presented in </w:t>
            </w:r>
            <w:r w:rsidR="002869E8">
              <w:rPr>
                <w:rFonts w:cs="Courier New"/>
              </w:rPr>
              <w:t>the DCAR</w:t>
            </w:r>
            <w:r w:rsidR="005543CF" w:rsidRPr="02E2EE7D">
              <w:rPr>
                <w:rFonts w:cs="Courier New"/>
              </w:rPr>
              <w:t>.</w:t>
            </w:r>
            <w:r w:rsidRPr="02E2EE7D">
              <w:rPr>
                <w:rFonts w:cs="Courier New"/>
              </w:rPr>
              <w:t xml:space="preserve"> Estimates were informed by: </w:t>
            </w:r>
          </w:p>
          <w:p w14:paraId="59E3CB38" w14:textId="36F04490" w:rsidR="00370CAB" w:rsidRDefault="00370CAB" w:rsidP="02E2EE7D">
            <w:pPr>
              <w:pStyle w:val="TableText"/>
              <w:numPr>
                <w:ilvl w:val="0"/>
                <w:numId w:val="11"/>
              </w:numPr>
              <w:ind w:left="360"/>
              <w:rPr>
                <w:rFonts w:cs="Courier New"/>
              </w:rPr>
            </w:pPr>
            <w:r w:rsidRPr="02E2EE7D">
              <w:rPr>
                <w:rFonts w:cs="Courier New"/>
              </w:rPr>
              <w:t>Invasive ventilat</w:t>
            </w:r>
            <w:r w:rsidR="00D74FC3" w:rsidRPr="02E2EE7D">
              <w:rPr>
                <w:rFonts w:cs="Courier New"/>
              </w:rPr>
              <w:t>i</w:t>
            </w:r>
            <w:r w:rsidRPr="02E2EE7D">
              <w:rPr>
                <w:rFonts w:cs="Courier New"/>
              </w:rPr>
              <w:t>o</w:t>
            </w:r>
            <w:r w:rsidR="00D74FC3" w:rsidRPr="02E2EE7D">
              <w:rPr>
                <w:rFonts w:cs="Courier New"/>
              </w:rPr>
              <w:t>n</w:t>
            </w:r>
            <w:r w:rsidRPr="02E2EE7D">
              <w:rPr>
                <w:rFonts w:cs="Courier New"/>
              </w:rPr>
              <w:t xml:space="preserve"> free survival and overall survival related to early treatment in IOGSD II diagnosed through NBS vs non NBS</w:t>
            </w:r>
            <w:bookmarkStart w:id="47" w:name="_Ref184819633"/>
            <w:r w:rsidR="005D7AEB" w:rsidRPr="02E2EE7D">
              <w:rPr>
                <w:rStyle w:val="FootnoteReference"/>
                <w:rFonts w:cs="Courier New"/>
              </w:rPr>
              <w:footnoteReference w:id="28"/>
            </w:r>
            <w:bookmarkEnd w:id="47"/>
            <w:r w:rsidR="005C6850" w:rsidRPr="02E2EE7D">
              <w:rPr>
                <w:rFonts w:cs="Courier New"/>
              </w:rPr>
              <w:t xml:space="preserve"> </w:t>
            </w:r>
            <w:r w:rsidRPr="02E2EE7D">
              <w:rPr>
                <w:rFonts w:cs="Courier New"/>
              </w:rPr>
              <w:t xml:space="preserve">and </w:t>
            </w:r>
            <w:r w:rsidR="005201C0" w:rsidRPr="02E2EE7D">
              <w:rPr>
                <w:rFonts w:cs="Courier New"/>
              </w:rPr>
              <w:t xml:space="preserve">alternative </w:t>
            </w:r>
            <w:r w:rsidRPr="02E2EE7D">
              <w:rPr>
                <w:rFonts w:cs="Courier New"/>
              </w:rPr>
              <w:t>extrapolation</w:t>
            </w:r>
            <w:r w:rsidR="005201C0" w:rsidRPr="02E2EE7D">
              <w:rPr>
                <w:rFonts w:cs="Courier New"/>
              </w:rPr>
              <w:t>s</w:t>
            </w:r>
            <w:r w:rsidRPr="02E2EE7D">
              <w:rPr>
                <w:rFonts w:cs="Courier New"/>
              </w:rPr>
              <w:t xml:space="preserve"> of curves</w:t>
            </w:r>
          </w:p>
          <w:p w14:paraId="12F7FFE2" w14:textId="023E57C5" w:rsidR="00370CAB" w:rsidRPr="00370CAB" w:rsidRDefault="00370CAB" w:rsidP="0078218A">
            <w:pPr>
              <w:pStyle w:val="TableText"/>
              <w:numPr>
                <w:ilvl w:val="0"/>
                <w:numId w:val="11"/>
              </w:numPr>
              <w:ind w:left="360"/>
              <w:rPr>
                <w:rFonts w:cs="Courier New"/>
                <w:szCs w:val="20"/>
              </w:rPr>
            </w:pPr>
            <w:r w:rsidRPr="004C1FA8">
              <w:rPr>
                <w:rFonts w:cs="Courier New"/>
                <w:szCs w:val="20"/>
              </w:rPr>
              <w:t>Age specific all-cause mortality in Australian population</w:t>
            </w:r>
            <w:r w:rsidR="005D7AEB">
              <w:rPr>
                <w:rStyle w:val="FootnoteReference"/>
                <w:rFonts w:cs="Courier New"/>
                <w:szCs w:val="20"/>
              </w:rPr>
              <w:footnoteReference w:id="29"/>
            </w:r>
          </w:p>
        </w:tc>
      </w:tr>
      <w:tr w:rsidR="00370CAB" w:rsidRPr="000449D1" w14:paraId="77A6345A" w14:textId="77777777" w:rsidTr="00175863">
        <w:tc>
          <w:tcPr>
            <w:tcW w:w="746" w:type="pct"/>
          </w:tcPr>
          <w:p w14:paraId="236DEDD8" w14:textId="77777777" w:rsidR="00370CAB" w:rsidRPr="000449D1" w:rsidRDefault="00370CAB" w:rsidP="00EC15A4">
            <w:pPr>
              <w:pStyle w:val="TableText"/>
              <w:rPr>
                <w:rFonts w:cs="Courier New"/>
                <w:szCs w:val="20"/>
              </w:rPr>
            </w:pPr>
            <w:r w:rsidRPr="000449D1">
              <w:rPr>
                <w:rFonts w:cs="Courier New"/>
                <w:szCs w:val="20"/>
              </w:rPr>
              <w:t>Discount rate</w:t>
            </w:r>
          </w:p>
        </w:tc>
        <w:tc>
          <w:tcPr>
            <w:tcW w:w="4254" w:type="pct"/>
          </w:tcPr>
          <w:p w14:paraId="4B4A2CD1" w14:textId="77777777" w:rsidR="00370CAB" w:rsidRPr="000449D1" w:rsidRDefault="00370CAB" w:rsidP="00EC15A4">
            <w:pPr>
              <w:pStyle w:val="TableText"/>
              <w:rPr>
                <w:rFonts w:cs="Courier New"/>
                <w:szCs w:val="20"/>
              </w:rPr>
            </w:pPr>
            <w:r w:rsidRPr="000449D1">
              <w:rPr>
                <w:rFonts w:cs="Courier New"/>
                <w:szCs w:val="20"/>
              </w:rPr>
              <w:t>5%</w:t>
            </w:r>
            <w:r>
              <w:rPr>
                <w:rFonts w:cs="Courier New"/>
                <w:szCs w:val="20"/>
              </w:rPr>
              <w:t xml:space="preserve"> per annum</w:t>
            </w:r>
            <w:r w:rsidRPr="000449D1">
              <w:rPr>
                <w:rFonts w:cs="Courier New"/>
                <w:szCs w:val="20"/>
              </w:rPr>
              <w:t xml:space="preserve"> for both costs and outcomes</w:t>
            </w:r>
            <w:r>
              <w:rPr>
                <w:rFonts w:cs="Courier New"/>
                <w:szCs w:val="20"/>
              </w:rPr>
              <w:t xml:space="preserve"> (rates of 0% and 3.5% per annum assessed in the sensitivity analysis)</w:t>
            </w:r>
          </w:p>
        </w:tc>
      </w:tr>
      <w:tr w:rsidR="00370CAB" w:rsidRPr="000449D1" w14:paraId="1C23843D" w14:textId="77777777" w:rsidTr="00175863">
        <w:tc>
          <w:tcPr>
            <w:tcW w:w="746" w:type="pct"/>
          </w:tcPr>
          <w:p w14:paraId="3E334626" w14:textId="77777777" w:rsidR="00370CAB" w:rsidRPr="000449D1" w:rsidRDefault="00370CAB" w:rsidP="00EC15A4">
            <w:pPr>
              <w:pStyle w:val="TableText"/>
              <w:rPr>
                <w:rFonts w:cs="Courier New"/>
                <w:szCs w:val="20"/>
              </w:rPr>
            </w:pPr>
            <w:r w:rsidRPr="000449D1">
              <w:rPr>
                <w:rFonts w:cs="Courier New"/>
                <w:szCs w:val="20"/>
              </w:rPr>
              <w:t>Software</w:t>
            </w:r>
          </w:p>
        </w:tc>
        <w:tc>
          <w:tcPr>
            <w:tcW w:w="4254" w:type="pct"/>
          </w:tcPr>
          <w:p w14:paraId="5016F78C" w14:textId="462D3A50" w:rsidR="00370CAB" w:rsidRPr="000449D1" w:rsidRDefault="00370CAB" w:rsidP="00EC15A4">
            <w:pPr>
              <w:pStyle w:val="TableText"/>
              <w:rPr>
                <w:rFonts w:cs="Courier New"/>
                <w:szCs w:val="20"/>
              </w:rPr>
            </w:pPr>
            <w:r w:rsidRPr="000449D1">
              <w:rPr>
                <w:rFonts w:cs="Courier New"/>
                <w:szCs w:val="20"/>
              </w:rPr>
              <w:t>Excel</w:t>
            </w:r>
          </w:p>
        </w:tc>
      </w:tr>
    </w:tbl>
    <w:p w14:paraId="0058FFEF" w14:textId="206E462C" w:rsidR="005C6850" w:rsidRDefault="00370CAB" w:rsidP="00092CCC">
      <w:pPr>
        <w:pStyle w:val="Tablenotes"/>
      </w:pPr>
      <w:r>
        <w:t>ABS = Australian Bureau of Statistics; ERT = enzyme replacement therapy; GSD II = glycogen storage disease Type II; IOGSD II = infantile-onset glycogen storage disease Type II; LOGSD II = late-onset glycogen storage disease Type II; LSDP = Life Saving Drugs Program; NBS = newborn bloodspot screening; PICO = Population/Intervention/Comparator/Outcomes</w:t>
      </w:r>
    </w:p>
    <w:p w14:paraId="1927C159" w14:textId="7E4D001E" w:rsidR="001F3F40" w:rsidRPr="006C6CBD" w:rsidRDefault="001F3F40" w:rsidP="008A1CC3">
      <w:r>
        <w:fldChar w:fldCharType="begin"/>
      </w:r>
      <w:r>
        <w:instrText xml:space="preserve"> REF _Ref181824016 \h </w:instrText>
      </w:r>
      <w:r>
        <w:fldChar w:fldCharType="separate"/>
      </w:r>
      <w:r w:rsidR="0063013E" w:rsidRPr="00CE28E3">
        <w:t>Table</w:t>
      </w:r>
      <w:r w:rsidR="0063013E">
        <w:t> </w:t>
      </w:r>
      <w:r w:rsidR="0063013E">
        <w:rPr>
          <w:noProof/>
        </w:rPr>
        <w:t>6</w:t>
      </w:r>
      <w:r>
        <w:fldChar w:fldCharType="end"/>
      </w:r>
      <w:r w:rsidR="00376906">
        <w:t xml:space="preserve"> </w:t>
      </w:r>
      <w:r>
        <w:t>presents the high-level summary of the inputs used in the economic evaluation.</w:t>
      </w:r>
      <w:r w:rsidR="006362E1">
        <w:t xml:space="preserve"> MSAC noted s</w:t>
      </w:r>
      <w:r w:rsidR="006362E1" w:rsidRPr="004206B6">
        <w:t xml:space="preserve">egregation testing of parents should </w:t>
      </w:r>
      <w:r w:rsidR="002F2B64">
        <w:t>have been included</w:t>
      </w:r>
      <w:r w:rsidR="002F2B64" w:rsidRPr="004206B6">
        <w:t xml:space="preserve"> </w:t>
      </w:r>
      <w:r w:rsidR="002F2B64">
        <w:t>in</w:t>
      </w:r>
      <w:r w:rsidR="002F2B64" w:rsidRPr="004206B6">
        <w:t xml:space="preserve"> </w:t>
      </w:r>
      <w:r w:rsidR="006362E1" w:rsidRPr="004206B6">
        <w:t xml:space="preserve">the confirmatory testing </w:t>
      </w:r>
      <w:r w:rsidR="002F2B64">
        <w:t>costs instead of being included in</w:t>
      </w:r>
      <w:r w:rsidR="006362E1">
        <w:t xml:space="preserve"> </w:t>
      </w:r>
      <w:r w:rsidR="006362E1" w:rsidRPr="004206B6">
        <w:t>testing</w:t>
      </w:r>
      <w:r w:rsidR="006362E1">
        <w:t xml:space="preserve"> </w:t>
      </w:r>
      <w:r w:rsidR="002646EB">
        <w:t>of family members</w:t>
      </w:r>
      <w:r w:rsidR="006362E1" w:rsidRPr="002C695C">
        <w:t>.</w:t>
      </w:r>
    </w:p>
    <w:p w14:paraId="25314023" w14:textId="0AE1AD56" w:rsidR="001F3F40" w:rsidRPr="00CE28E3" w:rsidRDefault="001F3F40" w:rsidP="00275705">
      <w:pPr>
        <w:pStyle w:val="Caption"/>
      </w:pPr>
      <w:bookmarkStart w:id="48" w:name="_Ref181824016"/>
      <w:r w:rsidRPr="00CE28E3">
        <w:t>Table</w:t>
      </w:r>
      <w:r>
        <w:t> </w:t>
      </w:r>
      <w:r w:rsidR="0063013E">
        <w:t>6</w:t>
      </w:r>
      <w:bookmarkEnd w:id="48"/>
      <w:r w:rsidRPr="00CE28E3">
        <w:tab/>
        <w:t xml:space="preserve">Summary of the inputs used in the economic evaluation </w:t>
      </w:r>
    </w:p>
    <w:tbl>
      <w:tblPr>
        <w:tblStyle w:val="TableGrid1"/>
        <w:tblW w:w="9016" w:type="dxa"/>
        <w:tblLook w:val="04A0" w:firstRow="1" w:lastRow="0" w:firstColumn="1" w:lastColumn="0" w:noHBand="0" w:noVBand="1"/>
        <w:tblCaption w:val="Summary of the inputs used in the economic evaluation "/>
        <w:tblDescription w:val="Summary of the inputs used in the economic evaluation "/>
      </w:tblPr>
      <w:tblGrid>
        <w:gridCol w:w="2515"/>
        <w:gridCol w:w="1885"/>
        <w:gridCol w:w="4616"/>
      </w:tblGrid>
      <w:tr w:rsidR="001F3F40" w:rsidRPr="00CE28E3" w14:paraId="2DD1815D" w14:textId="77777777" w:rsidTr="00175863">
        <w:trPr>
          <w:cnfStyle w:val="100000000000" w:firstRow="1" w:lastRow="0" w:firstColumn="0" w:lastColumn="0" w:oddVBand="0" w:evenVBand="0" w:oddHBand="0" w:evenHBand="0" w:firstRowFirstColumn="0" w:firstRowLastColumn="0" w:lastRowFirstColumn="0" w:lastRowLastColumn="0"/>
          <w:tblHeader/>
        </w:trPr>
        <w:tc>
          <w:tcPr>
            <w:tcW w:w="2515" w:type="dxa"/>
            <w:tcBorders>
              <w:bottom w:val="single" w:sz="4" w:space="0" w:color="auto"/>
            </w:tcBorders>
          </w:tcPr>
          <w:p w14:paraId="6D763928" w14:textId="77777777" w:rsidR="001F3F40" w:rsidRPr="00CE28E3" w:rsidRDefault="001F3F40" w:rsidP="00EC15A4">
            <w:pPr>
              <w:pStyle w:val="TableHeading"/>
            </w:pPr>
            <w:r w:rsidRPr="00CE28E3">
              <w:t>Parameter</w:t>
            </w:r>
          </w:p>
        </w:tc>
        <w:tc>
          <w:tcPr>
            <w:tcW w:w="1885" w:type="dxa"/>
            <w:tcBorders>
              <w:bottom w:val="single" w:sz="4" w:space="0" w:color="auto"/>
            </w:tcBorders>
          </w:tcPr>
          <w:p w14:paraId="6B7BA771" w14:textId="77777777" w:rsidR="001F3F40" w:rsidRPr="00CE28E3" w:rsidRDefault="001F3F40" w:rsidP="00EC15A4">
            <w:pPr>
              <w:pStyle w:val="TableHeading"/>
            </w:pPr>
            <w:r w:rsidRPr="00CE28E3">
              <w:t>Value</w:t>
            </w:r>
          </w:p>
        </w:tc>
        <w:tc>
          <w:tcPr>
            <w:tcW w:w="4616" w:type="dxa"/>
            <w:tcBorders>
              <w:bottom w:val="single" w:sz="4" w:space="0" w:color="auto"/>
            </w:tcBorders>
          </w:tcPr>
          <w:p w14:paraId="01D39A42" w14:textId="77777777" w:rsidR="001F3F40" w:rsidRPr="00CE28E3" w:rsidRDefault="001F3F40" w:rsidP="00EC15A4">
            <w:pPr>
              <w:pStyle w:val="TableHeading"/>
            </w:pPr>
            <w:r w:rsidRPr="00CE28E3">
              <w:t>Source</w:t>
            </w:r>
          </w:p>
        </w:tc>
      </w:tr>
      <w:tr w:rsidR="001F3F40" w:rsidRPr="00CE28E3" w14:paraId="11C952FC" w14:textId="77777777" w:rsidTr="00175863">
        <w:tc>
          <w:tcPr>
            <w:tcW w:w="2515" w:type="dxa"/>
            <w:tcBorders>
              <w:bottom w:val="single" w:sz="4" w:space="0" w:color="auto"/>
            </w:tcBorders>
          </w:tcPr>
          <w:p w14:paraId="595C86C8" w14:textId="77777777" w:rsidR="001F3F40" w:rsidRPr="00CE28E3" w:rsidRDefault="001F3F40" w:rsidP="00EC15A4">
            <w:pPr>
              <w:pStyle w:val="TableText"/>
            </w:pPr>
            <w:r>
              <w:t>Estimated prevalence of GSD II in Australia (no NBS)</w:t>
            </w:r>
          </w:p>
        </w:tc>
        <w:tc>
          <w:tcPr>
            <w:tcW w:w="1885" w:type="dxa"/>
            <w:tcBorders>
              <w:bottom w:val="single" w:sz="4" w:space="0" w:color="auto"/>
            </w:tcBorders>
          </w:tcPr>
          <w:p w14:paraId="4DAB87C3" w14:textId="77777777" w:rsidR="001F3F40" w:rsidRPr="00CE28E3" w:rsidRDefault="001F3F40" w:rsidP="00EC15A4">
            <w:pPr>
              <w:pStyle w:val="TableText"/>
            </w:pPr>
            <w:r>
              <w:t>2.19 per 100,000</w:t>
            </w:r>
          </w:p>
        </w:tc>
        <w:tc>
          <w:tcPr>
            <w:tcW w:w="4616" w:type="dxa"/>
            <w:tcBorders>
              <w:bottom w:val="single" w:sz="4" w:space="0" w:color="auto"/>
            </w:tcBorders>
          </w:tcPr>
          <w:p w14:paraId="48842D44" w14:textId="1813F41E" w:rsidR="001F3F40" w:rsidRPr="00275705" w:rsidRDefault="001F3F40" w:rsidP="00EC15A4">
            <w:pPr>
              <w:pStyle w:val="TableText"/>
              <w:rPr>
                <w:vertAlign w:val="superscript"/>
              </w:rPr>
            </w:pPr>
            <w:r>
              <w:t>Australian study</w:t>
            </w:r>
            <w:r w:rsidR="008453F1">
              <w:rPr>
                <w:vertAlign w:val="superscript"/>
              </w:rPr>
              <w:t xml:space="preserve"> </w:t>
            </w:r>
            <w:r w:rsidR="008453F1" w:rsidRPr="00F076FA">
              <w:t>(</w:t>
            </w:r>
            <w:r w:rsidR="008453F1" w:rsidRPr="007B441D">
              <w:t>Chien</w:t>
            </w:r>
            <w:r w:rsidR="008453F1" w:rsidRPr="008453F1" w:rsidDel="008453F1">
              <w:t xml:space="preserve"> </w:t>
            </w:r>
            <w:r w:rsidR="008453F1">
              <w:t>et al 2015)</w:t>
            </w:r>
          </w:p>
        </w:tc>
      </w:tr>
      <w:tr w:rsidR="001F3F40" w:rsidRPr="00CE28E3" w14:paraId="32D193A2" w14:textId="77777777" w:rsidTr="00175863">
        <w:tc>
          <w:tcPr>
            <w:tcW w:w="2515" w:type="dxa"/>
            <w:tcBorders>
              <w:bottom w:val="single" w:sz="4" w:space="0" w:color="auto"/>
            </w:tcBorders>
          </w:tcPr>
          <w:p w14:paraId="738159BF" w14:textId="77777777" w:rsidR="001F3F40" w:rsidRPr="00CE28E3" w:rsidRDefault="001F3F40" w:rsidP="00EC15A4">
            <w:pPr>
              <w:pStyle w:val="TableText"/>
            </w:pPr>
            <w:r w:rsidRPr="005B3E62">
              <w:t>Estimated prevalence of GSD II in Australia (</w:t>
            </w:r>
            <w:r>
              <w:t>post</w:t>
            </w:r>
            <w:r w:rsidRPr="005B3E62">
              <w:t xml:space="preserve"> NBS)</w:t>
            </w:r>
          </w:p>
        </w:tc>
        <w:tc>
          <w:tcPr>
            <w:tcW w:w="1885" w:type="dxa"/>
            <w:tcBorders>
              <w:bottom w:val="single" w:sz="4" w:space="0" w:color="auto"/>
            </w:tcBorders>
          </w:tcPr>
          <w:p w14:paraId="445CEA2D" w14:textId="5022F39E" w:rsidR="001F3F40" w:rsidRPr="00CE28E3" w:rsidRDefault="001F3F40" w:rsidP="00EC15A4">
            <w:pPr>
              <w:pStyle w:val="TableText"/>
            </w:pPr>
            <w:r>
              <w:t>3.48 per 100,000</w:t>
            </w:r>
          </w:p>
        </w:tc>
        <w:tc>
          <w:tcPr>
            <w:tcW w:w="4616" w:type="dxa"/>
            <w:tcBorders>
              <w:bottom w:val="single" w:sz="4" w:space="0" w:color="auto"/>
            </w:tcBorders>
          </w:tcPr>
          <w:p w14:paraId="3B908881" w14:textId="5088CF7B" w:rsidR="001F3F40" w:rsidRPr="00CE28E3" w:rsidRDefault="001F3F40" w:rsidP="00EC15A4">
            <w:pPr>
              <w:pStyle w:val="TableText"/>
            </w:pPr>
            <w:r>
              <w:t>Applying 1:1.59 proportional increase to GSD II prevalence in California following NBS</w:t>
            </w:r>
            <w:r w:rsidR="00C94035">
              <w:rPr>
                <w:noProof/>
              </w:rPr>
              <w:t xml:space="preserve"> (Tang et. al. 2020)</w:t>
            </w:r>
            <w:r>
              <w:t xml:space="preserve"> to pre-NBS prevalence of GSD II in Australia.</w:t>
            </w:r>
          </w:p>
        </w:tc>
      </w:tr>
      <w:tr w:rsidR="001F3F40" w:rsidRPr="00CE28E3" w14:paraId="71D04585" w14:textId="77777777" w:rsidTr="00175863">
        <w:tc>
          <w:tcPr>
            <w:tcW w:w="2515" w:type="dxa"/>
            <w:tcBorders>
              <w:bottom w:val="single" w:sz="4" w:space="0" w:color="auto"/>
            </w:tcBorders>
          </w:tcPr>
          <w:p w14:paraId="2D196E5E" w14:textId="77777777" w:rsidR="001F3F40" w:rsidRPr="00CE28E3" w:rsidRDefault="001F3F40" w:rsidP="00EC15A4">
            <w:pPr>
              <w:pStyle w:val="TableText"/>
            </w:pPr>
            <w:r>
              <w:t>Proportion of cases that are IOGSD II</w:t>
            </w:r>
          </w:p>
        </w:tc>
        <w:tc>
          <w:tcPr>
            <w:tcW w:w="1885" w:type="dxa"/>
            <w:tcBorders>
              <w:bottom w:val="single" w:sz="4" w:space="0" w:color="auto"/>
            </w:tcBorders>
          </w:tcPr>
          <w:p w14:paraId="43ABCEAF" w14:textId="490B9BA2" w:rsidR="001F3F40" w:rsidRPr="00CE28E3" w:rsidRDefault="007229D6" w:rsidP="00EC15A4">
            <w:pPr>
              <w:pStyle w:val="TableText"/>
            </w:pPr>
            <w:r>
              <w:rPr>
                <w:rFonts w:cs="Calibri"/>
                <w:b/>
                <w:bCs/>
                <w:color w:val="000000"/>
              </w:rPr>
              <w:t>Redacted</w:t>
            </w:r>
            <w:r w:rsidRPr="00E025B8" w:rsidDel="007229D6">
              <w:rPr>
                <w:b/>
                <w:bCs/>
              </w:rPr>
              <w:t xml:space="preserve"> </w:t>
            </w:r>
            <w:r w:rsidR="001F3F40">
              <w:t>%</w:t>
            </w:r>
          </w:p>
        </w:tc>
        <w:tc>
          <w:tcPr>
            <w:tcW w:w="4616" w:type="dxa"/>
            <w:tcBorders>
              <w:bottom w:val="single" w:sz="4" w:space="0" w:color="auto"/>
            </w:tcBorders>
          </w:tcPr>
          <w:p w14:paraId="3124F4CE" w14:textId="77777777" w:rsidR="001F3F40" w:rsidRPr="00CE28E3" w:rsidRDefault="001F3F40" w:rsidP="00EC15A4">
            <w:pPr>
              <w:pStyle w:val="TableText"/>
            </w:pPr>
            <w:r w:rsidRPr="00CD6CC4">
              <w:t>LSDP Review Report</w:t>
            </w:r>
            <w:r>
              <w:rPr>
                <w:rStyle w:val="FootnoteReference"/>
              </w:rPr>
              <w:footnoteReference w:id="30"/>
            </w:r>
            <w:r>
              <w:t xml:space="preserve"> and </w:t>
            </w:r>
            <w:r w:rsidRPr="00CD6CC4">
              <w:t xml:space="preserve">LSDP registry data </w:t>
            </w:r>
          </w:p>
        </w:tc>
      </w:tr>
      <w:tr w:rsidR="001F3F40" w:rsidRPr="00CE28E3" w14:paraId="5F302A9B" w14:textId="77777777" w:rsidTr="00175863">
        <w:trPr>
          <w:trHeight w:val="1215"/>
        </w:trPr>
        <w:tc>
          <w:tcPr>
            <w:tcW w:w="2515" w:type="dxa"/>
            <w:tcBorders>
              <w:bottom w:val="single" w:sz="4" w:space="0" w:color="auto"/>
            </w:tcBorders>
          </w:tcPr>
          <w:p w14:paraId="5E07F27B" w14:textId="77777777" w:rsidR="001F3F40" w:rsidRPr="00CE28E3" w:rsidRDefault="001F3F40" w:rsidP="00EC15A4">
            <w:pPr>
              <w:pStyle w:val="TableText"/>
              <w:rPr>
                <w:b/>
              </w:rPr>
            </w:pPr>
            <w:r w:rsidRPr="40321EF4">
              <w:rPr>
                <w:b/>
              </w:rPr>
              <w:t>Test performance</w:t>
            </w:r>
          </w:p>
          <w:p w14:paraId="71EE3990" w14:textId="77777777" w:rsidR="001F3F40" w:rsidRPr="00CE28E3" w:rsidRDefault="001F3F40" w:rsidP="00EC15A4">
            <w:pPr>
              <w:pStyle w:val="TableText"/>
            </w:pPr>
            <w:r>
              <w:t>First-tier: (LC MS/MS GAA enzyme assay)</w:t>
            </w:r>
          </w:p>
          <w:p w14:paraId="5B234432" w14:textId="77777777" w:rsidR="001F3F40" w:rsidRDefault="001F3F40" w:rsidP="00EC15A4">
            <w:pPr>
              <w:pStyle w:val="TableText"/>
            </w:pPr>
          </w:p>
          <w:p w14:paraId="72FC07CE" w14:textId="77777777" w:rsidR="001F3F40" w:rsidRPr="00CE28E3" w:rsidRDefault="001F3F40" w:rsidP="00EC15A4">
            <w:pPr>
              <w:pStyle w:val="TableText"/>
            </w:pPr>
            <w:r w:rsidRPr="02E2EE7D">
              <w:t>Second-tier: (targeted genetic testing):</w:t>
            </w:r>
          </w:p>
        </w:tc>
        <w:tc>
          <w:tcPr>
            <w:tcW w:w="1885" w:type="dxa"/>
            <w:tcBorders>
              <w:bottom w:val="single" w:sz="4" w:space="0" w:color="auto"/>
            </w:tcBorders>
          </w:tcPr>
          <w:p w14:paraId="49C45B47" w14:textId="77777777" w:rsidR="001F3F40" w:rsidRDefault="001F3F40" w:rsidP="00EC15A4">
            <w:pPr>
              <w:pStyle w:val="TableText"/>
            </w:pPr>
          </w:p>
          <w:p w14:paraId="0CEE8CEF" w14:textId="77777777" w:rsidR="001F3F40" w:rsidRDefault="001F3F40" w:rsidP="00EC15A4">
            <w:pPr>
              <w:pStyle w:val="TableText"/>
            </w:pPr>
            <w:r>
              <w:t>Sensitivity: 100%</w:t>
            </w:r>
          </w:p>
          <w:p w14:paraId="36A17402" w14:textId="77777777" w:rsidR="001F3F40" w:rsidRDefault="001F3F40" w:rsidP="00EC15A4">
            <w:pPr>
              <w:pStyle w:val="TableText"/>
            </w:pPr>
            <w:r w:rsidRPr="00512EA2">
              <w:t>FPR: 0.015%</w:t>
            </w:r>
          </w:p>
          <w:p w14:paraId="6AEC39A1" w14:textId="77777777" w:rsidR="001F3F40" w:rsidRDefault="001F3F40" w:rsidP="00EC15A4">
            <w:pPr>
              <w:pStyle w:val="TableText"/>
            </w:pPr>
            <w:r>
              <w:t>Sensitivity: 100%</w:t>
            </w:r>
          </w:p>
          <w:p w14:paraId="036BCB94" w14:textId="77777777" w:rsidR="001F3F40" w:rsidRPr="00CE28E3" w:rsidRDefault="001F3F40" w:rsidP="00EC15A4">
            <w:pPr>
              <w:pStyle w:val="TableText"/>
            </w:pPr>
            <w:r w:rsidRPr="00512EA2">
              <w:t>FPR:</w:t>
            </w:r>
            <w:r>
              <w:t xml:space="preserve"> </w:t>
            </w:r>
            <w:r w:rsidRPr="00512EA2">
              <w:t>90%</w:t>
            </w:r>
          </w:p>
        </w:tc>
        <w:tc>
          <w:tcPr>
            <w:tcW w:w="4616" w:type="dxa"/>
            <w:tcBorders>
              <w:bottom w:val="single" w:sz="4" w:space="0" w:color="auto"/>
            </w:tcBorders>
          </w:tcPr>
          <w:p w14:paraId="596DAA6E" w14:textId="2B8C7E72" w:rsidR="001F3F40" w:rsidRPr="00275705" w:rsidRDefault="001F3F40" w:rsidP="00EC15A4">
            <w:pPr>
              <w:pStyle w:val="TableText"/>
              <w:rPr>
                <w:noProof/>
                <w:vertAlign w:val="superscript"/>
              </w:rPr>
            </w:pPr>
            <w:r>
              <w:rPr>
                <w:noProof/>
              </w:rPr>
              <w:t>Tang et. al. (2020)</w:t>
            </w:r>
          </w:p>
        </w:tc>
      </w:tr>
      <w:tr w:rsidR="001F3F40" w:rsidRPr="00CE28E3" w14:paraId="67E5B0EF" w14:textId="77777777" w:rsidTr="00175863">
        <w:tc>
          <w:tcPr>
            <w:tcW w:w="2515" w:type="dxa"/>
            <w:tcBorders>
              <w:bottom w:val="single" w:sz="4" w:space="0" w:color="auto"/>
            </w:tcBorders>
          </w:tcPr>
          <w:p w14:paraId="55DF64AF" w14:textId="77777777" w:rsidR="001F3F40" w:rsidRDefault="001F3F40" w:rsidP="00EC15A4">
            <w:pPr>
              <w:pStyle w:val="TableText"/>
            </w:pPr>
            <w:r w:rsidRPr="40321EF4">
              <w:rPr>
                <w:b/>
              </w:rPr>
              <w:t xml:space="preserve">Average age </w:t>
            </w:r>
            <w:r w:rsidRPr="40321EF4" w:rsidDel="2B9D462F">
              <w:rPr>
                <w:b/>
              </w:rPr>
              <w:t>at</w:t>
            </w:r>
            <w:r w:rsidRPr="40321EF4">
              <w:rPr>
                <w:b/>
              </w:rPr>
              <w:t xml:space="preserve"> diagnosis</w:t>
            </w:r>
          </w:p>
          <w:p w14:paraId="76266862" w14:textId="77777777" w:rsidR="001F3F40" w:rsidRDefault="001F3F40" w:rsidP="00EC15A4">
            <w:pPr>
              <w:pStyle w:val="TableText"/>
              <w:rPr>
                <w:u w:val="single"/>
              </w:rPr>
            </w:pPr>
            <w:r w:rsidRPr="6F6D3314">
              <w:rPr>
                <w:u w:val="single"/>
              </w:rPr>
              <w:t>NBS: (all phenotypes)</w:t>
            </w:r>
          </w:p>
          <w:p w14:paraId="382230E8" w14:textId="77777777" w:rsidR="00807D60" w:rsidRDefault="001F3F40" w:rsidP="00807D60">
            <w:pPr>
              <w:pStyle w:val="TableText"/>
            </w:pPr>
            <w:r w:rsidRPr="43B1190F">
              <w:rPr>
                <w:u w:val="single"/>
              </w:rPr>
              <w:t>No NBS:</w:t>
            </w:r>
            <w:r>
              <w:t xml:space="preserve"> </w:t>
            </w:r>
          </w:p>
          <w:p w14:paraId="2022C9FE" w14:textId="04F1B662" w:rsidR="00093B2A" w:rsidRDefault="00807D60" w:rsidP="00807D60">
            <w:pPr>
              <w:pStyle w:val="TableText"/>
              <w:rPr>
                <w:b/>
                <w:bCs/>
              </w:rPr>
            </w:pPr>
            <w:r>
              <w:rPr>
                <w:rFonts w:cs="Calibri"/>
                <w:b/>
                <w:bCs/>
                <w:color w:val="000000"/>
              </w:rPr>
              <w:t>Redacted</w:t>
            </w:r>
          </w:p>
          <w:p w14:paraId="47FE61C1" w14:textId="7A79724C" w:rsidR="001F3F40" w:rsidRPr="00350FBE" w:rsidRDefault="001F3F40" w:rsidP="5789C240">
            <w:pPr>
              <w:pStyle w:val="TableText"/>
            </w:pPr>
            <w:r w:rsidRPr="00350FBE">
              <w:t>IOGSD II:</w:t>
            </w:r>
          </w:p>
          <w:p w14:paraId="46F1269E" w14:textId="77777777" w:rsidR="00807D60" w:rsidRDefault="001F3F40" w:rsidP="00807D60">
            <w:pPr>
              <w:pStyle w:val="TableText"/>
            </w:pPr>
            <w:r w:rsidRPr="00350FBE">
              <w:t>LOGSD II (onset age ≤12 years)</w:t>
            </w:r>
            <w:r>
              <w:t xml:space="preserve">: </w:t>
            </w:r>
          </w:p>
          <w:p w14:paraId="04F9032E" w14:textId="47EE7F0E" w:rsidR="001F3F40" w:rsidRPr="00350FBE" w:rsidRDefault="00807D60" w:rsidP="00807D60">
            <w:pPr>
              <w:pStyle w:val="TableText"/>
            </w:pPr>
            <w:r>
              <w:rPr>
                <w:rFonts w:cs="Calibri"/>
                <w:b/>
                <w:bCs/>
                <w:color w:val="000000"/>
              </w:rPr>
              <w:t>Redacted</w:t>
            </w:r>
          </w:p>
          <w:p w14:paraId="60D95035" w14:textId="77777777" w:rsidR="00807D60" w:rsidRDefault="001F3F40" w:rsidP="00807D60">
            <w:pPr>
              <w:pStyle w:val="TableText"/>
            </w:pPr>
            <w:r w:rsidRPr="02E2EE7D">
              <w:t>LOGSD II (onset age &gt;12 years):</w:t>
            </w:r>
          </w:p>
          <w:p w14:paraId="5FFBBBEC" w14:textId="75E27E87" w:rsidR="001F3F40" w:rsidRPr="00350FBE" w:rsidRDefault="00807D60" w:rsidP="00807D60">
            <w:pPr>
              <w:pStyle w:val="TableText"/>
              <w:rPr>
                <w:highlight w:val="yellow"/>
              </w:rPr>
            </w:pPr>
            <w:r>
              <w:rPr>
                <w:rFonts w:cs="Calibri"/>
                <w:b/>
                <w:bCs/>
                <w:color w:val="000000"/>
              </w:rPr>
              <w:t>Redacted</w:t>
            </w:r>
          </w:p>
        </w:tc>
        <w:tc>
          <w:tcPr>
            <w:tcW w:w="1885" w:type="dxa"/>
            <w:tcBorders>
              <w:bottom w:val="single" w:sz="4" w:space="0" w:color="auto"/>
            </w:tcBorders>
          </w:tcPr>
          <w:p w14:paraId="5765401F" w14:textId="77777777" w:rsidR="001F3F40" w:rsidRDefault="001F3F40" w:rsidP="00EC15A4">
            <w:pPr>
              <w:pStyle w:val="TableText"/>
            </w:pPr>
          </w:p>
          <w:p w14:paraId="6259DAF9" w14:textId="77777777" w:rsidR="001F3F40" w:rsidRDefault="001F3F40" w:rsidP="00EC15A4">
            <w:pPr>
              <w:pStyle w:val="TableText"/>
            </w:pPr>
            <w:r>
              <w:t>&lt;1 month</w:t>
            </w:r>
          </w:p>
          <w:p w14:paraId="2C326A02" w14:textId="77777777" w:rsidR="001F3F40" w:rsidRDefault="001F3F40" w:rsidP="00EC15A4">
            <w:pPr>
              <w:pStyle w:val="TableText"/>
            </w:pPr>
            <w:r>
              <w:t xml:space="preserve"> </w:t>
            </w:r>
          </w:p>
          <w:p w14:paraId="050E3146" w14:textId="5D5E7F59" w:rsidR="001F3F40" w:rsidRDefault="007229D6" w:rsidP="00EC15A4">
            <w:pPr>
              <w:pStyle w:val="TableText"/>
              <w:rPr>
                <w:highlight w:val="yellow"/>
              </w:rPr>
            </w:pPr>
            <w:r>
              <w:rPr>
                <w:rFonts w:cs="Calibri"/>
                <w:b/>
                <w:bCs/>
                <w:color w:val="000000"/>
              </w:rPr>
              <w:t>Redacted</w:t>
            </w:r>
          </w:p>
        </w:tc>
        <w:tc>
          <w:tcPr>
            <w:tcW w:w="4616" w:type="dxa"/>
            <w:tcBorders>
              <w:bottom w:val="single" w:sz="4" w:space="0" w:color="auto"/>
            </w:tcBorders>
          </w:tcPr>
          <w:p w14:paraId="0C850B3F" w14:textId="77777777" w:rsidR="001F3F40" w:rsidRDefault="001F3F40" w:rsidP="00EC15A4">
            <w:pPr>
              <w:pStyle w:val="TableText"/>
            </w:pPr>
          </w:p>
          <w:p w14:paraId="670D27EE" w14:textId="77777777" w:rsidR="001F3F40" w:rsidRDefault="001F3F40" w:rsidP="00EC15A4">
            <w:pPr>
              <w:pStyle w:val="TableText"/>
            </w:pPr>
            <w:r>
              <w:t xml:space="preserve">Assumption for NBS </w:t>
            </w:r>
          </w:p>
          <w:p w14:paraId="7EC1D091" w14:textId="77777777" w:rsidR="001F3F40" w:rsidRDefault="001F3F40" w:rsidP="00EC15A4">
            <w:pPr>
              <w:pStyle w:val="TableText"/>
            </w:pPr>
          </w:p>
          <w:p w14:paraId="6C6B3539" w14:textId="77777777" w:rsidR="001F3F40" w:rsidRDefault="001F3F40" w:rsidP="00EC15A4">
            <w:pPr>
              <w:pStyle w:val="TableText"/>
            </w:pPr>
            <w:r>
              <w:t>LSDP registry data for no NBS</w:t>
            </w:r>
          </w:p>
        </w:tc>
      </w:tr>
      <w:tr w:rsidR="001F3F40" w:rsidRPr="00CE28E3" w14:paraId="136FD16A" w14:textId="77777777" w:rsidTr="00175863">
        <w:trPr>
          <w:trHeight w:val="300"/>
        </w:trPr>
        <w:tc>
          <w:tcPr>
            <w:tcW w:w="2515" w:type="dxa"/>
            <w:tcBorders>
              <w:bottom w:val="single" w:sz="4" w:space="0" w:color="auto"/>
            </w:tcBorders>
          </w:tcPr>
          <w:p w14:paraId="71C1A9F2" w14:textId="77777777" w:rsidR="001F3F40" w:rsidDel="00AA7F57" w:rsidRDefault="001F3F40" w:rsidP="00EC15A4">
            <w:pPr>
              <w:pStyle w:val="TableText"/>
              <w:rPr>
                <w:b/>
              </w:rPr>
            </w:pPr>
            <w:r w:rsidRPr="3A0B2B85">
              <w:rPr>
                <w:b/>
              </w:rPr>
              <w:t>Diagnostic delay without NBS</w:t>
            </w:r>
          </w:p>
          <w:p w14:paraId="2DA1A30C" w14:textId="77777777" w:rsidR="001F3F40" w:rsidDel="00AA7F57" w:rsidRDefault="001F3F40" w:rsidP="00EC15A4">
            <w:pPr>
              <w:pStyle w:val="TableText"/>
            </w:pPr>
            <w:r w:rsidRPr="3F009E0E">
              <w:rPr>
                <w:u w:val="single"/>
              </w:rPr>
              <w:t>IOGSD II</w:t>
            </w:r>
          </w:p>
          <w:p w14:paraId="2CF8E032" w14:textId="77777777" w:rsidR="001F3F40" w:rsidDel="00AA7F57" w:rsidRDefault="001F3F40" w:rsidP="00EC15A4">
            <w:pPr>
              <w:pStyle w:val="TableText"/>
            </w:pPr>
            <w:r w:rsidRPr="462A0E3F">
              <w:rPr>
                <w:u w:val="single"/>
              </w:rPr>
              <w:t>LOGSD II</w:t>
            </w:r>
            <w:r>
              <w:t>: onset age ≤12years</w:t>
            </w:r>
          </w:p>
          <w:p w14:paraId="62BDBA06" w14:textId="67DE1B9C" w:rsidR="001F3F40" w:rsidDel="00AA7F57" w:rsidRDefault="001F3F40" w:rsidP="00EC15A4">
            <w:pPr>
              <w:pStyle w:val="TableText"/>
            </w:pPr>
            <w:r w:rsidRPr="2C571C38">
              <w:rPr>
                <w:u w:val="single"/>
              </w:rPr>
              <w:t>LOGSD II</w:t>
            </w:r>
            <w:r>
              <w:t>: onset age &gt;12years</w:t>
            </w:r>
          </w:p>
        </w:tc>
        <w:tc>
          <w:tcPr>
            <w:tcW w:w="1885" w:type="dxa"/>
            <w:tcBorders>
              <w:bottom w:val="single" w:sz="4" w:space="0" w:color="auto"/>
            </w:tcBorders>
          </w:tcPr>
          <w:p w14:paraId="23966C8C" w14:textId="77777777" w:rsidR="001F3F40" w:rsidRDefault="001F3F40" w:rsidP="00EC15A4">
            <w:pPr>
              <w:pStyle w:val="TableText"/>
            </w:pPr>
          </w:p>
          <w:p w14:paraId="5CCEEDB5" w14:textId="77777777" w:rsidR="001F3F40" w:rsidRDefault="001F3F40" w:rsidP="00EC15A4">
            <w:pPr>
              <w:pStyle w:val="TableText"/>
            </w:pPr>
            <w:r>
              <w:t>4.6 months</w:t>
            </w:r>
          </w:p>
          <w:p w14:paraId="09821119" w14:textId="77777777" w:rsidR="001F3F40" w:rsidRDefault="001F3F40" w:rsidP="00EC15A4">
            <w:pPr>
              <w:pStyle w:val="TableText"/>
            </w:pPr>
            <w:r>
              <w:t>4 years</w:t>
            </w:r>
          </w:p>
          <w:p w14:paraId="5DD6A57A" w14:textId="77777777" w:rsidR="001F3F40" w:rsidRDefault="001F3F40" w:rsidP="00EC15A4">
            <w:pPr>
              <w:pStyle w:val="TableText"/>
            </w:pPr>
            <w:r>
              <w:t>7 years</w:t>
            </w:r>
          </w:p>
        </w:tc>
        <w:tc>
          <w:tcPr>
            <w:tcW w:w="4616" w:type="dxa"/>
            <w:tcBorders>
              <w:bottom w:val="single" w:sz="4" w:space="0" w:color="auto"/>
            </w:tcBorders>
          </w:tcPr>
          <w:p w14:paraId="0E971868" w14:textId="77777777" w:rsidR="001F3F40" w:rsidRDefault="001F3F40" w:rsidP="00EC15A4">
            <w:pPr>
              <w:pStyle w:val="TableText"/>
            </w:pPr>
          </w:p>
          <w:p w14:paraId="55901483" w14:textId="365C6064" w:rsidR="001F3F40" w:rsidRDefault="00291D69" w:rsidP="00EC15A4">
            <w:pPr>
              <w:pStyle w:val="TableText"/>
            </w:pPr>
            <w:r w:rsidRPr="00291D69">
              <w:t>Linked evidence of change in management for</w:t>
            </w:r>
            <w:r>
              <w:t xml:space="preserve"> newborns </w:t>
            </w:r>
            <w:r w:rsidR="001F3F40">
              <w:t xml:space="preserve">Section </w:t>
            </w:r>
            <w:r>
              <w:t>of DCAR</w:t>
            </w:r>
          </w:p>
        </w:tc>
      </w:tr>
      <w:tr w:rsidR="001F3F40" w:rsidRPr="00CE28E3" w14:paraId="201EC210" w14:textId="77777777" w:rsidTr="02E2EE7D">
        <w:tc>
          <w:tcPr>
            <w:tcW w:w="2515" w:type="dxa"/>
            <w:tcBorders>
              <w:bottom w:val="single" w:sz="4" w:space="0" w:color="auto"/>
            </w:tcBorders>
          </w:tcPr>
          <w:p w14:paraId="43C19198" w14:textId="77777777" w:rsidR="001F3F40" w:rsidRDefault="001F3F40" w:rsidP="00EC15A4">
            <w:pPr>
              <w:pStyle w:val="TableText"/>
            </w:pPr>
            <w:r>
              <w:t>Survival and disease progression associated with</w:t>
            </w:r>
            <w:r w:rsidRPr="00492AB6">
              <w:t xml:space="preserve"> late </w:t>
            </w:r>
            <w:r>
              <w:t>and early ERT in IOGSD II</w:t>
            </w:r>
          </w:p>
        </w:tc>
        <w:tc>
          <w:tcPr>
            <w:tcW w:w="1885" w:type="dxa"/>
            <w:tcBorders>
              <w:bottom w:val="single" w:sz="4" w:space="0" w:color="auto"/>
            </w:tcBorders>
          </w:tcPr>
          <w:p w14:paraId="73FB55FF" w14:textId="68571424" w:rsidR="001F3F40" w:rsidRDefault="001F3F40" w:rsidP="00EC15A4">
            <w:pPr>
              <w:pStyle w:val="TableText"/>
            </w:pPr>
            <w:r>
              <w:t xml:space="preserve">Multiple inputs – </w:t>
            </w:r>
            <w:r w:rsidR="00641BE7">
              <w:t>as in m</w:t>
            </w:r>
            <w:r w:rsidR="00641BE7" w:rsidRPr="00641BE7">
              <w:t>odel transition probabilities, variables and extrapolation</w:t>
            </w:r>
            <w:r w:rsidR="00641BE7">
              <w:t xml:space="preserve"> </w:t>
            </w:r>
            <w:r>
              <w:t xml:space="preserve">Section </w:t>
            </w:r>
            <w:r w:rsidR="00641BE7">
              <w:t>of DCAR</w:t>
            </w:r>
          </w:p>
        </w:tc>
        <w:tc>
          <w:tcPr>
            <w:tcW w:w="4616" w:type="dxa"/>
            <w:tcBorders>
              <w:bottom w:val="single" w:sz="4" w:space="0" w:color="auto"/>
            </w:tcBorders>
          </w:tcPr>
          <w:p w14:paraId="0C1F196A" w14:textId="47DBB04F" w:rsidR="001F3F40" w:rsidRPr="009275F8" w:rsidRDefault="001F3F40" w:rsidP="00EC15A4">
            <w:pPr>
              <w:pStyle w:val="TableText"/>
            </w:pPr>
            <w:r>
              <w:t xml:space="preserve">Extrapolation of survival and </w:t>
            </w:r>
            <w:r w:rsidR="00D74FC3">
              <w:t xml:space="preserve">ventilation </w:t>
            </w:r>
            <w:r>
              <w:t>free survival data from</w:t>
            </w:r>
            <w:r w:rsidR="005D509F" w:rsidRPr="00350FBE">
              <w:rPr>
                <w:vertAlign w:val="superscript"/>
              </w:rPr>
              <w:fldChar w:fldCharType="begin"/>
            </w:r>
            <w:r w:rsidR="005D509F" w:rsidRPr="00350FBE">
              <w:rPr>
                <w:vertAlign w:val="superscript"/>
              </w:rPr>
              <w:instrText xml:space="preserve"> NOTEREF _Ref184819633 \h </w:instrText>
            </w:r>
            <w:r w:rsidR="005D509F">
              <w:rPr>
                <w:vertAlign w:val="superscript"/>
              </w:rPr>
              <w:instrText xml:space="preserve"> \* MERGEFORMAT </w:instrText>
            </w:r>
            <w:r w:rsidR="005D509F" w:rsidRPr="00350FBE">
              <w:rPr>
                <w:vertAlign w:val="superscript"/>
              </w:rPr>
            </w:r>
            <w:r w:rsidR="005D509F" w:rsidRPr="00350FBE">
              <w:rPr>
                <w:vertAlign w:val="superscript"/>
              </w:rPr>
              <w:fldChar w:fldCharType="end"/>
            </w:r>
            <w:r>
              <w:t xml:space="preserve"> and cost-utility study</w:t>
            </w:r>
          </w:p>
        </w:tc>
      </w:tr>
      <w:tr w:rsidR="001F3F40" w:rsidRPr="00CE28E3" w14:paraId="272C6816" w14:textId="77777777" w:rsidTr="00175863">
        <w:tc>
          <w:tcPr>
            <w:tcW w:w="2515" w:type="dxa"/>
            <w:tcBorders>
              <w:right w:val="nil"/>
            </w:tcBorders>
          </w:tcPr>
          <w:p w14:paraId="5707AF63" w14:textId="77777777" w:rsidR="001F3F40" w:rsidRPr="00CE28E3" w:rsidRDefault="001F3F40" w:rsidP="00EC15A4">
            <w:pPr>
              <w:pStyle w:val="TableText"/>
              <w:rPr>
                <w:b/>
              </w:rPr>
            </w:pPr>
            <w:r w:rsidRPr="3A0B2B85">
              <w:rPr>
                <w:b/>
              </w:rPr>
              <w:t>Costs</w:t>
            </w:r>
          </w:p>
        </w:tc>
        <w:tc>
          <w:tcPr>
            <w:tcW w:w="1885" w:type="dxa"/>
            <w:tcBorders>
              <w:left w:val="nil"/>
              <w:right w:val="nil"/>
            </w:tcBorders>
          </w:tcPr>
          <w:p w14:paraId="5CE03F0E" w14:textId="77777777" w:rsidR="001F3F40" w:rsidRPr="00CE28E3" w:rsidRDefault="001F3F40" w:rsidP="00EC15A4">
            <w:pPr>
              <w:pStyle w:val="TableText"/>
            </w:pPr>
          </w:p>
        </w:tc>
        <w:tc>
          <w:tcPr>
            <w:tcW w:w="4616" w:type="dxa"/>
            <w:tcBorders>
              <w:left w:val="nil"/>
            </w:tcBorders>
          </w:tcPr>
          <w:p w14:paraId="21DFF0FA" w14:textId="77777777" w:rsidR="001F3F40" w:rsidRPr="00CE28E3" w:rsidRDefault="001F3F40" w:rsidP="00EC15A4">
            <w:pPr>
              <w:pStyle w:val="TableText"/>
            </w:pPr>
          </w:p>
        </w:tc>
      </w:tr>
      <w:tr w:rsidR="001F3F40" w:rsidRPr="00CE28E3" w14:paraId="6BB6DE37" w14:textId="77777777" w:rsidTr="00175863">
        <w:tc>
          <w:tcPr>
            <w:tcW w:w="2515" w:type="dxa"/>
          </w:tcPr>
          <w:p w14:paraId="6DA1CF7C" w14:textId="77777777" w:rsidR="001F3F40" w:rsidRPr="00CE28E3" w:rsidRDefault="001F3F40" w:rsidP="00EC15A4">
            <w:pPr>
              <w:pStyle w:val="TableText"/>
              <w:rPr>
                <w:b/>
                <w:bCs/>
              </w:rPr>
            </w:pPr>
            <w:r w:rsidRPr="3A0B2B85">
              <w:rPr>
                <w:b/>
                <w:bCs/>
              </w:rPr>
              <w:t>NBS costs</w:t>
            </w:r>
          </w:p>
          <w:p w14:paraId="73A1AA6D" w14:textId="77777777" w:rsidR="001F3F40" w:rsidRPr="00CE28E3" w:rsidRDefault="001F3F40" w:rsidP="00EC15A4">
            <w:pPr>
              <w:pStyle w:val="TableText"/>
            </w:pPr>
            <w:r>
              <w:t>First</w:t>
            </w:r>
            <w:r w:rsidRPr="00492AB6">
              <w:t xml:space="preserve">-tier </w:t>
            </w:r>
            <w:r>
              <w:t>NBS</w:t>
            </w:r>
            <w:r>
              <w:br/>
            </w:r>
            <w:r>
              <w:br/>
            </w:r>
            <w:r>
              <w:br/>
            </w:r>
          </w:p>
          <w:p w14:paraId="1C140479" w14:textId="77777777" w:rsidR="001F3F40" w:rsidRPr="00CE28E3" w:rsidRDefault="001F3F40" w:rsidP="00EC15A4">
            <w:pPr>
              <w:pStyle w:val="TableText"/>
            </w:pPr>
            <w:r>
              <w:t>Second-tier NBS</w:t>
            </w:r>
          </w:p>
        </w:tc>
        <w:tc>
          <w:tcPr>
            <w:tcW w:w="1885" w:type="dxa"/>
          </w:tcPr>
          <w:p w14:paraId="46FC4696" w14:textId="77777777" w:rsidR="001F3F40" w:rsidRDefault="001F3F40" w:rsidP="00EC15A4">
            <w:pPr>
              <w:pStyle w:val="TableText"/>
              <w:jc w:val="center"/>
            </w:pPr>
          </w:p>
          <w:p w14:paraId="572CBDE9" w14:textId="2EFB5EFF" w:rsidR="001F3F40" w:rsidRPr="00CE28E3" w:rsidRDefault="007229D6" w:rsidP="00EC15A4">
            <w:pPr>
              <w:pStyle w:val="TableText"/>
              <w:jc w:val="center"/>
            </w:pPr>
            <w:r w:rsidRPr="009B60A4">
              <w:rPr>
                <w:rFonts w:cs="Calibri"/>
                <w:color w:val="000000"/>
              </w:rPr>
              <w:t>$</w:t>
            </w:r>
            <w:r>
              <w:rPr>
                <w:rFonts w:cs="Calibri"/>
                <w:b/>
                <w:bCs/>
                <w:color w:val="000000"/>
              </w:rPr>
              <w:t>Redacted</w:t>
            </w:r>
            <w:r w:rsidR="001F3F40">
              <w:br/>
            </w:r>
            <w:r w:rsidR="001F3F40">
              <w:br/>
            </w:r>
            <w:r w:rsidR="001F3F40">
              <w:br/>
            </w:r>
          </w:p>
          <w:p w14:paraId="6A7E702E" w14:textId="77777777" w:rsidR="001F3F40" w:rsidRPr="00CE28E3" w:rsidRDefault="001F3F40" w:rsidP="00EC15A4">
            <w:pPr>
              <w:pStyle w:val="TableText"/>
              <w:jc w:val="center"/>
            </w:pPr>
            <w:r>
              <w:t>$500</w:t>
            </w:r>
          </w:p>
        </w:tc>
        <w:tc>
          <w:tcPr>
            <w:tcW w:w="4616" w:type="dxa"/>
          </w:tcPr>
          <w:p w14:paraId="0FA27B11" w14:textId="77777777" w:rsidR="001F3F40" w:rsidRDefault="001F3F40" w:rsidP="00EC15A4">
            <w:pPr>
              <w:pStyle w:val="TableText"/>
            </w:pPr>
          </w:p>
          <w:p w14:paraId="6757F34C" w14:textId="5F4B46C4" w:rsidR="001F3F40" w:rsidRPr="00CE28E3" w:rsidRDefault="001F3F40" w:rsidP="00EC15A4">
            <w:pPr>
              <w:pStyle w:val="TableText"/>
            </w:pPr>
            <w:r w:rsidRPr="02E2EE7D">
              <w:t xml:space="preserve">Estimated cost of LC-MS/MS GAA enzyme assay using the </w:t>
            </w:r>
            <w:proofErr w:type="spellStart"/>
            <w:r w:rsidRPr="02E2EE7D">
              <w:t>GelbChem</w:t>
            </w:r>
            <w:proofErr w:type="spellEnd"/>
            <w:r w:rsidRPr="02E2EE7D">
              <w:t xml:space="preserve"> SKU: CS5 kit (estimated using consultation feedback provided by the NBS laboratory experts during the evaluation process).</w:t>
            </w:r>
          </w:p>
          <w:p w14:paraId="341D8653" w14:textId="77777777" w:rsidR="001F3F40" w:rsidRPr="00CE28E3" w:rsidRDefault="001F3F40" w:rsidP="00EC15A4">
            <w:pPr>
              <w:pStyle w:val="TableText"/>
            </w:pPr>
            <w:r>
              <w:t>PICO Confirmation</w:t>
            </w:r>
          </w:p>
        </w:tc>
      </w:tr>
      <w:tr w:rsidR="001F3F40" w:rsidRPr="00CE28E3" w14:paraId="71A763E9" w14:textId="77777777" w:rsidTr="00175863">
        <w:tc>
          <w:tcPr>
            <w:tcW w:w="2515" w:type="dxa"/>
          </w:tcPr>
          <w:p w14:paraId="6177C96F" w14:textId="6B72D3FA" w:rsidR="001F3F40" w:rsidRPr="00CE28E3" w:rsidRDefault="001F3F40" w:rsidP="00EC15A4">
            <w:pPr>
              <w:pStyle w:val="TableText"/>
            </w:pPr>
            <w:r>
              <w:t>Cost of diagnostic confirmation after second-tier test</w:t>
            </w:r>
          </w:p>
        </w:tc>
        <w:tc>
          <w:tcPr>
            <w:tcW w:w="1885" w:type="dxa"/>
          </w:tcPr>
          <w:p w14:paraId="4B777F11" w14:textId="3280A0B0" w:rsidR="001F3F40" w:rsidRPr="00CE28E3" w:rsidRDefault="001F3F40" w:rsidP="00EC15A4">
            <w:pPr>
              <w:pStyle w:val="TableText"/>
              <w:jc w:val="center"/>
            </w:pPr>
            <w:r>
              <w:t>$3,</w:t>
            </w:r>
            <w:r w:rsidR="007A31E2">
              <w:t>158</w:t>
            </w:r>
            <w:r w:rsidR="007A31E2" w:rsidRPr="00175863">
              <w:rPr>
                <w:vertAlign w:val="superscript"/>
              </w:rPr>
              <w:t>c</w:t>
            </w:r>
          </w:p>
        </w:tc>
        <w:tc>
          <w:tcPr>
            <w:tcW w:w="4616" w:type="dxa"/>
          </w:tcPr>
          <w:p w14:paraId="42527D8D" w14:textId="08308A3F" w:rsidR="001F3F40" w:rsidRPr="00CE28E3" w:rsidRDefault="00291D69" w:rsidP="00EC15A4">
            <w:pPr>
              <w:pStyle w:val="TableText"/>
            </w:pPr>
            <w:r>
              <w:t xml:space="preserve">Healthcare resource use and costs </w:t>
            </w:r>
            <w:r w:rsidR="001F3F40">
              <w:t xml:space="preserve">section </w:t>
            </w:r>
            <w:r>
              <w:t>of DCAR</w:t>
            </w:r>
          </w:p>
        </w:tc>
      </w:tr>
      <w:tr w:rsidR="001F3F40" w:rsidRPr="00CE28E3" w14:paraId="3FFDC106" w14:textId="77777777" w:rsidTr="00175863">
        <w:tc>
          <w:tcPr>
            <w:tcW w:w="2515" w:type="dxa"/>
          </w:tcPr>
          <w:p w14:paraId="3DB0CBBE" w14:textId="77777777" w:rsidR="001F3F40" w:rsidRPr="00CE28E3" w:rsidRDefault="001F3F40" w:rsidP="00EC15A4">
            <w:pPr>
              <w:pStyle w:val="TableText"/>
            </w:pPr>
            <w:r>
              <w:t>Known</w:t>
            </w:r>
            <w:r w:rsidRPr="00387AA7">
              <w:t xml:space="preserve"> familial variant analysis</w:t>
            </w:r>
          </w:p>
        </w:tc>
        <w:tc>
          <w:tcPr>
            <w:tcW w:w="1885" w:type="dxa"/>
          </w:tcPr>
          <w:p w14:paraId="428519A8" w14:textId="77777777" w:rsidR="001F3F40" w:rsidRPr="00CE28E3" w:rsidRDefault="001F3F40" w:rsidP="00EC15A4">
            <w:pPr>
              <w:pStyle w:val="TableText"/>
              <w:jc w:val="center"/>
            </w:pPr>
            <w:r>
              <w:t>$400</w:t>
            </w:r>
          </w:p>
        </w:tc>
        <w:tc>
          <w:tcPr>
            <w:tcW w:w="4616" w:type="dxa"/>
          </w:tcPr>
          <w:p w14:paraId="07360F83" w14:textId="77777777" w:rsidR="001F3F40" w:rsidRPr="00CE28E3" w:rsidRDefault="001F3F40" w:rsidP="00EC15A4">
            <w:pPr>
              <w:pStyle w:val="TableText"/>
            </w:pPr>
            <w:r>
              <w:t>PICO confirmation</w:t>
            </w:r>
          </w:p>
        </w:tc>
      </w:tr>
      <w:tr w:rsidR="001F3F40" w:rsidRPr="00CE28E3" w14:paraId="5F990849" w14:textId="77777777" w:rsidTr="00175863">
        <w:tc>
          <w:tcPr>
            <w:tcW w:w="2515" w:type="dxa"/>
          </w:tcPr>
          <w:p w14:paraId="04E2D202" w14:textId="77777777" w:rsidR="001F3F40" w:rsidRPr="00CE28E3" w:rsidRDefault="001F3F40" w:rsidP="00EC15A4">
            <w:pPr>
              <w:pStyle w:val="TableText"/>
              <w:rPr>
                <w:b/>
                <w:bCs/>
              </w:rPr>
            </w:pPr>
            <w:r>
              <w:rPr>
                <w:b/>
              </w:rPr>
              <w:t xml:space="preserve">Annual </w:t>
            </w:r>
            <w:r w:rsidRPr="34B144A1">
              <w:rPr>
                <w:b/>
              </w:rPr>
              <w:t>ERT costs</w:t>
            </w:r>
          </w:p>
          <w:p w14:paraId="0C9F4D81" w14:textId="04C1B20F" w:rsidR="001F3F40" w:rsidRPr="00CE28E3" w:rsidRDefault="001F3F40" w:rsidP="02E2EE7D">
            <w:pPr>
              <w:pStyle w:val="TableText"/>
            </w:pPr>
            <w:proofErr w:type="spellStart"/>
            <w:r w:rsidRPr="02E2EE7D">
              <w:t>alglucosidase</w:t>
            </w:r>
            <w:proofErr w:type="spellEnd"/>
            <w:r w:rsidRPr="02E2EE7D">
              <w:t xml:space="preserve"> alfa and </w:t>
            </w:r>
            <w:proofErr w:type="spellStart"/>
            <w:r w:rsidRPr="02E2EE7D">
              <w:t>avalglucosidase</w:t>
            </w:r>
            <w:proofErr w:type="spellEnd"/>
            <w:r w:rsidRPr="02E2EE7D">
              <w:t xml:space="preserve"> alfa</w:t>
            </w:r>
            <w:r>
              <w:br/>
            </w:r>
          </w:p>
        </w:tc>
        <w:tc>
          <w:tcPr>
            <w:tcW w:w="1885" w:type="dxa"/>
          </w:tcPr>
          <w:p w14:paraId="566CF8DF" w14:textId="77777777" w:rsidR="001F3F40" w:rsidRPr="00FE0C27" w:rsidRDefault="001F3F40" w:rsidP="00EC15A4">
            <w:pPr>
              <w:pStyle w:val="TableText"/>
              <w:jc w:val="center"/>
              <w:rPr>
                <w:u w:val="single"/>
              </w:rPr>
            </w:pPr>
            <w:r w:rsidRPr="00FE0C27">
              <w:rPr>
                <w:u w:val="single"/>
              </w:rPr>
              <w:t>IOGSD II</w:t>
            </w:r>
          </w:p>
          <w:p w14:paraId="313C178A" w14:textId="294D8953" w:rsidR="001F3F40" w:rsidRDefault="007229D6" w:rsidP="00EC15A4">
            <w:pPr>
              <w:pStyle w:val="TableText"/>
              <w:jc w:val="center"/>
            </w:pPr>
            <w:r>
              <w:rPr>
                <w:rFonts w:cs="Calibri"/>
                <w:b/>
                <w:bCs/>
                <w:color w:val="000000"/>
              </w:rPr>
              <w:t>Redacted</w:t>
            </w:r>
          </w:p>
          <w:p w14:paraId="695FD362" w14:textId="77777777" w:rsidR="001F3F40" w:rsidRPr="00FE0C27" w:rsidRDefault="001F3F40" w:rsidP="00EC15A4">
            <w:pPr>
              <w:pStyle w:val="TableText"/>
              <w:jc w:val="center"/>
              <w:rPr>
                <w:u w:val="single"/>
              </w:rPr>
            </w:pPr>
            <w:r w:rsidRPr="00FE0C27">
              <w:rPr>
                <w:u w:val="single"/>
              </w:rPr>
              <w:t>LOGSD II</w:t>
            </w:r>
          </w:p>
          <w:p w14:paraId="1C3D5708" w14:textId="1E99F751" w:rsidR="001F3F40" w:rsidRPr="00CE28E3" w:rsidRDefault="007229D6" w:rsidP="00FE0C27">
            <w:pPr>
              <w:pStyle w:val="TableText"/>
              <w:jc w:val="center"/>
            </w:pPr>
            <w:r>
              <w:rPr>
                <w:rFonts w:cs="Calibri"/>
                <w:b/>
                <w:bCs/>
                <w:color w:val="000000"/>
              </w:rPr>
              <w:t>Redacted</w:t>
            </w:r>
          </w:p>
        </w:tc>
        <w:tc>
          <w:tcPr>
            <w:tcW w:w="4616" w:type="dxa"/>
          </w:tcPr>
          <w:p w14:paraId="78408E1E" w14:textId="77777777" w:rsidR="001F3F40" w:rsidRPr="00CE28E3" w:rsidRDefault="001F3F40" w:rsidP="00EC15A4">
            <w:pPr>
              <w:pStyle w:val="TableText"/>
            </w:pPr>
            <w:r>
              <w:br/>
              <w:t>Average weighted cost over 52 weeks for individuals diagnosed with IOGSD II. Fixed monthly cost for individuals diagnosed with LOGSD II. Product costing provided by Department of Health and Aged Care</w:t>
            </w:r>
            <w:r>
              <w:br/>
            </w:r>
          </w:p>
        </w:tc>
      </w:tr>
      <w:tr w:rsidR="003B53AF" w:rsidRPr="00CE28E3" w14:paraId="2A8705C5" w14:textId="77777777" w:rsidTr="02E2EE7D">
        <w:tc>
          <w:tcPr>
            <w:tcW w:w="2515" w:type="dxa"/>
          </w:tcPr>
          <w:p w14:paraId="23BC1816" w14:textId="7D3D20ED" w:rsidR="003B53AF" w:rsidRDefault="003B53AF" w:rsidP="003B53AF">
            <w:pPr>
              <w:pStyle w:val="TableText"/>
              <w:rPr>
                <w:b/>
              </w:rPr>
            </w:pPr>
            <w:r>
              <w:t>Annual monitoring cost</w:t>
            </w:r>
            <w:r>
              <w:rPr>
                <w:vertAlign w:val="superscript"/>
              </w:rPr>
              <w:t>a</w:t>
            </w:r>
          </w:p>
        </w:tc>
        <w:tc>
          <w:tcPr>
            <w:tcW w:w="1885" w:type="dxa"/>
          </w:tcPr>
          <w:p w14:paraId="01F4D897" w14:textId="2D252966" w:rsidR="003B53AF" w:rsidRPr="00FE0C27" w:rsidRDefault="003B53AF" w:rsidP="003B53AF">
            <w:pPr>
              <w:pStyle w:val="TableText"/>
              <w:jc w:val="center"/>
              <w:rPr>
                <w:u w:val="single"/>
              </w:rPr>
            </w:pPr>
            <w:r w:rsidRPr="00C0105C">
              <w:t>$</w:t>
            </w:r>
            <w:r>
              <w:t>3,034.59</w:t>
            </w:r>
          </w:p>
        </w:tc>
        <w:tc>
          <w:tcPr>
            <w:tcW w:w="4616" w:type="dxa"/>
          </w:tcPr>
          <w:p w14:paraId="2925CF1B" w14:textId="1A50D35C" w:rsidR="003B53AF" w:rsidRDefault="003B53AF" w:rsidP="003B53AF">
            <w:pPr>
              <w:pStyle w:val="TableText"/>
            </w:pPr>
            <w:r w:rsidRPr="00C0105C">
              <w:t xml:space="preserve">See </w:t>
            </w:r>
            <w:r w:rsidR="00F4704D">
              <w:fldChar w:fldCharType="begin"/>
            </w:r>
            <w:r w:rsidR="00F4704D">
              <w:instrText xml:space="preserve"> REF _Ref181824724 \h </w:instrText>
            </w:r>
            <w:r w:rsidR="00F4704D">
              <w:fldChar w:fldCharType="separate"/>
            </w:r>
            <w:r w:rsidR="00EF0F4F">
              <w:t xml:space="preserve">Table </w:t>
            </w:r>
            <w:r w:rsidR="00F4704D">
              <w:fldChar w:fldCharType="end"/>
            </w:r>
            <w:r w:rsidR="00EF0F4F">
              <w:t>7</w:t>
            </w:r>
            <w:r w:rsidR="00F4704D">
              <w:t xml:space="preserve"> below</w:t>
            </w:r>
          </w:p>
        </w:tc>
      </w:tr>
      <w:tr w:rsidR="003B53AF" w:rsidRPr="00CE28E3" w14:paraId="0A7738BB" w14:textId="77777777" w:rsidTr="02E2EE7D">
        <w:tc>
          <w:tcPr>
            <w:tcW w:w="2515" w:type="dxa"/>
          </w:tcPr>
          <w:p w14:paraId="2AE5BED4" w14:textId="14B43B18" w:rsidR="003B53AF" w:rsidRDefault="003B53AF" w:rsidP="003B53AF">
            <w:pPr>
              <w:pStyle w:val="TableText"/>
              <w:rPr>
                <w:b/>
              </w:rPr>
            </w:pPr>
            <w:r w:rsidRPr="00C0105C">
              <w:t xml:space="preserve">Annualised diagnostic </w:t>
            </w:r>
            <w:r w:rsidR="00F858A6">
              <w:t>delay</w:t>
            </w:r>
            <w:r w:rsidRPr="00C0105C">
              <w:t xml:space="preserve"> cost per patient in the absence of diagnosis through NBS </w:t>
            </w:r>
            <w:r w:rsidRPr="00C0105C">
              <w:rPr>
                <w:vertAlign w:val="superscript"/>
              </w:rPr>
              <w:t>b</w:t>
            </w:r>
          </w:p>
        </w:tc>
        <w:tc>
          <w:tcPr>
            <w:tcW w:w="1885" w:type="dxa"/>
          </w:tcPr>
          <w:p w14:paraId="4AD684B6" w14:textId="1245D0C9" w:rsidR="003B53AF" w:rsidRPr="00FE0C27" w:rsidRDefault="003B53AF" w:rsidP="003B53AF">
            <w:pPr>
              <w:pStyle w:val="TableText"/>
              <w:jc w:val="center"/>
              <w:rPr>
                <w:u w:val="single"/>
              </w:rPr>
            </w:pPr>
            <w:r w:rsidRPr="00C0105C">
              <w:t>$</w:t>
            </w:r>
            <w:r>
              <w:t>12,826.72</w:t>
            </w:r>
          </w:p>
        </w:tc>
        <w:tc>
          <w:tcPr>
            <w:tcW w:w="4616" w:type="dxa"/>
          </w:tcPr>
          <w:p w14:paraId="22AE0EB7" w14:textId="23CC47BB" w:rsidR="003B53AF" w:rsidRDefault="00002D83" w:rsidP="003B53AF">
            <w:pPr>
              <w:pStyle w:val="TableText"/>
            </w:pPr>
            <w:r w:rsidRPr="00C0105C">
              <w:t xml:space="preserve">See </w:t>
            </w:r>
            <w:r w:rsidR="00EF0F4F">
              <w:fldChar w:fldCharType="begin"/>
            </w:r>
            <w:r w:rsidR="00EF0F4F">
              <w:instrText xml:space="preserve"> REF _Ref181824724 \h </w:instrText>
            </w:r>
            <w:r w:rsidR="00EF0F4F">
              <w:fldChar w:fldCharType="separate"/>
            </w:r>
            <w:r w:rsidR="00EF0F4F">
              <w:t xml:space="preserve">Table </w:t>
            </w:r>
            <w:r w:rsidR="00EF0F4F">
              <w:rPr>
                <w:noProof/>
              </w:rPr>
              <w:t>7</w:t>
            </w:r>
            <w:r w:rsidR="00EF0F4F">
              <w:fldChar w:fldCharType="end"/>
            </w:r>
            <w:r w:rsidR="00EF0F4F">
              <w:t xml:space="preserve"> </w:t>
            </w:r>
            <w:r>
              <w:t>below</w:t>
            </w:r>
          </w:p>
        </w:tc>
      </w:tr>
      <w:tr w:rsidR="003B53AF" w:rsidRPr="00CE28E3" w14:paraId="38D75AFE" w14:textId="77777777" w:rsidTr="00175863">
        <w:tc>
          <w:tcPr>
            <w:tcW w:w="2515" w:type="dxa"/>
          </w:tcPr>
          <w:p w14:paraId="717AE64F" w14:textId="6A87B94B" w:rsidR="003B53AF" w:rsidRDefault="003B53AF" w:rsidP="003B53AF">
            <w:pPr>
              <w:pStyle w:val="TableText"/>
              <w:rPr>
                <w:b/>
              </w:rPr>
            </w:pPr>
            <w:r>
              <w:t>Cost associated with mild disease health state for IOGSD II (per month)</w:t>
            </w:r>
          </w:p>
        </w:tc>
        <w:tc>
          <w:tcPr>
            <w:tcW w:w="1885" w:type="dxa"/>
          </w:tcPr>
          <w:p w14:paraId="12E2691A" w14:textId="73DC712C" w:rsidR="003B53AF" w:rsidRPr="00FE0C27" w:rsidRDefault="003B53AF" w:rsidP="003B53AF">
            <w:pPr>
              <w:pStyle w:val="TableText"/>
              <w:jc w:val="center"/>
              <w:rPr>
                <w:u w:val="single"/>
              </w:rPr>
            </w:pPr>
            <w:r>
              <w:t>$1,135.20</w:t>
            </w:r>
          </w:p>
        </w:tc>
        <w:tc>
          <w:tcPr>
            <w:tcW w:w="4616" w:type="dxa"/>
          </w:tcPr>
          <w:p w14:paraId="12E6BC6D" w14:textId="41DEB3E9" w:rsidR="003B53AF" w:rsidRDefault="006379FC" w:rsidP="003B53AF">
            <w:pPr>
              <w:pStyle w:val="TableText"/>
            </w:pPr>
            <w:r>
              <w:t>Resource use for medical services, allied health services, imaging and pathology sourced from economic study by Richardson 2021</w:t>
            </w:r>
            <w:r w:rsidR="005201C0">
              <w:rPr>
                <w:rStyle w:val="FootnoteReference"/>
              </w:rPr>
              <w:footnoteReference w:id="31"/>
            </w:r>
            <w:r>
              <w:t>.</w:t>
            </w:r>
          </w:p>
        </w:tc>
      </w:tr>
      <w:tr w:rsidR="003B53AF" w:rsidRPr="00CE28E3" w14:paraId="4F8F64FF" w14:textId="77777777" w:rsidTr="00175863">
        <w:tc>
          <w:tcPr>
            <w:tcW w:w="2515" w:type="dxa"/>
          </w:tcPr>
          <w:p w14:paraId="4697A454" w14:textId="6AC0A3D6" w:rsidR="003B53AF" w:rsidRDefault="003B53AF" w:rsidP="003B53AF">
            <w:pPr>
              <w:pStyle w:val="TableText"/>
              <w:rPr>
                <w:b/>
              </w:rPr>
            </w:pPr>
            <w:r>
              <w:t>Cost associated with severe disease (ventilat</w:t>
            </w:r>
            <w:r w:rsidR="00D74FC3">
              <w:t>ion</w:t>
            </w:r>
            <w:r>
              <w:t>-assisted) health state for IOGSD II (per month)</w:t>
            </w:r>
          </w:p>
        </w:tc>
        <w:tc>
          <w:tcPr>
            <w:tcW w:w="1885" w:type="dxa"/>
          </w:tcPr>
          <w:p w14:paraId="42880494" w14:textId="539FDC58" w:rsidR="003B53AF" w:rsidRPr="00FE0C27" w:rsidRDefault="003B53AF" w:rsidP="003B53AF">
            <w:pPr>
              <w:pStyle w:val="TableText"/>
              <w:jc w:val="center"/>
              <w:rPr>
                <w:u w:val="single"/>
              </w:rPr>
            </w:pPr>
            <w:r>
              <w:t>$10,755.80</w:t>
            </w:r>
          </w:p>
        </w:tc>
        <w:tc>
          <w:tcPr>
            <w:tcW w:w="4616" w:type="dxa"/>
          </w:tcPr>
          <w:p w14:paraId="77248857" w14:textId="0590FBE9" w:rsidR="003B53AF" w:rsidRDefault="006379FC" w:rsidP="003B53AF">
            <w:pPr>
              <w:pStyle w:val="TableText"/>
            </w:pPr>
            <w:r>
              <w:t>Resource use for medical services, hospitalisations, allied health services, imaging and pathology sourced from economic study by Richardson 2021</w:t>
            </w:r>
            <w:r w:rsidR="005201C0">
              <w:rPr>
                <w:vertAlign w:val="superscript"/>
              </w:rPr>
              <w:t>24</w:t>
            </w:r>
            <w:r>
              <w:t>.</w:t>
            </w:r>
          </w:p>
        </w:tc>
      </w:tr>
      <w:tr w:rsidR="003B53AF" w:rsidRPr="00CE28E3" w14:paraId="1217A7DF" w14:textId="77777777" w:rsidTr="00175863">
        <w:tc>
          <w:tcPr>
            <w:tcW w:w="2515" w:type="dxa"/>
          </w:tcPr>
          <w:p w14:paraId="0BB7C689" w14:textId="2470A628" w:rsidR="003B53AF" w:rsidRDefault="003B53AF" w:rsidP="003B53AF">
            <w:pPr>
              <w:pStyle w:val="TableText"/>
              <w:rPr>
                <w:b/>
              </w:rPr>
            </w:pPr>
            <w:r>
              <w:t>Cost associated with health state transition (from mild disease to ventilation-assisted health state, once off)</w:t>
            </w:r>
          </w:p>
        </w:tc>
        <w:tc>
          <w:tcPr>
            <w:tcW w:w="1885" w:type="dxa"/>
          </w:tcPr>
          <w:p w14:paraId="24482833" w14:textId="10A30A6D" w:rsidR="003B53AF" w:rsidRPr="00FE0C27" w:rsidRDefault="003B53AF" w:rsidP="003B53AF">
            <w:pPr>
              <w:pStyle w:val="TableText"/>
              <w:jc w:val="center"/>
              <w:rPr>
                <w:u w:val="single"/>
              </w:rPr>
            </w:pPr>
            <w:r>
              <w:t>$98,604</w:t>
            </w:r>
          </w:p>
        </w:tc>
        <w:tc>
          <w:tcPr>
            <w:tcW w:w="4616" w:type="dxa"/>
          </w:tcPr>
          <w:p w14:paraId="7F3AE95E" w14:textId="04A655CF" w:rsidR="003B53AF" w:rsidRDefault="006379FC" w:rsidP="003B53AF">
            <w:pPr>
              <w:pStyle w:val="TableText"/>
            </w:pPr>
            <w:r>
              <w:t>Resource use for medical services, hospitalisations, and medical equipment sourced from economic study by Richardson 2021</w:t>
            </w:r>
            <w:r w:rsidR="005201C0">
              <w:rPr>
                <w:vertAlign w:val="superscript"/>
              </w:rPr>
              <w:t>24</w:t>
            </w:r>
            <w:r>
              <w:t>.</w:t>
            </w:r>
          </w:p>
        </w:tc>
      </w:tr>
      <w:tr w:rsidR="00243D9C" w:rsidRPr="00CE28E3" w14:paraId="193FC599" w14:textId="77777777" w:rsidTr="00175863">
        <w:tc>
          <w:tcPr>
            <w:tcW w:w="9016" w:type="dxa"/>
            <w:gridSpan w:val="3"/>
          </w:tcPr>
          <w:p w14:paraId="146C492B" w14:textId="63E2B011" w:rsidR="00243D9C" w:rsidRPr="00CE28E3" w:rsidRDefault="00243D9C" w:rsidP="00243D9C">
            <w:pPr>
              <w:pStyle w:val="TableText"/>
            </w:pPr>
            <w:r w:rsidRPr="34B144A1">
              <w:rPr>
                <w:b/>
                <w:bCs/>
              </w:rPr>
              <w:t>Health Outcome utility values</w:t>
            </w:r>
            <w:r>
              <w:rPr>
                <w:b/>
                <w:bCs/>
              </w:rPr>
              <w:t xml:space="preserve"> </w:t>
            </w:r>
            <w:r w:rsidRPr="34B144A1">
              <w:rPr>
                <w:b/>
                <w:bCs/>
              </w:rPr>
              <w:t>(exploratory analysis only)</w:t>
            </w:r>
          </w:p>
        </w:tc>
      </w:tr>
      <w:tr w:rsidR="00243D9C" w:rsidRPr="00CE28E3" w14:paraId="3969F2BC" w14:textId="77777777" w:rsidTr="00175863">
        <w:tc>
          <w:tcPr>
            <w:tcW w:w="2515" w:type="dxa"/>
          </w:tcPr>
          <w:p w14:paraId="77BDC45D" w14:textId="48893F3A" w:rsidR="00243D9C" w:rsidRDefault="00243D9C" w:rsidP="00243D9C">
            <w:pPr>
              <w:pStyle w:val="TableText"/>
            </w:pPr>
            <w:r w:rsidRPr="00492AB6">
              <w:t xml:space="preserve">Utility in well </w:t>
            </w:r>
            <w:r>
              <w:t xml:space="preserve">health </w:t>
            </w:r>
            <w:r w:rsidRPr="00492AB6">
              <w:t>state</w:t>
            </w:r>
          </w:p>
        </w:tc>
        <w:tc>
          <w:tcPr>
            <w:tcW w:w="1885" w:type="dxa"/>
          </w:tcPr>
          <w:p w14:paraId="46232470" w14:textId="544B7C38" w:rsidR="00243D9C" w:rsidRDefault="00243D9C" w:rsidP="00243D9C">
            <w:pPr>
              <w:pStyle w:val="TableText"/>
              <w:jc w:val="center"/>
            </w:pPr>
            <w:r>
              <w:rPr>
                <w:rFonts w:cs="Calibri"/>
                <w:color w:val="000000"/>
              </w:rPr>
              <w:t>0.829 – 0.910</w:t>
            </w:r>
          </w:p>
        </w:tc>
        <w:tc>
          <w:tcPr>
            <w:tcW w:w="4616" w:type="dxa"/>
          </w:tcPr>
          <w:p w14:paraId="4D39B1E1" w14:textId="5651AE3C" w:rsidR="00243D9C" w:rsidRPr="00C0105C" w:rsidRDefault="00243D9C" w:rsidP="02E2EE7D">
            <w:pPr>
              <w:pStyle w:val="TableText"/>
            </w:pPr>
            <w:r w:rsidRPr="02E2EE7D">
              <w:t xml:space="preserve">Mean (SD) utility observed in Australian children aged 11–17 years </w:t>
            </w:r>
            <w:r w:rsidR="005201C0" w:rsidRPr="02E2EE7D">
              <w:t>(Chen 2015)</w:t>
            </w:r>
            <w:r w:rsidR="005201C0" w:rsidRPr="02E2EE7D">
              <w:rPr>
                <w:rStyle w:val="FootnoteReference"/>
              </w:rPr>
              <w:footnoteReference w:id="32"/>
            </w:r>
            <w:r w:rsidR="005201C0" w:rsidRPr="02E2EE7D">
              <w:t xml:space="preserve"> </w:t>
            </w:r>
            <w:r w:rsidRPr="02E2EE7D">
              <w:t xml:space="preserve">and in adults &gt;18years </w:t>
            </w:r>
            <w:r w:rsidR="005201C0" w:rsidRPr="02E2EE7D">
              <w:t>(McCaffrey 2016)</w:t>
            </w:r>
            <w:r w:rsidR="005201C0" w:rsidRPr="02E2EE7D">
              <w:rPr>
                <w:rStyle w:val="FootnoteReference"/>
              </w:rPr>
              <w:footnoteReference w:id="33"/>
            </w:r>
            <w:r w:rsidR="005201C0" w:rsidRPr="02E2EE7D">
              <w:t xml:space="preserve"> </w:t>
            </w:r>
          </w:p>
        </w:tc>
      </w:tr>
      <w:tr w:rsidR="00243D9C" w:rsidRPr="00CE28E3" w14:paraId="1BC843F3" w14:textId="77777777" w:rsidTr="02E2EE7D">
        <w:tc>
          <w:tcPr>
            <w:tcW w:w="2515" w:type="dxa"/>
          </w:tcPr>
          <w:p w14:paraId="2AECBBF4" w14:textId="0992DEEF" w:rsidR="00243D9C" w:rsidRDefault="00243D9C" w:rsidP="00243D9C">
            <w:pPr>
              <w:pStyle w:val="TableText"/>
            </w:pPr>
            <w:r>
              <w:t>GSD II with mild symptoms</w:t>
            </w:r>
          </w:p>
        </w:tc>
        <w:tc>
          <w:tcPr>
            <w:tcW w:w="1885" w:type="dxa"/>
          </w:tcPr>
          <w:p w14:paraId="56F33AFC" w14:textId="627F3FE1" w:rsidR="00243D9C" w:rsidRDefault="00243D9C" w:rsidP="00243D9C">
            <w:pPr>
              <w:pStyle w:val="TableText"/>
              <w:jc w:val="center"/>
            </w:pPr>
            <w:r>
              <w:t>0.799 – 0.853</w:t>
            </w:r>
          </w:p>
        </w:tc>
        <w:tc>
          <w:tcPr>
            <w:tcW w:w="4616" w:type="dxa"/>
          </w:tcPr>
          <w:p w14:paraId="4C2AA9FE" w14:textId="453B5353" w:rsidR="00243D9C" w:rsidRPr="00C0105C" w:rsidRDefault="00243D9C" w:rsidP="00243D9C">
            <w:pPr>
              <w:pStyle w:val="TableText"/>
            </w:pPr>
            <w:r w:rsidRPr="009815E6">
              <w:t xml:space="preserve">Age specific </w:t>
            </w:r>
            <w:r>
              <w:fldChar w:fldCharType="begin">
                <w:fldData xml:space="preserve">PEVuZE5vdGU+PENpdGU+PEF1dGhvcj5SaWNoYXJkc29uPC9BdXRob3I+PFllYXI+MjAyMTwvWWVh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</w:fldData>
              </w:fldChar>
            </w:r>
            <w:r w:rsidR="00350FBE">
              <w:instrText xml:space="preserve"> ADDIN EN.CITE </w:instrText>
            </w:r>
            <w:r w:rsidR="00350FBE">
              <w:fldChar w:fldCharType="begin">
                <w:fldData xml:space="preserve">PEVuZE5vdGU+PENpdGU+PEF1dGhvcj5SaWNoYXJkc29uPC9BdXRob3I+PFllYXI+MjAyMTwvWWVh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</w:fldData>
              </w:fldChar>
            </w:r>
            <w:r w:rsidR="00350FBE">
              <w:instrText xml:space="preserve"> ADDIN EN.CITE.DATA </w:instrText>
            </w:r>
            <w:r w:rsidR="00350FBE">
              <w:fldChar w:fldCharType="end"/>
            </w:r>
            <w:r>
              <w:fldChar w:fldCharType="separate"/>
            </w:r>
            <w:r w:rsidR="00350FBE">
              <w:rPr>
                <w:noProof/>
              </w:rPr>
              <w:t>(Richardson et al. 2021; Simon et al. 2019)</w:t>
            </w:r>
            <w:r>
              <w:fldChar w:fldCharType="end"/>
            </w:r>
          </w:p>
        </w:tc>
      </w:tr>
      <w:tr w:rsidR="00243D9C" w:rsidRPr="00CE28E3" w14:paraId="5467AEE5" w14:textId="77777777" w:rsidTr="02E2EE7D">
        <w:tc>
          <w:tcPr>
            <w:tcW w:w="2515" w:type="dxa"/>
          </w:tcPr>
          <w:p w14:paraId="13081C3A" w14:textId="2D91BCD8" w:rsidR="00243D9C" w:rsidRDefault="00243D9C" w:rsidP="00243D9C">
            <w:pPr>
              <w:pStyle w:val="TableText"/>
            </w:pPr>
            <w:r>
              <w:t>GSD II with severe symptoms</w:t>
            </w:r>
          </w:p>
        </w:tc>
        <w:tc>
          <w:tcPr>
            <w:tcW w:w="1885" w:type="dxa"/>
          </w:tcPr>
          <w:p w14:paraId="392F9E2F" w14:textId="4B067180" w:rsidR="00243D9C" w:rsidRDefault="00243D9C" w:rsidP="00243D9C">
            <w:pPr>
              <w:pStyle w:val="TableText"/>
              <w:jc w:val="center"/>
            </w:pPr>
            <w:r>
              <w:t>0.399 – 0.536</w:t>
            </w:r>
          </w:p>
        </w:tc>
        <w:tc>
          <w:tcPr>
            <w:tcW w:w="4616" w:type="dxa"/>
          </w:tcPr>
          <w:p w14:paraId="72D444FE" w14:textId="546866DD" w:rsidR="00243D9C" w:rsidRPr="00C0105C" w:rsidRDefault="00243D9C" w:rsidP="00243D9C">
            <w:pPr>
              <w:pStyle w:val="TableText"/>
            </w:pPr>
            <w:r w:rsidRPr="009815E6">
              <w:t xml:space="preserve">Age specific </w:t>
            </w:r>
            <w:r>
              <w:fldChar w:fldCharType="begin">
                <w:fldData xml:space="preserve">PEVuZE5vdGU+PENpdGU+PEF1dGhvcj5SaWNoYXJkc29uPC9BdXRob3I+PFllYXI+MjAyMTwvWWVh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</w:fldData>
              </w:fldChar>
            </w:r>
            <w:r w:rsidR="00350FBE">
              <w:instrText xml:space="preserve"> ADDIN EN.CITE </w:instrText>
            </w:r>
            <w:r w:rsidR="00350FBE">
              <w:fldChar w:fldCharType="begin">
                <w:fldData xml:space="preserve">PEVuZE5vdGU+PENpdGU+PEF1dGhvcj5SaWNoYXJkc29uPC9BdXRob3I+PFllYXI+MjAyMTwvWWVh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</w:fldData>
              </w:fldChar>
            </w:r>
            <w:r w:rsidR="00350FBE">
              <w:instrText xml:space="preserve"> ADDIN EN.CITE.DATA </w:instrText>
            </w:r>
            <w:r w:rsidR="00350FBE">
              <w:fldChar w:fldCharType="end"/>
            </w:r>
            <w:r>
              <w:fldChar w:fldCharType="separate"/>
            </w:r>
            <w:r w:rsidR="00350FBE">
              <w:rPr>
                <w:noProof/>
              </w:rPr>
              <w:t>(Richardson et al. 2021; Simon et al. 2019)</w:t>
            </w:r>
            <w:r>
              <w:fldChar w:fldCharType="end"/>
            </w:r>
          </w:p>
        </w:tc>
      </w:tr>
      <w:tr w:rsidR="00243D9C" w:rsidRPr="00CE28E3" w14:paraId="634DE522" w14:textId="77777777" w:rsidTr="00175863">
        <w:tc>
          <w:tcPr>
            <w:tcW w:w="2515" w:type="dxa"/>
          </w:tcPr>
          <w:p w14:paraId="0CE7AB4B" w14:textId="4C522083" w:rsidR="00243D9C" w:rsidRDefault="00243D9C" w:rsidP="00243D9C">
            <w:pPr>
              <w:pStyle w:val="TableText"/>
            </w:pPr>
            <w:r>
              <w:t xml:space="preserve">Disutility during diagnostic </w:t>
            </w:r>
            <w:r w:rsidR="00F858A6">
              <w:t>delay</w:t>
            </w:r>
            <w:r>
              <w:t xml:space="preserve"> (pre-diagnosis)</w:t>
            </w:r>
          </w:p>
        </w:tc>
        <w:tc>
          <w:tcPr>
            <w:tcW w:w="1885" w:type="dxa"/>
          </w:tcPr>
          <w:p w14:paraId="2EA31E1C" w14:textId="69F5E63F" w:rsidR="00243D9C" w:rsidRDefault="00243D9C" w:rsidP="00243D9C">
            <w:pPr>
              <w:pStyle w:val="TableText"/>
              <w:jc w:val="center"/>
            </w:pPr>
            <w:r>
              <w:t>0.030 –0.057</w:t>
            </w:r>
          </w:p>
        </w:tc>
        <w:tc>
          <w:tcPr>
            <w:tcW w:w="4616" w:type="dxa"/>
          </w:tcPr>
          <w:p w14:paraId="42C6E50C" w14:textId="198EF294" w:rsidR="00243D9C" w:rsidRPr="00C0105C" w:rsidRDefault="00243D9C" w:rsidP="00243D9C">
            <w:pPr>
              <w:pStyle w:val="TableText"/>
            </w:pPr>
            <w:r w:rsidRPr="02E2EE7D">
              <w:t>Difference between utility in health states ‘well’ and ‘mild symptoms’.</w:t>
            </w:r>
          </w:p>
        </w:tc>
      </w:tr>
    </w:tbl>
    <w:p w14:paraId="5C4A19A2" w14:textId="77777777" w:rsidR="001F3F40" w:rsidRDefault="001F3F40" w:rsidP="008B6BB7">
      <w:pPr>
        <w:pStyle w:val="Tablenotes"/>
        <w:contextualSpacing w:val="0"/>
      </w:pPr>
      <w:r>
        <w:t>ERT = enzyme replacement therapy; FPR = false positive rate; GAA = acid alpha-glucosidase; GSD II = glycogen storage disease Type II; IOGSD II = infantile-onset glycogen storage disease Type II; LC-MS/MS = liquid chromatography- tandem mass spectrometry; LSDP = Life Saving Drugs Program; MS/MS = tandem mass spectrometry; NBS = newborn bloodspot screening; PICO = Population/Intervention/Comparator/Outcomes; SD = standard deviation</w:t>
      </w:r>
    </w:p>
    <w:p w14:paraId="21C63AB7" w14:textId="77777777" w:rsidR="001F3F40" w:rsidRPr="0013135C" w:rsidRDefault="001F3F40" w:rsidP="00275705">
      <w:pPr>
        <w:pStyle w:val="Tablenotes"/>
      </w:pPr>
      <w:proofErr w:type="spellStart"/>
      <w:proofErr w:type="gramStart"/>
      <w:r w:rsidRPr="02E2EE7D">
        <w:rPr>
          <w:vertAlign w:val="superscript"/>
        </w:rPr>
        <w:t>a</w:t>
      </w:r>
      <w:proofErr w:type="spellEnd"/>
      <w:proofErr w:type="gramEnd"/>
      <w:r w:rsidRPr="02E2EE7D">
        <w:rPr>
          <w:vertAlign w:val="superscript"/>
        </w:rPr>
        <w:t xml:space="preserve"> </w:t>
      </w:r>
      <w:r w:rsidRPr="02E2EE7D">
        <w:t>Additional health-care utilization for patients diagnosed with GSD II but without symptoms, annual estimate: GP visit, outpatient visit; lab work including creatine kinase-MB, comprehensive panel, and urine hex4, cardiac studies, respiratory studies, specialist visits.</w:t>
      </w:r>
    </w:p>
    <w:p w14:paraId="10951886" w14:textId="49E289D7" w:rsidR="001F3F40" w:rsidRDefault="001F3F40" w:rsidP="00092CCC">
      <w:pPr>
        <w:pStyle w:val="Tablenotes"/>
      </w:pPr>
      <w:r w:rsidRPr="02E2EE7D">
        <w:rPr>
          <w:vertAlign w:val="superscript"/>
        </w:rPr>
        <w:t>b</w:t>
      </w:r>
      <w:r w:rsidRPr="02E2EE7D">
        <w:t xml:space="preserve"> Additional costs of prolonged evaluation and diagnostic testing (diagnostic </w:t>
      </w:r>
      <w:r w:rsidR="00F858A6">
        <w:t>delay</w:t>
      </w:r>
      <w:r w:rsidRPr="02E2EE7D">
        <w:t>) for cases identified clinically in the absence of NBS included additional outpatient and emergency room visits and lab tests.</w:t>
      </w:r>
    </w:p>
    <w:p w14:paraId="26D74C38" w14:textId="51E13FEC" w:rsidR="007A31E2" w:rsidRPr="007A31E2" w:rsidRDefault="007A31E2" w:rsidP="00092CCC">
      <w:pPr>
        <w:pStyle w:val="Tablenotes"/>
      </w:pPr>
      <w:r w:rsidRPr="00B96225">
        <w:rPr>
          <w:sz w:val="16"/>
          <w:szCs w:val="16"/>
          <w:vertAlign w:val="superscript"/>
        </w:rPr>
        <w:t>C</w:t>
      </w:r>
      <w:r>
        <w:t xml:space="preserve"> Figure </w:t>
      </w:r>
      <w:r w:rsidR="00CF04ED">
        <w:t>is</w:t>
      </w:r>
      <w:r>
        <w:t xml:space="preserve"> not </w:t>
      </w:r>
      <w:r w:rsidR="00CF04ED">
        <w:t xml:space="preserve">inclusive of cost of </w:t>
      </w:r>
      <w:r>
        <w:t>segregation testing of parents.</w:t>
      </w:r>
    </w:p>
    <w:p w14:paraId="42DA8DA5" w14:textId="12CEE017" w:rsidR="001F3F40" w:rsidRDefault="001F3F40" w:rsidP="00092CCC">
      <w:pPr>
        <w:spacing w:before="240"/>
      </w:pPr>
      <w:r w:rsidRPr="02E2EE7D">
        <w:t xml:space="preserve">The costs associated with disease monitoring in asymptomatic probable LOGSD </w:t>
      </w:r>
      <w:proofErr w:type="gramStart"/>
      <w:r w:rsidRPr="02E2EE7D">
        <w:t>II</w:t>
      </w:r>
      <w:proofErr w:type="gramEnd"/>
      <w:r w:rsidRPr="02E2EE7D">
        <w:t xml:space="preserve"> and costs associated with diagnostic </w:t>
      </w:r>
      <w:r w:rsidR="00F858A6">
        <w:t>delay</w:t>
      </w:r>
      <w:r w:rsidR="00F858A6" w:rsidRPr="02E2EE7D">
        <w:t xml:space="preserve"> </w:t>
      </w:r>
      <w:r w:rsidRPr="02E2EE7D">
        <w:t xml:space="preserve">in those diagnosed through clinical identification after symptom presentation are provided in </w:t>
      </w:r>
      <w:r w:rsidR="0063013E">
        <w:t>Table 7</w:t>
      </w:r>
      <w:r w:rsidRPr="02E2EE7D">
        <w:t>.</w:t>
      </w:r>
    </w:p>
    <w:p w14:paraId="5578B8EC" w14:textId="257783CF" w:rsidR="001F3F40" w:rsidRDefault="001F3F40" w:rsidP="00ED5CB7">
      <w:pPr>
        <w:pStyle w:val="Caption"/>
        <w:keepLines/>
      </w:pPr>
      <w:bookmarkStart w:id="49" w:name="_Ref181824724"/>
      <w:r>
        <w:t xml:space="preserve">Table </w:t>
      </w:r>
      <w:bookmarkEnd w:id="49"/>
      <w:r w:rsidR="004A68D4">
        <w:t>7</w:t>
      </w:r>
      <w:r>
        <w:tab/>
        <w:t xml:space="preserve">Estimated resource use and costs associated with annual surveillance and </w:t>
      </w:r>
      <w:r w:rsidRPr="00707C1C">
        <w:t xml:space="preserve">diagnostic </w:t>
      </w:r>
      <w:r w:rsidR="00F858A6">
        <w:t>delay</w:t>
      </w:r>
      <w:r w:rsidRPr="00707C1C">
        <w:t xml:space="preserve"> for GSD II</w:t>
      </w:r>
    </w:p>
    <w:tbl>
      <w:tblPr>
        <w:tblW w:w="9016" w:type="dxa"/>
        <w:tblLook w:val="04A0" w:firstRow="1" w:lastRow="0" w:firstColumn="1" w:lastColumn="0" w:noHBand="0" w:noVBand="1"/>
      </w:tblPr>
      <w:tblGrid>
        <w:gridCol w:w="2972"/>
        <w:gridCol w:w="1247"/>
        <w:gridCol w:w="1305"/>
        <w:gridCol w:w="708"/>
        <w:gridCol w:w="2784"/>
      </w:tblGrid>
      <w:tr w:rsidR="001F3F40" w:rsidRPr="0066678A" w14:paraId="066E9ED9" w14:textId="77777777" w:rsidTr="00175863">
        <w:trPr>
          <w:trHeight w:val="244"/>
          <w:tblHeader/>
        </w:trPr>
        <w:tc>
          <w:tcPr>
            <w:tcW w:w="2972" w:type="dxa"/>
            <w:tcBorders>
              <w:top w:val="single" w:sz="4" w:space="0" w:color="auto"/>
              <w:left w:val="single" w:sz="4" w:space="0" w:color="auto"/>
              <w:bottom w:val="single" w:sz="4" w:space="0" w:color="auto"/>
              <w:right w:val="single" w:sz="4" w:space="0" w:color="auto"/>
            </w:tcBorders>
            <w:noWrap/>
            <w:vAlign w:val="bottom"/>
            <w:hideMark/>
          </w:tcPr>
          <w:p w14:paraId="135B289A" w14:textId="77777777" w:rsidR="001F3F40" w:rsidRPr="0066678A"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r w:rsidRPr="0066678A">
              <w:rPr>
                <w:rFonts w:ascii="Arial Narrow" w:eastAsia="Times New Roman" w:hAnsi="Arial Narrow" w:cs="Calibri"/>
                <w:b/>
                <w:bCs/>
                <w:color w:val="000000"/>
                <w:sz w:val="20"/>
                <w:szCs w:val="20"/>
                <w:lang w:eastAsia="en-AU"/>
              </w:rPr>
              <w:t>Description</w:t>
            </w:r>
          </w:p>
        </w:tc>
        <w:tc>
          <w:tcPr>
            <w:tcW w:w="1247" w:type="dxa"/>
            <w:tcBorders>
              <w:top w:val="single" w:sz="4" w:space="0" w:color="auto"/>
              <w:left w:val="nil"/>
              <w:bottom w:val="single" w:sz="4" w:space="0" w:color="auto"/>
              <w:right w:val="single" w:sz="4" w:space="0" w:color="auto"/>
            </w:tcBorders>
            <w:noWrap/>
            <w:vAlign w:val="bottom"/>
            <w:hideMark/>
          </w:tcPr>
          <w:p w14:paraId="2B3160E2" w14:textId="77777777" w:rsidR="001F3F40" w:rsidRPr="0066678A"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r w:rsidRPr="0066678A">
              <w:rPr>
                <w:rFonts w:ascii="Arial Narrow" w:eastAsia="Times New Roman" w:hAnsi="Arial Narrow" w:cs="Calibri"/>
                <w:b/>
                <w:bCs/>
                <w:color w:val="000000"/>
                <w:sz w:val="20"/>
                <w:szCs w:val="20"/>
                <w:lang w:eastAsia="en-AU"/>
              </w:rPr>
              <w:t>Cost</w:t>
            </w:r>
          </w:p>
        </w:tc>
        <w:tc>
          <w:tcPr>
            <w:tcW w:w="1305" w:type="dxa"/>
            <w:tcBorders>
              <w:top w:val="single" w:sz="4" w:space="0" w:color="auto"/>
              <w:left w:val="nil"/>
              <w:bottom w:val="single" w:sz="4" w:space="0" w:color="auto"/>
              <w:right w:val="single" w:sz="4" w:space="0" w:color="auto"/>
            </w:tcBorders>
            <w:noWrap/>
            <w:vAlign w:val="bottom"/>
            <w:hideMark/>
          </w:tcPr>
          <w:p w14:paraId="205E75C7" w14:textId="77777777" w:rsidR="001F3F40" w:rsidRPr="0066678A"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r w:rsidRPr="0066678A">
              <w:rPr>
                <w:rFonts w:ascii="Arial Narrow" w:eastAsia="Times New Roman" w:hAnsi="Arial Narrow" w:cs="Calibri"/>
                <w:b/>
                <w:bCs/>
                <w:color w:val="000000"/>
                <w:sz w:val="20"/>
                <w:szCs w:val="20"/>
                <w:lang w:eastAsia="en-AU"/>
              </w:rPr>
              <w:t>Cost per unit</w:t>
            </w:r>
          </w:p>
        </w:tc>
        <w:tc>
          <w:tcPr>
            <w:tcW w:w="708" w:type="dxa"/>
            <w:tcBorders>
              <w:top w:val="single" w:sz="4" w:space="0" w:color="auto"/>
              <w:left w:val="nil"/>
              <w:bottom w:val="single" w:sz="4" w:space="0" w:color="auto"/>
              <w:right w:val="single" w:sz="4" w:space="0" w:color="auto"/>
            </w:tcBorders>
            <w:noWrap/>
            <w:vAlign w:val="bottom"/>
            <w:hideMark/>
          </w:tcPr>
          <w:p w14:paraId="62D90532" w14:textId="77777777" w:rsidR="001F3F40" w:rsidRPr="0066678A"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r w:rsidRPr="0066678A">
              <w:rPr>
                <w:rFonts w:ascii="Arial Narrow" w:eastAsia="Times New Roman" w:hAnsi="Arial Narrow" w:cs="Calibri"/>
                <w:b/>
                <w:bCs/>
                <w:color w:val="000000"/>
                <w:sz w:val="20"/>
                <w:szCs w:val="20"/>
                <w:lang w:eastAsia="en-AU"/>
              </w:rPr>
              <w:t>Units</w:t>
            </w:r>
          </w:p>
        </w:tc>
        <w:tc>
          <w:tcPr>
            <w:tcW w:w="2784" w:type="dxa"/>
            <w:tcBorders>
              <w:top w:val="single" w:sz="4" w:space="0" w:color="auto"/>
              <w:left w:val="nil"/>
              <w:bottom w:val="single" w:sz="4" w:space="0" w:color="auto"/>
              <w:right w:val="single" w:sz="4" w:space="0" w:color="auto"/>
            </w:tcBorders>
            <w:noWrap/>
            <w:vAlign w:val="bottom"/>
            <w:hideMark/>
          </w:tcPr>
          <w:p w14:paraId="3AA927F4" w14:textId="77777777" w:rsidR="001F3F40" w:rsidRPr="0066678A"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r w:rsidRPr="0066678A">
              <w:rPr>
                <w:rFonts w:ascii="Arial Narrow" w:eastAsia="Times New Roman" w:hAnsi="Arial Narrow" w:cs="Calibri"/>
                <w:b/>
                <w:bCs/>
                <w:color w:val="000000"/>
                <w:sz w:val="20"/>
                <w:szCs w:val="20"/>
                <w:lang w:eastAsia="en-AU"/>
              </w:rPr>
              <w:t>Source</w:t>
            </w:r>
          </w:p>
        </w:tc>
      </w:tr>
      <w:tr w:rsidR="001F3F40" w:rsidRPr="0066678A" w14:paraId="6C1C6490"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tcPr>
          <w:p w14:paraId="5CD0B130" w14:textId="29840524"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Pr>
                <w:rFonts w:ascii="Arial Narrow" w:eastAsia="Times New Roman" w:hAnsi="Arial Narrow" w:cs="Calibri"/>
                <w:b/>
                <w:bCs/>
                <w:color w:val="000000"/>
                <w:sz w:val="20"/>
                <w:szCs w:val="20"/>
                <w:lang w:eastAsia="en-AU"/>
              </w:rPr>
              <w:t>D</w:t>
            </w:r>
            <w:r w:rsidRPr="00AA0BC8">
              <w:rPr>
                <w:rFonts w:ascii="Arial Narrow" w:eastAsia="Times New Roman" w:hAnsi="Arial Narrow" w:cs="Calibri"/>
                <w:b/>
                <w:bCs/>
                <w:color w:val="000000"/>
                <w:sz w:val="20"/>
                <w:szCs w:val="20"/>
                <w:lang w:eastAsia="en-AU"/>
              </w:rPr>
              <w:t xml:space="preserve">iagnostic </w:t>
            </w:r>
            <w:r w:rsidR="00807D60">
              <w:rPr>
                <w:rFonts w:ascii="Arial Narrow" w:eastAsia="Times New Roman" w:hAnsi="Arial Narrow" w:cs="Calibri"/>
                <w:b/>
                <w:bCs/>
                <w:color w:val="000000"/>
                <w:sz w:val="20"/>
                <w:szCs w:val="20"/>
                <w:lang w:eastAsia="en-AU"/>
              </w:rPr>
              <w:t>delay</w:t>
            </w:r>
          </w:p>
        </w:tc>
        <w:tc>
          <w:tcPr>
            <w:tcW w:w="1247" w:type="dxa"/>
            <w:tcBorders>
              <w:top w:val="nil"/>
              <w:left w:val="nil"/>
              <w:bottom w:val="single" w:sz="4" w:space="0" w:color="auto"/>
              <w:right w:val="single" w:sz="4" w:space="0" w:color="auto"/>
            </w:tcBorders>
            <w:noWrap/>
            <w:vAlign w:val="bottom"/>
          </w:tcPr>
          <w:p w14:paraId="4D2A6DC8"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p>
        </w:tc>
        <w:tc>
          <w:tcPr>
            <w:tcW w:w="1305" w:type="dxa"/>
            <w:tcBorders>
              <w:top w:val="nil"/>
              <w:left w:val="nil"/>
              <w:bottom w:val="single" w:sz="4" w:space="0" w:color="auto"/>
              <w:right w:val="single" w:sz="4" w:space="0" w:color="auto"/>
            </w:tcBorders>
            <w:noWrap/>
            <w:vAlign w:val="bottom"/>
          </w:tcPr>
          <w:p w14:paraId="6FC26858"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p>
        </w:tc>
        <w:tc>
          <w:tcPr>
            <w:tcW w:w="708" w:type="dxa"/>
            <w:tcBorders>
              <w:top w:val="nil"/>
              <w:left w:val="nil"/>
              <w:bottom w:val="single" w:sz="4" w:space="0" w:color="auto"/>
              <w:right w:val="single" w:sz="4" w:space="0" w:color="auto"/>
            </w:tcBorders>
            <w:noWrap/>
            <w:vAlign w:val="bottom"/>
          </w:tcPr>
          <w:p w14:paraId="1029FE3E"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p>
        </w:tc>
        <w:tc>
          <w:tcPr>
            <w:tcW w:w="2784" w:type="dxa"/>
            <w:tcBorders>
              <w:top w:val="nil"/>
              <w:left w:val="nil"/>
              <w:bottom w:val="single" w:sz="4" w:space="0" w:color="auto"/>
              <w:right w:val="single" w:sz="4" w:space="0" w:color="auto"/>
            </w:tcBorders>
            <w:noWrap/>
            <w:vAlign w:val="bottom"/>
          </w:tcPr>
          <w:p w14:paraId="360B572F"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p>
        </w:tc>
      </w:tr>
      <w:tr w:rsidR="001F3F40" w:rsidRPr="0066678A" w14:paraId="59268517"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184AD4E3"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GP consultation for referral and review</w:t>
            </w:r>
          </w:p>
        </w:tc>
        <w:tc>
          <w:tcPr>
            <w:tcW w:w="1247" w:type="dxa"/>
            <w:tcBorders>
              <w:top w:val="nil"/>
              <w:left w:val="nil"/>
              <w:bottom w:val="single" w:sz="4" w:space="0" w:color="auto"/>
              <w:right w:val="single" w:sz="4" w:space="0" w:color="auto"/>
            </w:tcBorders>
            <w:noWrap/>
            <w:vAlign w:val="bottom"/>
            <w:hideMark/>
          </w:tcPr>
          <w:p w14:paraId="09D5C396"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$165.80</w:t>
            </w:r>
          </w:p>
        </w:tc>
        <w:tc>
          <w:tcPr>
            <w:tcW w:w="1305" w:type="dxa"/>
            <w:tcBorders>
              <w:top w:val="nil"/>
              <w:left w:val="nil"/>
              <w:bottom w:val="single" w:sz="4" w:space="0" w:color="auto"/>
              <w:right w:val="single" w:sz="4" w:space="0" w:color="auto"/>
            </w:tcBorders>
            <w:noWrap/>
            <w:vAlign w:val="bottom"/>
            <w:hideMark/>
          </w:tcPr>
          <w:p w14:paraId="68BD1107"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$82.90</w:t>
            </w:r>
          </w:p>
        </w:tc>
        <w:tc>
          <w:tcPr>
            <w:tcW w:w="708" w:type="dxa"/>
            <w:tcBorders>
              <w:top w:val="nil"/>
              <w:left w:val="nil"/>
              <w:bottom w:val="single" w:sz="4" w:space="0" w:color="auto"/>
              <w:right w:val="single" w:sz="4" w:space="0" w:color="auto"/>
            </w:tcBorders>
            <w:noWrap/>
            <w:vAlign w:val="bottom"/>
            <w:hideMark/>
          </w:tcPr>
          <w:p w14:paraId="38433AF2"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2</w:t>
            </w:r>
          </w:p>
        </w:tc>
        <w:tc>
          <w:tcPr>
            <w:tcW w:w="2784" w:type="dxa"/>
            <w:tcBorders>
              <w:top w:val="nil"/>
              <w:left w:val="nil"/>
              <w:bottom w:val="single" w:sz="4" w:space="0" w:color="auto"/>
              <w:right w:val="single" w:sz="4" w:space="0" w:color="auto"/>
            </w:tcBorders>
            <w:noWrap/>
            <w:vAlign w:val="bottom"/>
            <w:hideMark/>
          </w:tcPr>
          <w:p w14:paraId="063923FE"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Scheduled fee for MBS item 36</w:t>
            </w:r>
          </w:p>
        </w:tc>
      </w:tr>
      <w:tr w:rsidR="001F3F40" w:rsidRPr="0066678A" w14:paraId="43409A50"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35CC9793"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Specialist metabolic clinic visit</w:t>
            </w:r>
          </w:p>
        </w:tc>
        <w:tc>
          <w:tcPr>
            <w:tcW w:w="1247" w:type="dxa"/>
            <w:tcBorders>
              <w:top w:val="nil"/>
              <w:left w:val="nil"/>
              <w:bottom w:val="single" w:sz="4" w:space="0" w:color="auto"/>
              <w:right w:val="single" w:sz="4" w:space="0" w:color="auto"/>
            </w:tcBorders>
            <w:noWrap/>
            <w:vAlign w:val="bottom"/>
            <w:hideMark/>
          </w:tcPr>
          <w:p w14:paraId="04DFC28A"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$4,397.57</w:t>
            </w:r>
          </w:p>
        </w:tc>
        <w:tc>
          <w:tcPr>
            <w:tcW w:w="1305" w:type="dxa"/>
            <w:tcBorders>
              <w:top w:val="nil"/>
              <w:left w:val="nil"/>
              <w:bottom w:val="single" w:sz="4" w:space="0" w:color="auto"/>
              <w:right w:val="single" w:sz="4" w:space="0" w:color="auto"/>
            </w:tcBorders>
            <w:noWrap/>
            <w:vAlign w:val="bottom"/>
            <w:hideMark/>
          </w:tcPr>
          <w:p w14:paraId="1736DD56"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$2,198.79</w:t>
            </w:r>
          </w:p>
        </w:tc>
        <w:tc>
          <w:tcPr>
            <w:tcW w:w="708" w:type="dxa"/>
            <w:tcBorders>
              <w:top w:val="nil"/>
              <w:left w:val="nil"/>
              <w:bottom w:val="single" w:sz="4" w:space="0" w:color="auto"/>
              <w:right w:val="single" w:sz="4" w:space="0" w:color="auto"/>
            </w:tcBorders>
            <w:noWrap/>
            <w:vAlign w:val="bottom"/>
            <w:hideMark/>
          </w:tcPr>
          <w:p w14:paraId="2ED5DE5F"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2</w:t>
            </w:r>
          </w:p>
        </w:tc>
        <w:tc>
          <w:tcPr>
            <w:tcW w:w="2784" w:type="dxa"/>
            <w:tcBorders>
              <w:top w:val="nil"/>
              <w:left w:val="nil"/>
              <w:bottom w:val="single" w:sz="4" w:space="0" w:color="auto"/>
              <w:right w:val="single" w:sz="4" w:space="0" w:color="auto"/>
            </w:tcBorders>
            <w:noWrap/>
            <w:vAlign w:val="bottom"/>
            <w:hideMark/>
          </w:tcPr>
          <w:p w14:paraId="5DC0A9D8"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NHCDC Tier 2 code 20.08</w:t>
            </w:r>
          </w:p>
        </w:tc>
      </w:tr>
      <w:tr w:rsidR="001F3F40" w:rsidRPr="0066678A" w14:paraId="2FC26EA7"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206CB68C"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Eye review</w:t>
            </w:r>
          </w:p>
        </w:tc>
        <w:tc>
          <w:tcPr>
            <w:tcW w:w="1247" w:type="dxa"/>
            <w:tcBorders>
              <w:top w:val="nil"/>
              <w:left w:val="nil"/>
              <w:bottom w:val="single" w:sz="4" w:space="0" w:color="auto"/>
              <w:right w:val="single" w:sz="4" w:space="0" w:color="auto"/>
            </w:tcBorders>
            <w:noWrap/>
            <w:vAlign w:val="bottom"/>
            <w:hideMark/>
          </w:tcPr>
          <w:p w14:paraId="05A3D747"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$582.24</w:t>
            </w:r>
          </w:p>
        </w:tc>
        <w:tc>
          <w:tcPr>
            <w:tcW w:w="1305" w:type="dxa"/>
            <w:tcBorders>
              <w:top w:val="nil"/>
              <w:left w:val="nil"/>
              <w:bottom w:val="single" w:sz="4" w:space="0" w:color="auto"/>
              <w:right w:val="single" w:sz="4" w:space="0" w:color="auto"/>
            </w:tcBorders>
            <w:noWrap/>
            <w:vAlign w:val="bottom"/>
            <w:hideMark/>
          </w:tcPr>
          <w:p w14:paraId="79867E07"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$582.24</w:t>
            </w:r>
          </w:p>
        </w:tc>
        <w:tc>
          <w:tcPr>
            <w:tcW w:w="708" w:type="dxa"/>
            <w:tcBorders>
              <w:top w:val="nil"/>
              <w:left w:val="nil"/>
              <w:bottom w:val="single" w:sz="4" w:space="0" w:color="auto"/>
              <w:right w:val="single" w:sz="4" w:space="0" w:color="auto"/>
            </w:tcBorders>
            <w:noWrap/>
            <w:vAlign w:val="bottom"/>
            <w:hideMark/>
          </w:tcPr>
          <w:p w14:paraId="379DDE6F"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3E6B26F6"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NHCDC Tier 2 code 20.17</w:t>
            </w:r>
          </w:p>
        </w:tc>
      </w:tr>
      <w:tr w:rsidR="001F3F40" w:rsidRPr="0066678A" w14:paraId="1B302BEF"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511BDADA"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Skeletal survey</w:t>
            </w:r>
          </w:p>
        </w:tc>
        <w:tc>
          <w:tcPr>
            <w:tcW w:w="1247" w:type="dxa"/>
            <w:tcBorders>
              <w:top w:val="nil"/>
              <w:left w:val="nil"/>
              <w:bottom w:val="single" w:sz="4" w:space="0" w:color="auto"/>
              <w:right w:val="single" w:sz="4" w:space="0" w:color="auto"/>
            </w:tcBorders>
            <w:noWrap/>
            <w:vAlign w:val="bottom"/>
            <w:hideMark/>
          </w:tcPr>
          <w:p w14:paraId="34A7C366"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$100.25</w:t>
            </w:r>
          </w:p>
        </w:tc>
        <w:tc>
          <w:tcPr>
            <w:tcW w:w="1305" w:type="dxa"/>
            <w:tcBorders>
              <w:top w:val="nil"/>
              <w:left w:val="nil"/>
              <w:bottom w:val="single" w:sz="4" w:space="0" w:color="auto"/>
              <w:right w:val="single" w:sz="4" w:space="0" w:color="auto"/>
            </w:tcBorders>
            <w:noWrap/>
            <w:vAlign w:val="bottom"/>
            <w:hideMark/>
          </w:tcPr>
          <w:p w14:paraId="22FFF09B"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$100.25</w:t>
            </w:r>
          </w:p>
        </w:tc>
        <w:tc>
          <w:tcPr>
            <w:tcW w:w="708" w:type="dxa"/>
            <w:tcBorders>
              <w:top w:val="nil"/>
              <w:left w:val="nil"/>
              <w:bottom w:val="single" w:sz="4" w:space="0" w:color="auto"/>
              <w:right w:val="single" w:sz="4" w:space="0" w:color="auto"/>
            </w:tcBorders>
            <w:noWrap/>
            <w:vAlign w:val="bottom"/>
            <w:hideMark/>
          </w:tcPr>
          <w:p w14:paraId="4FBE27E6"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4D0D883B"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Scheduled fee for MBS item 58306</w:t>
            </w:r>
          </w:p>
        </w:tc>
      </w:tr>
      <w:tr w:rsidR="001F3F40" w:rsidRPr="0066678A" w14:paraId="089B469F"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221223E7"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ENT/hearing assessment</w:t>
            </w:r>
          </w:p>
        </w:tc>
        <w:tc>
          <w:tcPr>
            <w:tcW w:w="1247" w:type="dxa"/>
            <w:tcBorders>
              <w:top w:val="nil"/>
              <w:left w:val="nil"/>
              <w:bottom w:val="single" w:sz="4" w:space="0" w:color="auto"/>
              <w:right w:val="single" w:sz="4" w:space="0" w:color="auto"/>
            </w:tcBorders>
            <w:noWrap/>
            <w:vAlign w:val="bottom"/>
            <w:hideMark/>
          </w:tcPr>
          <w:p w14:paraId="2CF8119D"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$618.65</w:t>
            </w:r>
          </w:p>
        </w:tc>
        <w:tc>
          <w:tcPr>
            <w:tcW w:w="1305" w:type="dxa"/>
            <w:tcBorders>
              <w:top w:val="nil"/>
              <w:left w:val="nil"/>
              <w:bottom w:val="single" w:sz="4" w:space="0" w:color="auto"/>
              <w:right w:val="single" w:sz="4" w:space="0" w:color="auto"/>
            </w:tcBorders>
            <w:noWrap/>
            <w:vAlign w:val="bottom"/>
            <w:hideMark/>
          </w:tcPr>
          <w:p w14:paraId="43C86C75"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$618.65</w:t>
            </w:r>
          </w:p>
        </w:tc>
        <w:tc>
          <w:tcPr>
            <w:tcW w:w="708" w:type="dxa"/>
            <w:tcBorders>
              <w:top w:val="nil"/>
              <w:left w:val="nil"/>
              <w:bottom w:val="single" w:sz="4" w:space="0" w:color="auto"/>
              <w:right w:val="single" w:sz="4" w:space="0" w:color="auto"/>
            </w:tcBorders>
            <w:noWrap/>
            <w:vAlign w:val="bottom"/>
            <w:hideMark/>
          </w:tcPr>
          <w:p w14:paraId="7AF595B9"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3A7DD684"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NHCDC Tier 2 code 20.18</w:t>
            </w:r>
          </w:p>
        </w:tc>
      </w:tr>
      <w:tr w:rsidR="001F3F40" w:rsidRPr="0066678A" w14:paraId="3FC85B49"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47F0EBDF"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Sleep studies</w:t>
            </w:r>
          </w:p>
        </w:tc>
        <w:tc>
          <w:tcPr>
            <w:tcW w:w="1247" w:type="dxa"/>
            <w:tcBorders>
              <w:top w:val="nil"/>
              <w:left w:val="nil"/>
              <w:bottom w:val="single" w:sz="4" w:space="0" w:color="auto"/>
              <w:right w:val="single" w:sz="4" w:space="0" w:color="auto"/>
            </w:tcBorders>
            <w:noWrap/>
            <w:vAlign w:val="bottom"/>
            <w:hideMark/>
          </w:tcPr>
          <w:p w14:paraId="0095A700"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$799.60</w:t>
            </w:r>
          </w:p>
        </w:tc>
        <w:tc>
          <w:tcPr>
            <w:tcW w:w="1305" w:type="dxa"/>
            <w:tcBorders>
              <w:top w:val="nil"/>
              <w:left w:val="nil"/>
              <w:bottom w:val="single" w:sz="4" w:space="0" w:color="auto"/>
              <w:right w:val="single" w:sz="4" w:space="0" w:color="auto"/>
            </w:tcBorders>
            <w:noWrap/>
            <w:vAlign w:val="bottom"/>
            <w:hideMark/>
          </w:tcPr>
          <w:p w14:paraId="08346E70"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$799.60</w:t>
            </w:r>
          </w:p>
        </w:tc>
        <w:tc>
          <w:tcPr>
            <w:tcW w:w="708" w:type="dxa"/>
            <w:tcBorders>
              <w:top w:val="nil"/>
              <w:left w:val="nil"/>
              <w:bottom w:val="single" w:sz="4" w:space="0" w:color="auto"/>
              <w:right w:val="single" w:sz="4" w:space="0" w:color="auto"/>
            </w:tcBorders>
            <w:noWrap/>
            <w:vAlign w:val="bottom"/>
            <w:hideMark/>
          </w:tcPr>
          <w:p w14:paraId="5E7D8472"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104EF2E1"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Scheduled fee for MBS item 12210</w:t>
            </w:r>
          </w:p>
        </w:tc>
      </w:tr>
      <w:tr w:rsidR="001F3F40" w:rsidRPr="0066678A" w14:paraId="36C3D721"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0462C62E"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Occupational therapy</w:t>
            </w:r>
          </w:p>
        </w:tc>
        <w:tc>
          <w:tcPr>
            <w:tcW w:w="1247" w:type="dxa"/>
            <w:tcBorders>
              <w:top w:val="nil"/>
              <w:left w:val="nil"/>
              <w:bottom w:val="single" w:sz="4" w:space="0" w:color="auto"/>
              <w:right w:val="single" w:sz="4" w:space="0" w:color="auto"/>
            </w:tcBorders>
            <w:noWrap/>
            <w:vAlign w:val="bottom"/>
            <w:hideMark/>
          </w:tcPr>
          <w:p w14:paraId="5C599133"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$2,195.41</w:t>
            </w:r>
          </w:p>
        </w:tc>
        <w:tc>
          <w:tcPr>
            <w:tcW w:w="1305" w:type="dxa"/>
            <w:tcBorders>
              <w:top w:val="nil"/>
              <w:left w:val="nil"/>
              <w:bottom w:val="single" w:sz="4" w:space="0" w:color="auto"/>
              <w:right w:val="single" w:sz="4" w:space="0" w:color="auto"/>
            </w:tcBorders>
            <w:noWrap/>
            <w:vAlign w:val="bottom"/>
            <w:hideMark/>
          </w:tcPr>
          <w:p w14:paraId="73243E18"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$548.85</w:t>
            </w:r>
          </w:p>
        </w:tc>
        <w:tc>
          <w:tcPr>
            <w:tcW w:w="708" w:type="dxa"/>
            <w:tcBorders>
              <w:top w:val="nil"/>
              <w:left w:val="nil"/>
              <w:bottom w:val="single" w:sz="4" w:space="0" w:color="auto"/>
              <w:right w:val="single" w:sz="4" w:space="0" w:color="auto"/>
            </w:tcBorders>
            <w:noWrap/>
            <w:vAlign w:val="bottom"/>
            <w:hideMark/>
          </w:tcPr>
          <w:p w14:paraId="506F267D"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4</w:t>
            </w:r>
          </w:p>
        </w:tc>
        <w:tc>
          <w:tcPr>
            <w:tcW w:w="2784" w:type="dxa"/>
            <w:tcBorders>
              <w:top w:val="nil"/>
              <w:left w:val="nil"/>
              <w:bottom w:val="single" w:sz="4" w:space="0" w:color="auto"/>
              <w:right w:val="single" w:sz="4" w:space="0" w:color="auto"/>
            </w:tcBorders>
            <w:noWrap/>
            <w:vAlign w:val="bottom"/>
            <w:hideMark/>
          </w:tcPr>
          <w:p w14:paraId="53246858"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NHCDC Tier 2 code 40.06</w:t>
            </w:r>
          </w:p>
        </w:tc>
      </w:tr>
      <w:tr w:rsidR="001F3F40" w:rsidRPr="0066678A" w14:paraId="36BCC03E" w14:textId="77777777" w:rsidTr="00175863">
        <w:trPr>
          <w:trHeight w:val="244"/>
        </w:trPr>
        <w:tc>
          <w:tcPr>
            <w:tcW w:w="2972" w:type="dxa"/>
            <w:tcBorders>
              <w:top w:val="nil"/>
              <w:left w:val="single" w:sz="4" w:space="0" w:color="auto"/>
              <w:bottom w:val="single" w:sz="4" w:space="0" w:color="auto"/>
              <w:right w:val="single" w:sz="4" w:space="0" w:color="auto"/>
            </w:tcBorders>
            <w:noWrap/>
          </w:tcPr>
          <w:p w14:paraId="1220DAB1"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44224A">
              <w:rPr>
                <w:rFonts w:ascii="Arial Narrow" w:hAnsi="Arial Narrow"/>
                <w:sz w:val="20"/>
                <w:szCs w:val="20"/>
              </w:rPr>
              <w:t>Electrocardiogram</w:t>
            </w:r>
          </w:p>
        </w:tc>
        <w:tc>
          <w:tcPr>
            <w:tcW w:w="1247" w:type="dxa"/>
            <w:tcBorders>
              <w:top w:val="nil"/>
              <w:left w:val="nil"/>
              <w:bottom w:val="single" w:sz="4" w:space="0" w:color="auto"/>
              <w:right w:val="single" w:sz="4" w:space="0" w:color="auto"/>
            </w:tcBorders>
            <w:noWrap/>
          </w:tcPr>
          <w:p w14:paraId="117279A4"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44224A">
              <w:rPr>
                <w:rFonts w:ascii="Arial Narrow" w:hAnsi="Arial Narrow"/>
                <w:sz w:val="20"/>
                <w:szCs w:val="20"/>
              </w:rPr>
              <w:t>$83.80</w:t>
            </w:r>
          </w:p>
        </w:tc>
        <w:tc>
          <w:tcPr>
            <w:tcW w:w="1305" w:type="dxa"/>
            <w:tcBorders>
              <w:top w:val="nil"/>
              <w:left w:val="nil"/>
              <w:bottom w:val="single" w:sz="4" w:space="0" w:color="auto"/>
              <w:right w:val="single" w:sz="4" w:space="0" w:color="auto"/>
            </w:tcBorders>
            <w:noWrap/>
          </w:tcPr>
          <w:p w14:paraId="6FB14B09"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44224A">
              <w:rPr>
                <w:rFonts w:ascii="Arial Narrow" w:hAnsi="Arial Narrow"/>
                <w:sz w:val="20"/>
                <w:szCs w:val="20"/>
              </w:rPr>
              <w:t>$20.95</w:t>
            </w:r>
          </w:p>
        </w:tc>
        <w:tc>
          <w:tcPr>
            <w:tcW w:w="708" w:type="dxa"/>
            <w:tcBorders>
              <w:top w:val="nil"/>
              <w:left w:val="nil"/>
              <w:bottom w:val="single" w:sz="4" w:space="0" w:color="auto"/>
              <w:right w:val="single" w:sz="4" w:space="0" w:color="auto"/>
            </w:tcBorders>
            <w:noWrap/>
          </w:tcPr>
          <w:p w14:paraId="7F989CE4"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44224A">
              <w:rPr>
                <w:rFonts w:ascii="Arial Narrow" w:hAnsi="Arial Narrow"/>
                <w:sz w:val="20"/>
                <w:szCs w:val="20"/>
              </w:rPr>
              <w:t>4</w:t>
            </w:r>
          </w:p>
        </w:tc>
        <w:tc>
          <w:tcPr>
            <w:tcW w:w="2784" w:type="dxa"/>
            <w:tcBorders>
              <w:top w:val="nil"/>
              <w:left w:val="nil"/>
              <w:bottom w:val="single" w:sz="4" w:space="0" w:color="auto"/>
              <w:right w:val="single" w:sz="4" w:space="0" w:color="auto"/>
            </w:tcBorders>
            <w:noWrap/>
          </w:tcPr>
          <w:p w14:paraId="1CC7C427"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44224A">
              <w:rPr>
                <w:rFonts w:ascii="Arial Narrow" w:hAnsi="Arial Narrow"/>
                <w:sz w:val="20"/>
                <w:szCs w:val="20"/>
              </w:rPr>
              <w:t>Scheduled fee for MBS item 11707</w:t>
            </w:r>
          </w:p>
        </w:tc>
      </w:tr>
      <w:tr w:rsidR="001F3F40" w:rsidRPr="0066678A" w14:paraId="03C7CD08"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0227ED95"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Electromyography</w:t>
            </w:r>
          </w:p>
        </w:tc>
        <w:tc>
          <w:tcPr>
            <w:tcW w:w="1247" w:type="dxa"/>
            <w:tcBorders>
              <w:top w:val="nil"/>
              <w:left w:val="nil"/>
              <w:bottom w:val="single" w:sz="4" w:space="0" w:color="auto"/>
              <w:right w:val="single" w:sz="4" w:space="0" w:color="auto"/>
            </w:tcBorders>
            <w:noWrap/>
            <w:vAlign w:val="bottom"/>
            <w:hideMark/>
          </w:tcPr>
          <w:p w14:paraId="50D2258D"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$170.75</w:t>
            </w:r>
          </w:p>
        </w:tc>
        <w:tc>
          <w:tcPr>
            <w:tcW w:w="1305" w:type="dxa"/>
            <w:tcBorders>
              <w:top w:val="nil"/>
              <w:left w:val="nil"/>
              <w:bottom w:val="single" w:sz="4" w:space="0" w:color="auto"/>
              <w:right w:val="single" w:sz="4" w:space="0" w:color="auto"/>
            </w:tcBorders>
            <w:noWrap/>
            <w:vAlign w:val="bottom"/>
            <w:hideMark/>
          </w:tcPr>
          <w:p w14:paraId="28F76373"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$170.75</w:t>
            </w:r>
          </w:p>
        </w:tc>
        <w:tc>
          <w:tcPr>
            <w:tcW w:w="708" w:type="dxa"/>
            <w:tcBorders>
              <w:top w:val="nil"/>
              <w:left w:val="nil"/>
              <w:bottom w:val="single" w:sz="4" w:space="0" w:color="auto"/>
              <w:right w:val="single" w:sz="4" w:space="0" w:color="auto"/>
            </w:tcBorders>
            <w:noWrap/>
            <w:vAlign w:val="bottom"/>
            <w:hideMark/>
          </w:tcPr>
          <w:p w14:paraId="35AEF95C"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14A11C4F"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Scheduled fee for MBS item 11021</w:t>
            </w:r>
          </w:p>
        </w:tc>
      </w:tr>
      <w:tr w:rsidR="001F3F40" w:rsidRPr="0066678A" w14:paraId="61B8BBA3"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23116694"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Chest X-ray</w:t>
            </w:r>
          </w:p>
        </w:tc>
        <w:tc>
          <w:tcPr>
            <w:tcW w:w="1247" w:type="dxa"/>
            <w:tcBorders>
              <w:top w:val="nil"/>
              <w:left w:val="nil"/>
              <w:bottom w:val="single" w:sz="4" w:space="0" w:color="auto"/>
              <w:right w:val="single" w:sz="4" w:space="0" w:color="auto"/>
            </w:tcBorders>
            <w:noWrap/>
            <w:vAlign w:val="bottom"/>
            <w:hideMark/>
          </w:tcPr>
          <w:p w14:paraId="6D98F7DB"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$69.00</w:t>
            </w:r>
          </w:p>
        </w:tc>
        <w:tc>
          <w:tcPr>
            <w:tcW w:w="1305" w:type="dxa"/>
            <w:tcBorders>
              <w:top w:val="nil"/>
              <w:left w:val="nil"/>
              <w:bottom w:val="single" w:sz="4" w:space="0" w:color="auto"/>
              <w:right w:val="single" w:sz="4" w:space="0" w:color="auto"/>
            </w:tcBorders>
            <w:noWrap/>
            <w:vAlign w:val="bottom"/>
            <w:hideMark/>
          </w:tcPr>
          <w:p w14:paraId="20698053"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$69.00</w:t>
            </w:r>
          </w:p>
        </w:tc>
        <w:tc>
          <w:tcPr>
            <w:tcW w:w="708" w:type="dxa"/>
            <w:tcBorders>
              <w:top w:val="nil"/>
              <w:left w:val="nil"/>
              <w:bottom w:val="single" w:sz="4" w:space="0" w:color="auto"/>
              <w:right w:val="single" w:sz="4" w:space="0" w:color="auto"/>
            </w:tcBorders>
            <w:noWrap/>
            <w:vAlign w:val="bottom"/>
            <w:hideMark/>
          </w:tcPr>
          <w:p w14:paraId="0A6CBC0F"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08773F01" w14:textId="6719BFBC"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R</w:t>
            </w:r>
            <w:r w:rsidRPr="0066678A">
              <w:rPr>
                <w:rFonts w:ascii="Arial Narrow" w:eastAsia="Times New Roman" w:hAnsi="Arial Narrow" w:cs="Calibri"/>
                <w:color w:val="000000"/>
                <w:sz w:val="20"/>
                <w:szCs w:val="20"/>
                <w:lang w:eastAsia="en-AU"/>
              </w:rPr>
              <w:t xml:space="preserve">adiology services catalogue published by Australian </w:t>
            </w:r>
            <w:r>
              <w:rPr>
                <w:rFonts w:ascii="Arial Narrow" w:eastAsia="Times New Roman" w:hAnsi="Arial Narrow" w:cs="Calibri"/>
                <w:color w:val="000000"/>
                <w:sz w:val="20"/>
                <w:szCs w:val="20"/>
                <w:lang w:eastAsia="en-AU"/>
              </w:rPr>
              <w:t>D</w:t>
            </w:r>
            <w:r w:rsidRPr="0066678A">
              <w:rPr>
                <w:rFonts w:ascii="Arial Narrow" w:eastAsia="Times New Roman" w:hAnsi="Arial Narrow" w:cs="Calibri"/>
                <w:color w:val="000000"/>
                <w:sz w:val="20"/>
                <w:szCs w:val="20"/>
                <w:lang w:eastAsia="en-AU"/>
              </w:rPr>
              <w:t xml:space="preserve">iagnostic </w:t>
            </w:r>
            <w:r>
              <w:rPr>
                <w:rFonts w:ascii="Arial Narrow" w:eastAsia="Times New Roman" w:hAnsi="Arial Narrow" w:cs="Calibri"/>
                <w:color w:val="000000"/>
                <w:sz w:val="20"/>
                <w:szCs w:val="20"/>
                <w:lang w:eastAsia="en-AU"/>
              </w:rPr>
              <w:t>I</w:t>
            </w:r>
            <w:r w:rsidRPr="0066678A">
              <w:rPr>
                <w:rFonts w:ascii="Arial Narrow" w:eastAsia="Times New Roman" w:hAnsi="Arial Narrow" w:cs="Calibri"/>
                <w:color w:val="000000"/>
                <w:sz w:val="20"/>
                <w:szCs w:val="20"/>
                <w:lang w:eastAsia="en-AU"/>
              </w:rPr>
              <w:t xml:space="preserve">maging </w:t>
            </w:r>
            <w:r>
              <w:rPr>
                <w:rFonts w:ascii="Arial Narrow" w:eastAsia="Times New Roman" w:hAnsi="Arial Narrow" w:cs="Calibri"/>
                <w:color w:val="000000"/>
                <w:sz w:val="20"/>
                <w:szCs w:val="20"/>
                <w:lang w:eastAsia="en-AU"/>
              </w:rPr>
              <w:t>A</w:t>
            </w:r>
            <w:r w:rsidRPr="0066678A">
              <w:rPr>
                <w:rFonts w:ascii="Arial Narrow" w:eastAsia="Times New Roman" w:hAnsi="Arial Narrow" w:cs="Calibri"/>
                <w:color w:val="000000"/>
                <w:sz w:val="20"/>
                <w:szCs w:val="20"/>
                <w:lang w:eastAsia="en-AU"/>
              </w:rPr>
              <w:t>ssociation</w:t>
            </w:r>
          </w:p>
        </w:tc>
      </w:tr>
      <w:tr w:rsidR="001F3F40" w:rsidRPr="0066678A" w14:paraId="0EB326C6"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070357DA"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Serum creatine kinase</w:t>
            </w:r>
          </w:p>
        </w:tc>
        <w:tc>
          <w:tcPr>
            <w:tcW w:w="1247" w:type="dxa"/>
            <w:tcBorders>
              <w:top w:val="nil"/>
              <w:left w:val="nil"/>
              <w:bottom w:val="single" w:sz="4" w:space="0" w:color="auto"/>
              <w:right w:val="single" w:sz="4" w:space="0" w:color="auto"/>
            </w:tcBorders>
            <w:noWrap/>
            <w:vAlign w:val="bottom"/>
            <w:hideMark/>
          </w:tcPr>
          <w:p w14:paraId="264DEE6F"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$10.00</w:t>
            </w:r>
          </w:p>
        </w:tc>
        <w:tc>
          <w:tcPr>
            <w:tcW w:w="1305" w:type="dxa"/>
            <w:tcBorders>
              <w:top w:val="nil"/>
              <w:left w:val="nil"/>
              <w:bottom w:val="single" w:sz="4" w:space="0" w:color="auto"/>
              <w:right w:val="single" w:sz="4" w:space="0" w:color="auto"/>
            </w:tcBorders>
            <w:noWrap/>
            <w:vAlign w:val="bottom"/>
            <w:hideMark/>
          </w:tcPr>
          <w:p w14:paraId="16C0E08F"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$10.00</w:t>
            </w:r>
          </w:p>
        </w:tc>
        <w:tc>
          <w:tcPr>
            <w:tcW w:w="708" w:type="dxa"/>
            <w:tcBorders>
              <w:top w:val="nil"/>
              <w:left w:val="nil"/>
              <w:bottom w:val="single" w:sz="4" w:space="0" w:color="auto"/>
              <w:right w:val="single" w:sz="4" w:space="0" w:color="auto"/>
            </w:tcBorders>
            <w:noWrap/>
            <w:vAlign w:val="bottom"/>
            <w:hideMark/>
          </w:tcPr>
          <w:p w14:paraId="00738553"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6ACE7D8B"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Scheduled fee for MBS 66500</w:t>
            </w:r>
          </w:p>
        </w:tc>
      </w:tr>
      <w:tr w:rsidR="001F3F40" w:rsidRPr="0066678A" w14:paraId="14D7BBDB"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09E340E4"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 xml:space="preserve">Liver function tests </w:t>
            </w:r>
          </w:p>
        </w:tc>
        <w:tc>
          <w:tcPr>
            <w:tcW w:w="1247" w:type="dxa"/>
            <w:tcBorders>
              <w:top w:val="nil"/>
              <w:left w:val="nil"/>
              <w:bottom w:val="single" w:sz="4" w:space="0" w:color="auto"/>
              <w:right w:val="single" w:sz="4" w:space="0" w:color="auto"/>
            </w:tcBorders>
            <w:noWrap/>
            <w:vAlign w:val="bottom"/>
            <w:hideMark/>
          </w:tcPr>
          <w:p w14:paraId="6E3D1ED3"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$18.00</w:t>
            </w:r>
          </w:p>
        </w:tc>
        <w:tc>
          <w:tcPr>
            <w:tcW w:w="1305" w:type="dxa"/>
            <w:tcBorders>
              <w:top w:val="nil"/>
              <w:left w:val="nil"/>
              <w:bottom w:val="single" w:sz="4" w:space="0" w:color="auto"/>
              <w:right w:val="single" w:sz="4" w:space="0" w:color="auto"/>
            </w:tcBorders>
            <w:noWrap/>
            <w:vAlign w:val="bottom"/>
            <w:hideMark/>
          </w:tcPr>
          <w:p w14:paraId="39D4871A"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$18.00</w:t>
            </w:r>
          </w:p>
        </w:tc>
        <w:tc>
          <w:tcPr>
            <w:tcW w:w="708" w:type="dxa"/>
            <w:tcBorders>
              <w:top w:val="nil"/>
              <w:left w:val="nil"/>
              <w:bottom w:val="single" w:sz="4" w:space="0" w:color="auto"/>
              <w:right w:val="single" w:sz="4" w:space="0" w:color="auto"/>
            </w:tcBorders>
            <w:noWrap/>
            <w:vAlign w:val="bottom"/>
            <w:hideMark/>
          </w:tcPr>
          <w:p w14:paraId="294FD36D"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766ED469"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Scheduled fee for MBS 66512</w:t>
            </w:r>
          </w:p>
        </w:tc>
      </w:tr>
      <w:tr w:rsidR="001F3F40" w:rsidRPr="0066678A" w14:paraId="4AF35AA7"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334E6FD7"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Cardiac echocardiograms</w:t>
            </w:r>
          </w:p>
        </w:tc>
        <w:tc>
          <w:tcPr>
            <w:tcW w:w="1247" w:type="dxa"/>
            <w:tcBorders>
              <w:top w:val="nil"/>
              <w:left w:val="nil"/>
              <w:bottom w:val="single" w:sz="4" w:space="0" w:color="auto"/>
              <w:right w:val="single" w:sz="4" w:space="0" w:color="auto"/>
            </w:tcBorders>
            <w:noWrap/>
            <w:vAlign w:val="bottom"/>
            <w:hideMark/>
          </w:tcPr>
          <w:p w14:paraId="6325562F"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$258.70</w:t>
            </w:r>
          </w:p>
        </w:tc>
        <w:tc>
          <w:tcPr>
            <w:tcW w:w="1305" w:type="dxa"/>
            <w:tcBorders>
              <w:top w:val="nil"/>
              <w:left w:val="nil"/>
              <w:bottom w:val="single" w:sz="4" w:space="0" w:color="auto"/>
              <w:right w:val="single" w:sz="4" w:space="0" w:color="auto"/>
            </w:tcBorders>
            <w:noWrap/>
            <w:vAlign w:val="bottom"/>
            <w:hideMark/>
          </w:tcPr>
          <w:p w14:paraId="2A682311"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$258.70</w:t>
            </w:r>
          </w:p>
        </w:tc>
        <w:tc>
          <w:tcPr>
            <w:tcW w:w="708" w:type="dxa"/>
            <w:tcBorders>
              <w:top w:val="nil"/>
              <w:left w:val="nil"/>
              <w:bottom w:val="single" w:sz="4" w:space="0" w:color="auto"/>
              <w:right w:val="single" w:sz="4" w:space="0" w:color="auto"/>
            </w:tcBorders>
            <w:noWrap/>
            <w:vAlign w:val="bottom"/>
            <w:hideMark/>
          </w:tcPr>
          <w:p w14:paraId="7815FC6B"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7E818C61"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Scheduled fee for MBS item 55126</w:t>
            </w:r>
          </w:p>
        </w:tc>
      </w:tr>
      <w:tr w:rsidR="001F3F40" w:rsidRPr="0066678A" w14:paraId="13114D18"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74E9846B"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HEX4</w:t>
            </w:r>
          </w:p>
        </w:tc>
        <w:tc>
          <w:tcPr>
            <w:tcW w:w="1247" w:type="dxa"/>
            <w:tcBorders>
              <w:top w:val="nil"/>
              <w:left w:val="nil"/>
              <w:bottom w:val="single" w:sz="4" w:space="0" w:color="auto"/>
              <w:right w:val="single" w:sz="4" w:space="0" w:color="auto"/>
            </w:tcBorders>
            <w:noWrap/>
            <w:vAlign w:val="bottom"/>
            <w:hideMark/>
          </w:tcPr>
          <w:p w14:paraId="3D89EF36"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$122.00</w:t>
            </w:r>
          </w:p>
        </w:tc>
        <w:tc>
          <w:tcPr>
            <w:tcW w:w="1305" w:type="dxa"/>
            <w:tcBorders>
              <w:top w:val="nil"/>
              <w:left w:val="nil"/>
              <w:bottom w:val="single" w:sz="4" w:space="0" w:color="auto"/>
              <w:right w:val="single" w:sz="4" w:space="0" w:color="auto"/>
            </w:tcBorders>
            <w:noWrap/>
            <w:vAlign w:val="bottom"/>
            <w:hideMark/>
          </w:tcPr>
          <w:p w14:paraId="6FAACBA6"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$122.00</w:t>
            </w:r>
          </w:p>
        </w:tc>
        <w:tc>
          <w:tcPr>
            <w:tcW w:w="708" w:type="dxa"/>
            <w:tcBorders>
              <w:top w:val="nil"/>
              <w:left w:val="nil"/>
              <w:bottom w:val="single" w:sz="4" w:space="0" w:color="auto"/>
              <w:right w:val="single" w:sz="4" w:space="0" w:color="auto"/>
            </w:tcBorders>
            <w:noWrap/>
            <w:vAlign w:val="bottom"/>
            <w:hideMark/>
          </w:tcPr>
          <w:p w14:paraId="065381C4"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4CA5E364"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SA Pathology Catalogue</w:t>
            </w:r>
          </w:p>
        </w:tc>
      </w:tr>
      <w:tr w:rsidR="001F3F40" w:rsidRPr="0066678A" w14:paraId="7778C14A"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19C75C6D"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Leucocyte Lysosomal Enzyme Studies</w:t>
            </w:r>
          </w:p>
        </w:tc>
        <w:tc>
          <w:tcPr>
            <w:tcW w:w="1247" w:type="dxa"/>
            <w:tcBorders>
              <w:top w:val="nil"/>
              <w:left w:val="nil"/>
              <w:bottom w:val="single" w:sz="4" w:space="0" w:color="auto"/>
              <w:right w:val="single" w:sz="4" w:space="0" w:color="auto"/>
            </w:tcBorders>
            <w:noWrap/>
            <w:vAlign w:val="bottom"/>
            <w:hideMark/>
          </w:tcPr>
          <w:p w14:paraId="103178C0"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$432.00</w:t>
            </w:r>
          </w:p>
        </w:tc>
        <w:tc>
          <w:tcPr>
            <w:tcW w:w="1305" w:type="dxa"/>
            <w:tcBorders>
              <w:top w:val="nil"/>
              <w:left w:val="nil"/>
              <w:bottom w:val="single" w:sz="4" w:space="0" w:color="auto"/>
              <w:right w:val="single" w:sz="4" w:space="0" w:color="auto"/>
            </w:tcBorders>
            <w:noWrap/>
            <w:vAlign w:val="bottom"/>
            <w:hideMark/>
          </w:tcPr>
          <w:p w14:paraId="54F2053C"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$432.00</w:t>
            </w:r>
          </w:p>
        </w:tc>
        <w:tc>
          <w:tcPr>
            <w:tcW w:w="708" w:type="dxa"/>
            <w:tcBorders>
              <w:top w:val="nil"/>
              <w:left w:val="nil"/>
              <w:bottom w:val="single" w:sz="4" w:space="0" w:color="auto"/>
              <w:right w:val="single" w:sz="4" w:space="0" w:color="auto"/>
            </w:tcBorders>
            <w:noWrap/>
            <w:vAlign w:val="bottom"/>
            <w:hideMark/>
          </w:tcPr>
          <w:p w14:paraId="63BFC46F"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4EDFB6E8"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SA Pathology Catalogue</w:t>
            </w:r>
          </w:p>
        </w:tc>
      </w:tr>
      <w:tr w:rsidR="001F3F40" w:rsidRPr="0066678A" w14:paraId="045CF38C"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6E9C1A02"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Alpha-Galactosidase Activity DBS 4MU</w:t>
            </w:r>
          </w:p>
        </w:tc>
        <w:tc>
          <w:tcPr>
            <w:tcW w:w="1247" w:type="dxa"/>
            <w:tcBorders>
              <w:top w:val="nil"/>
              <w:left w:val="nil"/>
              <w:bottom w:val="single" w:sz="4" w:space="0" w:color="auto"/>
              <w:right w:val="single" w:sz="4" w:space="0" w:color="auto"/>
            </w:tcBorders>
            <w:noWrap/>
            <w:vAlign w:val="bottom"/>
            <w:hideMark/>
          </w:tcPr>
          <w:p w14:paraId="759EAEBE"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$116.00</w:t>
            </w:r>
          </w:p>
        </w:tc>
        <w:tc>
          <w:tcPr>
            <w:tcW w:w="1305" w:type="dxa"/>
            <w:tcBorders>
              <w:top w:val="nil"/>
              <w:left w:val="nil"/>
              <w:bottom w:val="single" w:sz="4" w:space="0" w:color="auto"/>
              <w:right w:val="single" w:sz="4" w:space="0" w:color="auto"/>
            </w:tcBorders>
            <w:noWrap/>
            <w:vAlign w:val="bottom"/>
            <w:hideMark/>
          </w:tcPr>
          <w:p w14:paraId="63A29E24"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$116.00</w:t>
            </w:r>
          </w:p>
        </w:tc>
        <w:tc>
          <w:tcPr>
            <w:tcW w:w="708" w:type="dxa"/>
            <w:tcBorders>
              <w:top w:val="nil"/>
              <w:left w:val="nil"/>
              <w:bottom w:val="single" w:sz="4" w:space="0" w:color="auto"/>
              <w:right w:val="single" w:sz="4" w:space="0" w:color="auto"/>
            </w:tcBorders>
            <w:noWrap/>
            <w:vAlign w:val="bottom"/>
            <w:hideMark/>
          </w:tcPr>
          <w:p w14:paraId="7099B34D"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53808436"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SA Pathology Catalogue</w:t>
            </w:r>
          </w:p>
        </w:tc>
      </w:tr>
      <w:tr w:rsidR="001F3F40" w:rsidRPr="0066678A" w14:paraId="6BA6EDE9" w14:textId="77777777" w:rsidTr="00175863">
        <w:trPr>
          <w:trHeight w:val="244"/>
        </w:trPr>
        <w:tc>
          <w:tcPr>
            <w:tcW w:w="2972" w:type="dxa"/>
            <w:tcBorders>
              <w:top w:val="nil"/>
              <w:left w:val="single" w:sz="4" w:space="0" w:color="auto"/>
              <w:bottom w:val="single" w:sz="4" w:space="0" w:color="auto"/>
              <w:right w:val="single" w:sz="4" w:space="0" w:color="auto"/>
            </w:tcBorders>
            <w:noWrap/>
            <w:vAlign w:val="bottom"/>
            <w:hideMark/>
          </w:tcPr>
          <w:p w14:paraId="7CF7F2DC"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2E2EE7D">
              <w:rPr>
                <w:rFonts w:ascii="Arial Narrow" w:eastAsia="Times New Roman" w:hAnsi="Arial Narrow" w:cs="Calibri"/>
                <w:color w:val="000000" w:themeColor="text1"/>
                <w:sz w:val="20"/>
                <w:szCs w:val="20"/>
                <w:lang w:eastAsia="en-AU"/>
              </w:rPr>
              <w:t xml:space="preserve">Respiratory studies (including </w:t>
            </w:r>
            <w:proofErr w:type="gramStart"/>
            <w:r w:rsidRPr="02E2EE7D">
              <w:rPr>
                <w:rFonts w:ascii="Arial Narrow" w:eastAsia="Times New Roman" w:hAnsi="Arial Narrow" w:cs="Calibri"/>
                <w:color w:val="000000" w:themeColor="text1"/>
                <w:sz w:val="20"/>
                <w:szCs w:val="20"/>
                <w:lang w:eastAsia="en-AU"/>
              </w:rPr>
              <w:t>6 minute</w:t>
            </w:r>
            <w:proofErr w:type="gramEnd"/>
            <w:r w:rsidRPr="02E2EE7D">
              <w:rPr>
                <w:rFonts w:ascii="Arial Narrow" w:eastAsia="Times New Roman" w:hAnsi="Arial Narrow" w:cs="Calibri"/>
                <w:color w:val="000000" w:themeColor="text1"/>
                <w:sz w:val="20"/>
                <w:szCs w:val="20"/>
                <w:lang w:eastAsia="en-AU"/>
              </w:rPr>
              <w:t xml:space="preserve"> walk test)</w:t>
            </w:r>
          </w:p>
        </w:tc>
        <w:tc>
          <w:tcPr>
            <w:tcW w:w="1247" w:type="dxa"/>
            <w:tcBorders>
              <w:top w:val="nil"/>
              <w:left w:val="nil"/>
              <w:bottom w:val="single" w:sz="4" w:space="0" w:color="auto"/>
              <w:right w:val="single" w:sz="4" w:space="0" w:color="auto"/>
            </w:tcBorders>
            <w:noWrap/>
            <w:vAlign w:val="bottom"/>
            <w:hideMark/>
          </w:tcPr>
          <w:p w14:paraId="4F2CDA2E"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157.95</w:t>
            </w:r>
          </w:p>
        </w:tc>
        <w:tc>
          <w:tcPr>
            <w:tcW w:w="1305" w:type="dxa"/>
            <w:tcBorders>
              <w:top w:val="nil"/>
              <w:left w:val="nil"/>
              <w:bottom w:val="single" w:sz="4" w:space="0" w:color="auto"/>
              <w:right w:val="single" w:sz="4" w:space="0" w:color="auto"/>
            </w:tcBorders>
            <w:noWrap/>
            <w:vAlign w:val="bottom"/>
            <w:hideMark/>
          </w:tcPr>
          <w:p w14:paraId="06BB0516"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$157.95</w:t>
            </w:r>
          </w:p>
        </w:tc>
        <w:tc>
          <w:tcPr>
            <w:tcW w:w="708" w:type="dxa"/>
            <w:tcBorders>
              <w:top w:val="nil"/>
              <w:left w:val="nil"/>
              <w:bottom w:val="single" w:sz="4" w:space="0" w:color="auto"/>
              <w:right w:val="single" w:sz="4" w:space="0" w:color="auto"/>
            </w:tcBorders>
            <w:noWrap/>
            <w:vAlign w:val="bottom"/>
            <w:hideMark/>
          </w:tcPr>
          <w:p w14:paraId="4FBEBF75"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nil"/>
              <w:left w:val="nil"/>
              <w:bottom w:val="single" w:sz="4" w:space="0" w:color="auto"/>
              <w:right w:val="single" w:sz="4" w:space="0" w:color="auto"/>
            </w:tcBorders>
            <w:noWrap/>
            <w:vAlign w:val="bottom"/>
            <w:hideMark/>
          </w:tcPr>
          <w:p w14:paraId="63C3DA9F"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Scheduled fee for MBS item 11503</w:t>
            </w:r>
          </w:p>
        </w:tc>
      </w:tr>
      <w:tr w:rsidR="001F3F40" w:rsidRPr="0066678A" w14:paraId="0636835D" w14:textId="77777777" w:rsidTr="00175863">
        <w:trPr>
          <w:trHeight w:val="244"/>
        </w:trPr>
        <w:tc>
          <w:tcPr>
            <w:tcW w:w="2972" w:type="dxa"/>
            <w:tcBorders>
              <w:top w:val="single" w:sz="4" w:space="0" w:color="auto"/>
              <w:left w:val="single" w:sz="4" w:space="0" w:color="auto"/>
              <w:bottom w:val="single" w:sz="4" w:space="0" w:color="auto"/>
              <w:right w:val="single" w:sz="4" w:space="0" w:color="auto"/>
            </w:tcBorders>
            <w:noWrap/>
            <w:vAlign w:val="center"/>
          </w:tcPr>
          <w:p w14:paraId="7E01EFEA"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GP visits</w:t>
            </w:r>
          </w:p>
        </w:tc>
        <w:tc>
          <w:tcPr>
            <w:tcW w:w="1247" w:type="dxa"/>
            <w:tcBorders>
              <w:top w:val="single" w:sz="4" w:space="0" w:color="auto"/>
              <w:left w:val="nil"/>
              <w:bottom w:val="single" w:sz="4" w:space="0" w:color="auto"/>
              <w:right w:val="single" w:sz="4" w:space="0" w:color="auto"/>
            </w:tcBorders>
            <w:noWrap/>
            <w:vAlign w:val="center"/>
          </w:tcPr>
          <w:p w14:paraId="2B5DCFFB"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$829.00</w:t>
            </w:r>
          </w:p>
        </w:tc>
        <w:tc>
          <w:tcPr>
            <w:tcW w:w="1305" w:type="dxa"/>
            <w:tcBorders>
              <w:top w:val="single" w:sz="4" w:space="0" w:color="auto"/>
              <w:left w:val="nil"/>
              <w:bottom w:val="single" w:sz="4" w:space="0" w:color="auto"/>
              <w:right w:val="single" w:sz="4" w:space="0" w:color="auto"/>
            </w:tcBorders>
            <w:noWrap/>
            <w:vAlign w:val="center"/>
          </w:tcPr>
          <w:p w14:paraId="4900A048"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$82.90</w:t>
            </w:r>
          </w:p>
        </w:tc>
        <w:tc>
          <w:tcPr>
            <w:tcW w:w="708" w:type="dxa"/>
            <w:tcBorders>
              <w:top w:val="single" w:sz="4" w:space="0" w:color="auto"/>
              <w:left w:val="nil"/>
              <w:bottom w:val="single" w:sz="4" w:space="0" w:color="auto"/>
              <w:right w:val="single" w:sz="4" w:space="0" w:color="auto"/>
            </w:tcBorders>
            <w:noWrap/>
            <w:vAlign w:val="center"/>
          </w:tcPr>
          <w:p w14:paraId="3811CAAA"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10</w:t>
            </w:r>
          </w:p>
        </w:tc>
        <w:tc>
          <w:tcPr>
            <w:tcW w:w="2784" w:type="dxa"/>
            <w:tcBorders>
              <w:top w:val="single" w:sz="4" w:space="0" w:color="auto"/>
              <w:left w:val="nil"/>
              <w:bottom w:val="single" w:sz="4" w:space="0" w:color="auto"/>
              <w:right w:val="single" w:sz="4" w:space="0" w:color="auto"/>
            </w:tcBorders>
            <w:noWrap/>
            <w:vAlign w:val="center"/>
          </w:tcPr>
          <w:p w14:paraId="1D98B3CD"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Scheduled fee for MBS item 36</w:t>
            </w:r>
          </w:p>
        </w:tc>
      </w:tr>
      <w:tr w:rsidR="001F3F40" w:rsidRPr="0066678A" w14:paraId="2B8ED38C" w14:textId="77777777" w:rsidTr="00175863">
        <w:trPr>
          <w:trHeight w:val="244"/>
        </w:trPr>
        <w:tc>
          <w:tcPr>
            <w:tcW w:w="2972" w:type="dxa"/>
            <w:tcBorders>
              <w:top w:val="single" w:sz="4" w:space="0" w:color="auto"/>
              <w:left w:val="single" w:sz="4" w:space="0" w:color="auto"/>
              <w:bottom w:val="single" w:sz="4" w:space="0" w:color="auto"/>
              <w:right w:val="single" w:sz="4" w:space="0" w:color="auto"/>
            </w:tcBorders>
            <w:noWrap/>
            <w:vAlign w:val="center"/>
          </w:tcPr>
          <w:p w14:paraId="745A29A0"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Specialist appointment for referral</w:t>
            </w:r>
          </w:p>
        </w:tc>
        <w:tc>
          <w:tcPr>
            <w:tcW w:w="1247" w:type="dxa"/>
            <w:tcBorders>
              <w:top w:val="single" w:sz="4" w:space="0" w:color="auto"/>
              <w:left w:val="nil"/>
              <w:bottom w:val="single" w:sz="4" w:space="0" w:color="auto"/>
              <w:right w:val="single" w:sz="4" w:space="0" w:color="auto"/>
            </w:tcBorders>
            <w:noWrap/>
            <w:vAlign w:val="center"/>
          </w:tcPr>
          <w:p w14:paraId="41FBCAB9"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$1,132.80</w:t>
            </w:r>
          </w:p>
        </w:tc>
        <w:tc>
          <w:tcPr>
            <w:tcW w:w="1305" w:type="dxa"/>
            <w:tcBorders>
              <w:top w:val="single" w:sz="4" w:space="0" w:color="auto"/>
              <w:left w:val="nil"/>
              <w:bottom w:val="single" w:sz="4" w:space="0" w:color="auto"/>
              <w:right w:val="single" w:sz="4" w:space="0" w:color="auto"/>
            </w:tcBorders>
            <w:noWrap/>
            <w:vAlign w:val="center"/>
          </w:tcPr>
          <w:p w14:paraId="739CEEC0"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$283.20</w:t>
            </w:r>
          </w:p>
        </w:tc>
        <w:tc>
          <w:tcPr>
            <w:tcW w:w="708" w:type="dxa"/>
            <w:tcBorders>
              <w:top w:val="single" w:sz="4" w:space="0" w:color="auto"/>
              <w:left w:val="nil"/>
              <w:bottom w:val="single" w:sz="4" w:space="0" w:color="auto"/>
              <w:right w:val="single" w:sz="4" w:space="0" w:color="auto"/>
            </w:tcBorders>
            <w:noWrap/>
            <w:vAlign w:val="center"/>
          </w:tcPr>
          <w:p w14:paraId="668029E4"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4</w:t>
            </w:r>
          </w:p>
        </w:tc>
        <w:tc>
          <w:tcPr>
            <w:tcW w:w="2784" w:type="dxa"/>
            <w:tcBorders>
              <w:top w:val="single" w:sz="4" w:space="0" w:color="auto"/>
              <w:left w:val="nil"/>
              <w:bottom w:val="single" w:sz="4" w:space="0" w:color="auto"/>
              <w:right w:val="single" w:sz="4" w:space="0" w:color="auto"/>
            </w:tcBorders>
            <w:noWrap/>
            <w:vAlign w:val="center"/>
          </w:tcPr>
          <w:p w14:paraId="5DD410A1"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 xml:space="preserve">Scheduled fee for </w:t>
            </w:r>
            <w:r w:rsidRPr="008E28C7">
              <w:rPr>
                <w:rFonts w:ascii="Arial Narrow" w:eastAsia="Times New Roman" w:hAnsi="Arial Narrow" w:cs="Calibri"/>
                <w:color w:val="000000"/>
                <w:sz w:val="20"/>
                <w:szCs w:val="20"/>
                <w:lang w:eastAsia="en-AU"/>
              </w:rPr>
              <w:t>MBS item 132</w:t>
            </w:r>
          </w:p>
        </w:tc>
      </w:tr>
      <w:tr w:rsidR="001F3F40" w:rsidRPr="0066678A" w14:paraId="21C55D73" w14:textId="77777777" w:rsidTr="00175863">
        <w:trPr>
          <w:trHeight w:val="244"/>
        </w:trPr>
        <w:tc>
          <w:tcPr>
            <w:tcW w:w="2972" w:type="dxa"/>
            <w:tcBorders>
              <w:top w:val="single" w:sz="4" w:space="0" w:color="auto"/>
              <w:left w:val="single" w:sz="4" w:space="0" w:color="auto"/>
              <w:bottom w:val="single" w:sz="4" w:space="0" w:color="auto"/>
              <w:right w:val="single" w:sz="4" w:space="0" w:color="auto"/>
            </w:tcBorders>
            <w:noWrap/>
            <w:vAlign w:val="center"/>
          </w:tcPr>
          <w:p w14:paraId="21565A48"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Specialist appointment for delivery of results</w:t>
            </w:r>
          </w:p>
        </w:tc>
        <w:tc>
          <w:tcPr>
            <w:tcW w:w="1247" w:type="dxa"/>
            <w:tcBorders>
              <w:top w:val="single" w:sz="4" w:space="0" w:color="auto"/>
              <w:left w:val="nil"/>
              <w:bottom w:val="single" w:sz="4" w:space="0" w:color="auto"/>
              <w:right w:val="single" w:sz="4" w:space="0" w:color="auto"/>
            </w:tcBorders>
            <w:noWrap/>
            <w:vAlign w:val="center"/>
          </w:tcPr>
          <w:p w14:paraId="08D24D62"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$567.20</w:t>
            </w:r>
          </w:p>
        </w:tc>
        <w:tc>
          <w:tcPr>
            <w:tcW w:w="1305" w:type="dxa"/>
            <w:tcBorders>
              <w:top w:val="single" w:sz="4" w:space="0" w:color="auto"/>
              <w:left w:val="nil"/>
              <w:bottom w:val="single" w:sz="4" w:space="0" w:color="auto"/>
              <w:right w:val="single" w:sz="4" w:space="0" w:color="auto"/>
            </w:tcBorders>
            <w:noWrap/>
            <w:vAlign w:val="center"/>
          </w:tcPr>
          <w:p w14:paraId="06EF582F"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$141.80</w:t>
            </w:r>
          </w:p>
        </w:tc>
        <w:tc>
          <w:tcPr>
            <w:tcW w:w="708" w:type="dxa"/>
            <w:tcBorders>
              <w:top w:val="single" w:sz="4" w:space="0" w:color="auto"/>
              <w:left w:val="nil"/>
              <w:bottom w:val="single" w:sz="4" w:space="0" w:color="auto"/>
              <w:right w:val="single" w:sz="4" w:space="0" w:color="auto"/>
            </w:tcBorders>
            <w:noWrap/>
            <w:vAlign w:val="center"/>
          </w:tcPr>
          <w:p w14:paraId="2716C3AA" w14:textId="77777777" w:rsidR="001F3F40" w:rsidRPr="0066678A"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4</w:t>
            </w:r>
          </w:p>
        </w:tc>
        <w:tc>
          <w:tcPr>
            <w:tcW w:w="2784" w:type="dxa"/>
            <w:tcBorders>
              <w:top w:val="single" w:sz="4" w:space="0" w:color="auto"/>
              <w:left w:val="nil"/>
              <w:bottom w:val="single" w:sz="4" w:space="0" w:color="auto"/>
              <w:right w:val="single" w:sz="4" w:space="0" w:color="auto"/>
            </w:tcBorders>
            <w:noWrap/>
            <w:vAlign w:val="center"/>
          </w:tcPr>
          <w:p w14:paraId="2F5D1A44" w14:textId="77777777" w:rsidR="001F3F40" w:rsidRPr="0066678A"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8E28C7">
              <w:rPr>
                <w:rFonts w:ascii="Arial Narrow" w:eastAsia="Times New Roman" w:hAnsi="Arial Narrow" w:cs="Calibri"/>
                <w:color w:val="000000"/>
                <w:sz w:val="20"/>
                <w:szCs w:val="20"/>
                <w:lang w:eastAsia="en-AU"/>
              </w:rPr>
              <w:t>MBS item 133</w:t>
            </w:r>
          </w:p>
        </w:tc>
      </w:tr>
      <w:tr w:rsidR="001F3F40" w:rsidRPr="00AA0BC8" w14:paraId="47CDC70C" w14:textId="77777777" w:rsidTr="00175863">
        <w:trPr>
          <w:trHeight w:val="244"/>
        </w:trPr>
        <w:tc>
          <w:tcPr>
            <w:tcW w:w="2972" w:type="dxa"/>
            <w:tcBorders>
              <w:top w:val="single" w:sz="4" w:space="0" w:color="auto"/>
              <w:left w:val="single" w:sz="4" w:space="0" w:color="auto"/>
              <w:bottom w:val="single" w:sz="4" w:space="0" w:color="auto"/>
              <w:right w:val="single" w:sz="4" w:space="0" w:color="auto"/>
            </w:tcBorders>
            <w:noWrap/>
            <w:vAlign w:val="center"/>
          </w:tcPr>
          <w:p w14:paraId="2B9EC7D7" w14:textId="7508718A" w:rsidR="001F3F40" w:rsidRPr="00350FBE" w:rsidRDefault="001F3F40" w:rsidP="00ED5CB7">
            <w:pPr>
              <w:keepNext/>
              <w:keepLines/>
              <w:spacing w:before="0" w:after="0" w:line="240" w:lineRule="auto"/>
              <w:rPr>
                <w:rFonts w:ascii="Arial Narrow" w:eastAsia="Times New Roman" w:hAnsi="Arial Narrow" w:cs="Calibri"/>
                <w:i/>
                <w:iCs/>
                <w:color w:val="000000"/>
                <w:sz w:val="20"/>
                <w:szCs w:val="20"/>
                <w:lang w:eastAsia="en-AU"/>
              </w:rPr>
            </w:pPr>
            <w:r w:rsidRPr="00350FBE">
              <w:rPr>
                <w:rFonts w:ascii="Arial Narrow" w:eastAsia="Times New Roman" w:hAnsi="Arial Narrow" w:cs="Calibri"/>
                <w:i/>
                <w:iCs/>
                <w:color w:val="000000"/>
                <w:sz w:val="20"/>
                <w:szCs w:val="20"/>
                <w:lang w:eastAsia="en-AU"/>
              </w:rPr>
              <w:t xml:space="preserve">Total cost of diagnostic </w:t>
            </w:r>
            <w:r w:rsidR="00F858A6">
              <w:rPr>
                <w:rFonts w:ascii="Arial Narrow" w:eastAsia="Times New Roman" w:hAnsi="Arial Narrow" w:cs="Calibri"/>
                <w:i/>
                <w:iCs/>
                <w:color w:val="000000"/>
                <w:sz w:val="20"/>
                <w:szCs w:val="20"/>
                <w:lang w:eastAsia="en-AU"/>
              </w:rPr>
              <w:t>delay</w:t>
            </w:r>
          </w:p>
        </w:tc>
        <w:tc>
          <w:tcPr>
            <w:tcW w:w="3260" w:type="dxa"/>
            <w:gridSpan w:val="3"/>
            <w:tcBorders>
              <w:top w:val="single" w:sz="4" w:space="0" w:color="auto"/>
              <w:left w:val="nil"/>
              <w:bottom w:val="single" w:sz="4" w:space="0" w:color="auto"/>
              <w:right w:val="single" w:sz="4" w:space="0" w:color="auto"/>
            </w:tcBorders>
            <w:noWrap/>
            <w:vAlign w:val="center"/>
          </w:tcPr>
          <w:p w14:paraId="05654C64" w14:textId="77777777" w:rsidR="001F3F40" w:rsidRPr="00AA0BC8" w:rsidRDefault="001F3F40" w:rsidP="00ED5CB7">
            <w:pPr>
              <w:keepNext/>
              <w:keepLines/>
              <w:spacing w:before="0" w:after="0" w:line="240" w:lineRule="auto"/>
              <w:jc w:val="center"/>
              <w:rPr>
                <w:rFonts w:ascii="Arial Narrow" w:eastAsia="Times New Roman" w:hAnsi="Arial Narrow" w:cs="Calibri"/>
                <w:b/>
                <w:bCs/>
                <w:color w:val="000000"/>
                <w:sz w:val="20"/>
                <w:szCs w:val="20"/>
                <w:lang w:eastAsia="en-AU"/>
              </w:rPr>
            </w:pPr>
            <w:r w:rsidRPr="00350FBE">
              <w:rPr>
                <w:rFonts w:ascii="Arial Narrow" w:hAnsi="Arial Narrow" w:cs="Calibri"/>
                <w:b/>
                <w:bCs/>
                <w:color w:val="000000"/>
                <w:sz w:val="20"/>
                <w:szCs w:val="20"/>
              </w:rPr>
              <w:t>$12,826.72</w:t>
            </w:r>
          </w:p>
        </w:tc>
        <w:tc>
          <w:tcPr>
            <w:tcW w:w="2784" w:type="dxa"/>
            <w:tcBorders>
              <w:top w:val="single" w:sz="4" w:space="0" w:color="auto"/>
              <w:left w:val="nil"/>
              <w:bottom w:val="single" w:sz="4" w:space="0" w:color="auto"/>
              <w:right w:val="single" w:sz="4" w:space="0" w:color="auto"/>
            </w:tcBorders>
            <w:noWrap/>
            <w:vAlign w:val="center"/>
          </w:tcPr>
          <w:p w14:paraId="1A303E2B" w14:textId="77777777" w:rsidR="001F3F40" w:rsidRPr="00AA0BC8"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r w:rsidRPr="00AA0BC8">
              <w:rPr>
                <w:rFonts w:ascii="Arial Narrow" w:eastAsia="Times New Roman" w:hAnsi="Arial Narrow" w:cs="Calibri"/>
                <w:b/>
                <w:bCs/>
                <w:color w:val="000000"/>
                <w:sz w:val="20"/>
                <w:szCs w:val="20"/>
                <w:lang w:eastAsia="en-AU"/>
              </w:rPr>
              <w:t> </w:t>
            </w:r>
          </w:p>
        </w:tc>
      </w:tr>
      <w:tr w:rsidR="001F3F40" w:rsidRPr="00AA0BC8" w14:paraId="6F0DD9BE" w14:textId="77777777" w:rsidTr="00175863">
        <w:trPr>
          <w:trHeight w:val="244"/>
        </w:trPr>
        <w:tc>
          <w:tcPr>
            <w:tcW w:w="2972" w:type="dxa"/>
            <w:tcBorders>
              <w:top w:val="single" w:sz="4" w:space="0" w:color="auto"/>
              <w:left w:val="single" w:sz="4" w:space="0" w:color="auto"/>
              <w:bottom w:val="single" w:sz="4" w:space="0" w:color="auto"/>
              <w:right w:val="single" w:sz="4" w:space="0" w:color="auto"/>
            </w:tcBorders>
            <w:noWrap/>
            <w:vAlign w:val="center"/>
          </w:tcPr>
          <w:p w14:paraId="3C59DF84" w14:textId="77777777" w:rsidR="001F3F40" w:rsidRPr="008E000F" w:rsidRDefault="001F3F40" w:rsidP="00ED5CB7">
            <w:pPr>
              <w:keepNext/>
              <w:keepLines/>
              <w:spacing w:before="0" w:after="0" w:line="240" w:lineRule="auto"/>
              <w:rPr>
                <w:rFonts w:ascii="Arial Narrow" w:eastAsia="Times New Roman" w:hAnsi="Arial Narrow" w:cs="Calibri"/>
                <w:i/>
                <w:iCs/>
                <w:color w:val="000000"/>
                <w:sz w:val="20"/>
                <w:szCs w:val="20"/>
                <w:lang w:eastAsia="en-AU"/>
              </w:rPr>
            </w:pPr>
            <w:r>
              <w:rPr>
                <w:rFonts w:ascii="Arial Narrow" w:eastAsia="Times New Roman" w:hAnsi="Arial Narrow" w:cs="Calibri"/>
                <w:b/>
                <w:bCs/>
                <w:color w:val="000000"/>
                <w:sz w:val="20"/>
                <w:szCs w:val="20"/>
                <w:lang w:eastAsia="en-AU"/>
              </w:rPr>
              <w:t>A</w:t>
            </w:r>
            <w:r w:rsidRPr="00AA0BC8">
              <w:rPr>
                <w:rFonts w:ascii="Arial Narrow" w:eastAsia="Times New Roman" w:hAnsi="Arial Narrow" w:cs="Calibri"/>
                <w:b/>
                <w:bCs/>
                <w:color w:val="000000"/>
                <w:sz w:val="20"/>
                <w:szCs w:val="20"/>
                <w:lang w:eastAsia="en-AU"/>
              </w:rPr>
              <w:t>nnual surveillance</w:t>
            </w:r>
          </w:p>
        </w:tc>
        <w:tc>
          <w:tcPr>
            <w:tcW w:w="3260" w:type="dxa"/>
            <w:gridSpan w:val="3"/>
            <w:tcBorders>
              <w:top w:val="single" w:sz="4" w:space="0" w:color="auto"/>
              <w:left w:val="nil"/>
              <w:bottom w:val="single" w:sz="4" w:space="0" w:color="auto"/>
              <w:right w:val="single" w:sz="4" w:space="0" w:color="auto"/>
            </w:tcBorders>
            <w:noWrap/>
            <w:vAlign w:val="center"/>
          </w:tcPr>
          <w:p w14:paraId="5EE0A1B8" w14:textId="77777777" w:rsidR="001F3F40" w:rsidRPr="008E000F" w:rsidRDefault="001F3F40" w:rsidP="00ED5CB7">
            <w:pPr>
              <w:keepNext/>
              <w:keepLines/>
              <w:spacing w:before="0" w:after="0" w:line="240" w:lineRule="auto"/>
              <w:jc w:val="center"/>
              <w:rPr>
                <w:rFonts w:ascii="Arial Narrow" w:hAnsi="Arial Narrow" w:cs="Calibri"/>
                <w:b/>
                <w:bCs/>
                <w:color w:val="000000"/>
                <w:sz w:val="20"/>
                <w:szCs w:val="20"/>
              </w:rPr>
            </w:pPr>
          </w:p>
        </w:tc>
        <w:tc>
          <w:tcPr>
            <w:tcW w:w="2784" w:type="dxa"/>
            <w:tcBorders>
              <w:top w:val="single" w:sz="4" w:space="0" w:color="auto"/>
              <w:left w:val="nil"/>
              <w:bottom w:val="single" w:sz="4" w:space="0" w:color="auto"/>
              <w:right w:val="single" w:sz="4" w:space="0" w:color="auto"/>
            </w:tcBorders>
            <w:noWrap/>
            <w:vAlign w:val="center"/>
          </w:tcPr>
          <w:p w14:paraId="6AA8F6B8" w14:textId="77777777" w:rsidR="001F3F40" w:rsidRPr="00AA0BC8"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p>
        </w:tc>
      </w:tr>
      <w:tr w:rsidR="001F3F40" w:rsidRPr="00712F52" w14:paraId="7A0C6CE9" w14:textId="77777777" w:rsidTr="00175863">
        <w:trPr>
          <w:trHeight w:val="244"/>
        </w:trPr>
        <w:tc>
          <w:tcPr>
            <w:tcW w:w="2972" w:type="dxa"/>
            <w:tcBorders>
              <w:top w:val="single" w:sz="4" w:space="0" w:color="auto"/>
              <w:left w:val="single" w:sz="4" w:space="0" w:color="auto"/>
              <w:bottom w:val="single" w:sz="4" w:space="0" w:color="auto"/>
              <w:right w:val="single" w:sz="4" w:space="0" w:color="auto"/>
            </w:tcBorders>
            <w:noWrap/>
            <w:vAlign w:val="bottom"/>
          </w:tcPr>
          <w:p w14:paraId="01673341" w14:textId="77777777" w:rsidR="001F3F40" w:rsidRPr="00712F52"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GP consultation for referral and review</w:t>
            </w:r>
          </w:p>
        </w:tc>
        <w:tc>
          <w:tcPr>
            <w:tcW w:w="1247" w:type="dxa"/>
            <w:tcBorders>
              <w:top w:val="single" w:sz="4" w:space="0" w:color="auto"/>
              <w:left w:val="nil"/>
              <w:bottom w:val="single" w:sz="4" w:space="0" w:color="auto"/>
              <w:right w:val="single" w:sz="4" w:space="0" w:color="auto"/>
            </w:tcBorders>
            <w:noWrap/>
            <w:vAlign w:val="bottom"/>
          </w:tcPr>
          <w:p w14:paraId="6F26075F"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$165.80</w:t>
            </w:r>
          </w:p>
        </w:tc>
        <w:tc>
          <w:tcPr>
            <w:tcW w:w="1305" w:type="dxa"/>
            <w:tcBorders>
              <w:top w:val="single" w:sz="4" w:space="0" w:color="auto"/>
              <w:left w:val="nil"/>
              <w:bottom w:val="single" w:sz="4" w:space="0" w:color="auto"/>
              <w:right w:val="single" w:sz="4" w:space="0" w:color="auto"/>
            </w:tcBorders>
            <w:noWrap/>
            <w:vAlign w:val="bottom"/>
          </w:tcPr>
          <w:p w14:paraId="20F5C1A6"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$82.90</w:t>
            </w:r>
          </w:p>
        </w:tc>
        <w:tc>
          <w:tcPr>
            <w:tcW w:w="708" w:type="dxa"/>
            <w:tcBorders>
              <w:top w:val="single" w:sz="4" w:space="0" w:color="auto"/>
              <w:left w:val="nil"/>
              <w:bottom w:val="single" w:sz="4" w:space="0" w:color="auto"/>
              <w:right w:val="single" w:sz="4" w:space="0" w:color="auto"/>
            </w:tcBorders>
            <w:noWrap/>
            <w:vAlign w:val="bottom"/>
          </w:tcPr>
          <w:p w14:paraId="0F12BF2C"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2</w:t>
            </w:r>
          </w:p>
        </w:tc>
        <w:tc>
          <w:tcPr>
            <w:tcW w:w="2784" w:type="dxa"/>
            <w:tcBorders>
              <w:top w:val="single" w:sz="4" w:space="0" w:color="auto"/>
              <w:left w:val="nil"/>
              <w:bottom w:val="single" w:sz="4" w:space="0" w:color="auto"/>
              <w:right w:val="single" w:sz="4" w:space="0" w:color="auto"/>
            </w:tcBorders>
            <w:noWrap/>
            <w:vAlign w:val="bottom"/>
          </w:tcPr>
          <w:p w14:paraId="5D3CA17F" w14:textId="77777777" w:rsidR="001F3F40" w:rsidRPr="00712F52"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Scheduled fee for MBS item 36</w:t>
            </w:r>
          </w:p>
        </w:tc>
      </w:tr>
      <w:tr w:rsidR="001F3F40" w:rsidRPr="00712F52" w14:paraId="21290B64" w14:textId="77777777" w:rsidTr="00175863">
        <w:trPr>
          <w:trHeight w:val="244"/>
        </w:trPr>
        <w:tc>
          <w:tcPr>
            <w:tcW w:w="2972" w:type="dxa"/>
            <w:tcBorders>
              <w:top w:val="single" w:sz="4" w:space="0" w:color="auto"/>
              <w:left w:val="single" w:sz="4" w:space="0" w:color="auto"/>
              <w:bottom w:val="single" w:sz="4" w:space="0" w:color="auto"/>
              <w:right w:val="single" w:sz="4" w:space="0" w:color="auto"/>
            </w:tcBorders>
            <w:noWrap/>
            <w:vAlign w:val="bottom"/>
          </w:tcPr>
          <w:p w14:paraId="49BB1670" w14:textId="77777777" w:rsidR="001F3F40" w:rsidRPr="00712F52"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Specialist metabolic clinic visit</w:t>
            </w:r>
          </w:p>
        </w:tc>
        <w:tc>
          <w:tcPr>
            <w:tcW w:w="1247" w:type="dxa"/>
            <w:tcBorders>
              <w:top w:val="single" w:sz="4" w:space="0" w:color="auto"/>
              <w:left w:val="nil"/>
              <w:bottom w:val="single" w:sz="4" w:space="0" w:color="auto"/>
              <w:right w:val="single" w:sz="4" w:space="0" w:color="auto"/>
            </w:tcBorders>
            <w:noWrap/>
            <w:vAlign w:val="bottom"/>
          </w:tcPr>
          <w:p w14:paraId="2958A0D4"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$2,198.79</w:t>
            </w:r>
          </w:p>
        </w:tc>
        <w:tc>
          <w:tcPr>
            <w:tcW w:w="1305" w:type="dxa"/>
            <w:tcBorders>
              <w:top w:val="single" w:sz="4" w:space="0" w:color="auto"/>
              <w:left w:val="nil"/>
              <w:bottom w:val="single" w:sz="4" w:space="0" w:color="auto"/>
              <w:right w:val="single" w:sz="4" w:space="0" w:color="auto"/>
            </w:tcBorders>
            <w:noWrap/>
            <w:vAlign w:val="bottom"/>
          </w:tcPr>
          <w:p w14:paraId="481EAC33"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$2,198.79</w:t>
            </w:r>
          </w:p>
        </w:tc>
        <w:tc>
          <w:tcPr>
            <w:tcW w:w="708" w:type="dxa"/>
            <w:tcBorders>
              <w:top w:val="single" w:sz="4" w:space="0" w:color="auto"/>
              <w:left w:val="nil"/>
              <w:bottom w:val="single" w:sz="4" w:space="0" w:color="auto"/>
              <w:right w:val="single" w:sz="4" w:space="0" w:color="auto"/>
            </w:tcBorders>
            <w:noWrap/>
            <w:vAlign w:val="bottom"/>
          </w:tcPr>
          <w:p w14:paraId="5BC0E96E"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1</w:t>
            </w:r>
          </w:p>
        </w:tc>
        <w:tc>
          <w:tcPr>
            <w:tcW w:w="2784" w:type="dxa"/>
            <w:tcBorders>
              <w:top w:val="single" w:sz="4" w:space="0" w:color="auto"/>
              <w:left w:val="nil"/>
              <w:bottom w:val="single" w:sz="4" w:space="0" w:color="auto"/>
              <w:right w:val="single" w:sz="4" w:space="0" w:color="auto"/>
            </w:tcBorders>
            <w:noWrap/>
            <w:vAlign w:val="bottom"/>
          </w:tcPr>
          <w:p w14:paraId="12C8170D" w14:textId="77777777" w:rsidR="001F3F40" w:rsidRPr="00712F52"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NHCDC Tier 2 code 20.08</w:t>
            </w:r>
          </w:p>
        </w:tc>
      </w:tr>
      <w:tr w:rsidR="001F3F40" w:rsidRPr="00712F52" w14:paraId="6052AB3B" w14:textId="77777777" w:rsidTr="00175863">
        <w:trPr>
          <w:trHeight w:val="244"/>
        </w:trPr>
        <w:tc>
          <w:tcPr>
            <w:tcW w:w="2972" w:type="dxa"/>
            <w:tcBorders>
              <w:top w:val="single" w:sz="4" w:space="0" w:color="auto"/>
              <w:left w:val="single" w:sz="4" w:space="0" w:color="auto"/>
              <w:bottom w:val="single" w:sz="4" w:space="0" w:color="auto"/>
              <w:right w:val="single" w:sz="4" w:space="0" w:color="auto"/>
            </w:tcBorders>
            <w:noWrap/>
            <w:vAlign w:val="bottom"/>
          </w:tcPr>
          <w:p w14:paraId="3EA6C19C" w14:textId="77777777" w:rsidR="001F3F40" w:rsidRPr="00712F52"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HEX4</w:t>
            </w:r>
          </w:p>
        </w:tc>
        <w:tc>
          <w:tcPr>
            <w:tcW w:w="1247" w:type="dxa"/>
            <w:tcBorders>
              <w:top w:val="single" w:sz="4" w:space="0" w:color="auto"/>
              <w:left w:val="nil"/>
              <w:bottom w:val="single" w:sz="4" w:space="0" w:color="auto"/>
              <w:right w:val="single" w:sz="4" w:space="0" w:color="auto"/>
            </w:tcBorders>
            <w:noWrap/>
            <w:vAlign w:val="bottom"/>
          </w:tcPr>
          <w:p w14:paraId="1E5E660D"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$122.00</w:t>
            </w:r>
          </w:p>
        </w:tc>
        <w:tc>
          <w:tcPr>
            <w:tcW w:w="1305" w:type="dxa"/>
            <w:tcBorders>
              <w:top w:val="single" w:sz="4" w:space="0" w:color="auto"/>
              <w:left w:val="nil"/>
              <w:bottom w:val="single" w:sz="4" w:space="0" w:color="auto"/>
              <w:right w:val="single" w:sz="4" w:space="0" w:color="auto"/>
            </w:tcBorders>
            <w:noWrap/>
            <w:vAlign w:val="bottom"/>
          </w:tcPr>
          <w:p w14:paraId="267DB52D"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$122.00</w:t>
            </w:r>
          </w:p>
        </w:tc>
        <w:tc>
          <w:tcPr>
            <w:tcW w:w="708" w:type="dxa"/>
            <w:tcBorders>
              <w:top w:val="single" w:sz="4" w:space="0" w:color="auto"/>
              <w:left w:val="nil"/>
              <w:bottom w:val="single" w:sz="4" w:space="0" w:color="auto"/>
              <w:right w:val="single" w:sz="4" w:space="0" w:color="auto"/>
            </w:tcBorders>
            <w:noWrap/>
            <w:vAlign w:val="bottom"/>
          </w:tcPr>
          <w:p w14:paraId="3F9C3885"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single" w:sz="4" w:space="0" w:color="auto"/>
              <w:left w:val="nil"/>
              <w:bottom w:val="single" w:sz="4" w:space="0" w:color="auto"/>
              <w:right w:val="single" w:sz="4" w:space="0" w:color="auto"/>
            </w:tcBorders>
            <w:noWrap/>
            <w:vAlign w:val="bottom"/>
          </w:tcPr>
          <w:p w14:paraId="6731107E" w14:textId="77777777" w:rsidR="001F3F40" w:rsidRPr="00712F52"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SA Pathology Catalogue</w:t>
            </w:r>
          </w:p>
        </w:tc>
      </w:tr>
      <w:tr w:rsidR="001F3F40" w:rsidRPr="00712F52" w14:paraId="0AA4CF8B" w14:textId="77777777" w:rsidTr="00175863">
        <w:trPr>
          <w:trHeight w:val="244"/>
        </w:trPr>
        <w:tc>
          <w:tcPr>
            <w:tcW w:w="2972" w:type="dxa"/>
            <w:tcBorders>
              <w:top w:val="single" w:sz="4" w:space="0" w:color="auto"/>
              <w:left w:val="single" w:sz="4" w:space="0" w:color="auto"/>
              <w:bottom w:val="single" w:sz="4" w:space="0" w:color="auto"/>
              <w:right w:val="single" w:sz="4" w:space="0" w:color="auto"/>
            </w:tcBorders>
            <w:noWrap/>
            <w:vAlign w:val="bottom"/>
          </w:tcPr>
          <w:p w14:paraId="5E7FE121" w14:textId="77777777" w:rsidR="001F3F40" w:rsidRPr="00712F52"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Leucocyte Lysosomal Enzyme Studies</w:t>
            </w:r>
          </w:p>
        </w:tc>
        <w:tc>
          <w:tcPr>
            <w:tcW w:w="1247" w:type="dxa"/>
            <w:tcBorders>
              <w:top w:val="single" w:sz="4" w:space="0" w:color="auto"/>
              <w:left w:val="nil"/>
              <w:bottom w:val="single" w:sz="4" w:space="0" w:color="auto"/>
              <w:right w:val="single" w:sz="4" w:space="0" w:color="auto"/>
            </w:tcBorders>
            <w:noWrap/>
            <w:vAlign w:val="bottom"/>
          </w:tcPr>
          <w:p w14:paraId="6AECA200"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$432.00</w:t>
            </w:r>
          </w:p>
        </w:tc>
        <w:tc>
          <w:tcPr>
            <w:tcW w:w="1305" w:type="dxa"/>
            <w:tcBorders>
              <w:top w:val="single" w:sz="4" w:space="0" w:color="auto"/>
              <w:left w:val="nil"/>
              <w:bottom w:val="single" w:sz="4" w:space="0" w:color="auto"/>
              <w:right w:val="single" w:sz="4" w:space="0" w:color="auto"/>
            </w:tcBorders>
            <w:noWrap/>
            <w:vAlign w:val="bottom"/>
          </w:tcPr>
          <w:p w14:paraId="130FD33D"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$432.00</w:t>
            </w:r>
          </w:p>
        </w:tc>
        <w:tc>
          <w:tcPr>
            <w:tcW w:w="708" w:type="dxa"/>
            <w:tcBorders>
              <w:top w:val="single" w:sz="4" w:space="0" w:color="auto"/>
              <w:left w:val="nil"/>
              <w:bottom w:val="single" w:sz="4" w:space="0" w:color="auto"/>
              <w:right w:val="single" w:sz="4" w:space="0" w:color="auto"/>
            </w:tcBorders>
            <w:noWrap/>
            <w:vAlign w:val="bottom"/>
          </w:tcPr>
          <w:p w14:paraId="61277ABD"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single" w:sz="4" w:space="0" w:color="auto"/>
              <w:left w:val="nil"/>
              <w:bottom w:val="single" w:sz="4" w:space="0" w:color="auto"/>
              <w:right w:val="single" w:sz="4" w:space="0" w:color="auto"/>
            </w:tcBorders>
            <w:noWrap/>
            <w:vAlign w:val="bottom"/>
          </w:tcPr>
          <w:p w14:paraId="429C8B9D" w14:textId="77777777" w:rsidR="001F3F40" w:rsidRPr="00712F52"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SA Pathology Catalogue</w:t>
            </w:r>
          </w:p>
        </w:tc>
      </w:tr>
      <w:tr w:rsidR="001F3F40" w:rsidRPr="00712F52" w14:paraId="2ED393BA" w14:textId="77777777" w:rsidTr="00175863">
        <w:trPr>
          <w:trHeight w:val="244"/>
        </w:trPr>
        <w:tc>
          <w:tcPr>
            <w:tcW w:w="2972" w:type="dxa"/>
            <w:tcBorders>
              <w:top w:val="single" w:sz="4" w:space="0" w:color="auto"/>
              <w:left w:val="single" w:sz="4" w:space="0" w:color="auto"/>
              <w:bottom w:val="single" w:sz="4" w:space="0" w:color="auto"/>
              <w:right w:val="single" w:sz="4" w:space="0" w:color="auto"/>
            </w:tcBorders>
            <w:noWrap/>
            <w:vAlign w:val="bottom"/>
          </w:tcPr>
          <w:p w14:paraId="6FBAC23D" w14:textId="77777777" w:rsidR="001F3F40" w:rsidRPr="00712F52"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Alpha-Galactosidase Activity DBS 4MU</w:t>
            </w:r>
          </w:p>
        </w:tc>
        <w:tc>
          <w:tcPr>
            <w:tcW w:w="1247" w:type="dxa"/>
            <w:tcBorders>
              <w:top w:val="single" w:sz="4" w:space="0" w:color="auto"/>
              <w:left w:val="nil"/>
              <w:bottom w:val="single" w:sz="4" w:space="0" w:color="auto"/>
              <w:right w:val="single" w:sz="4" w:space="0" w:color="auto"/>
            </w:tcBorders>
            <w:noWrap/>
            <w:vAlign w:val="bottom"/>
          </w:tcPr>
          <w:p w14:paraId="6ABA8795"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$116.00</w:t>
            </w:r>
          </w:p>
        </w:tc>
        <w:tc>
          <w:tcPr>
            <w:tcW w:w="1305" w:type="dxa"/>
            <w:tcBorders>
              <w:top w:val="single" w:sz="4" w:space="0" w:color="auto"/>
              <w:left w:val="nil"/>
              <w:bottom w:val="single" w:sz="4" w:space="0" w:color="auto"/>
              <w:right w:val="single" w:sz="4" w:space="0" w:color="auto"/>
            </w:tcBorders>
            <w:noWrap/>
            <w:vAlign w:val="bottom"/>
          </w:tcPr>
          <w:p w14:paraId="10F04EDA"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$116.00</w:t>
            </w:r>
          </w:p>
        </w:tc>
        <w:tc>
          <w:tcPr>
            <w:tcW w:w="708" w:type="dxa"/>
            <w:tcBorders>
              <w:top w:val="single" w:sz="4" w:space="0" w:color="auto"/>
              <w:left w:val="nil"/>
              <w:bottom w:val="single" w:sz="4" w:space="0" w:color="auto"/>
              <w:right w:val="single" w:sz="4" w:space="0" w:color="auto"/>
            </w:tcBorders>
            <w:noWrap/>
            <w:vAlign w:val="bottom"/>
          </w:tcPr>
          <w:p w14:paraId="6E0DAE00" w14:textId="77777777" w:rsidR="001F3F40" w:rsidRPr="00712F52"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1</w:t>
            </w:r>
          </w:p>
        </w:tc>
        <w:tc>
          <w:tcPr>
            <w:tcW w:w="2784" w:type="dxa"/>
            <w:tcBorders>
              <w:top w:val="single" w:sz="4" w:space="0" w:color="auto"/>
              <w:left w:val="nil"/>
              <w:bottom w:val="single" w:sz="4" w:space="0" w:color="auto"/>
              <w:right w:val="single" w:sz="4" w:space="0" w:color="auto"/>
            </w:tcBorders>
            <w:noWrap/>
            <w:vAlign w:val="bottom"/>
          </w:tcPr>
          <w:p w14:paraId="1DD927AB" w14:textId="77777777" w:rsidR="001F3F40" w:rsidRPr="00712F52"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66678A">
              <w:rPr>
                <w:rFonts w:ascii="Arial Narrow" w:eastAsia="Times New Roman" w:hAnsi="Arial Narrow" w:cs="Calibri"/>
                <w:color w:val="000000"/>
                <w:sz w:val="20"/>
                <w:szCs w:val="20"/>
                <w:lang w:eastAsia="en-AU"/>
              </w:rPr>
              <w:t>SA Pathology Catalogue</w:t>
            </w:r>
          </w:p>
        </w:tc>
      </w:tr>
      <w:tr w:rsidR="001F3F40" w:rsidRPr="00AA0BC8" w14:paraId="37BB76AA" w14:textId="77777777" w:rsidTr="00175863">
        <w:trPr>
          <w:trHeight w:val="244"/>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05D720CA" w14:textId="61DD7EB7" w:rsidR="001F3F40" w:rsidRPr="00350FBE" w:rsidRDefault="001F3F40" w:rsidP="00ED5CB7">
            <w:pPr>
              <w:keepNext/>
              <w:keepLines/>
              <w:spacing w:before="0" w:after="0" w:line="240" w:lineRule="auto"/>
              <w:rPr>
                <w:rFonts w:ascii="Arial Narrow" w:eastAsia="Times New Roman" w:hAnsi="Arial Narrow" w:cs="Calibri"/>
                <w:i/>
                <w:iCs/>
                <w:color w:val="000000"/>
                <w:sz w:val="20"/>
                <w:szCs w:val="20"/>
                <w:lang w:eastAsia="en-AU"/>
              </w:rPr>
            </w:pPr>
            <w:r w:rsidRPr="00350FBE">
              <w:rPr>
                <w:rFonts w:ascii="Arial Narrow" w:eastAsia="Times New Roman" w:hAnsi="Arial Narrow" w:cs="Calibri"/>
                <w:i/>
                <w:iCs/>
                <w:color w:val="000000"/>
                <w:sz w:val="20"/>
                <w:szCs w:val="20"/>
                <w:lang w:eastAsia="en-AU"/>
              </w:rPr>
              <w:t>Total cost of annual surveillance</w:t>
            </w:r>
            <w:r w:rsidRPr="00350FBE">
              <w:rPr>
                <w:rFonts w:ascii="Arial Narrow" w:eastAsia="Times New Roman" w:hAnsi="Arial Narrow" w:cs="Calibri"/>
                <w:i/>
                <w:iCs/>
                <w:color w:val="000000"/>
                <w:sz w:val="20"/>
                <w:szCs w:val="20"/>
                <w:vertAlign w:val="superscript"/>
                <w:lang w:eastAsia="en-AU"/>
              </w:rPr>
              <w:t>1</w:t>
            </w:r>
            <w:r w:rsidRPr="00350FBE">
              <w:rPr>
                <w:rFonts w:ascii="Arial Narrow" w:eastAsia="Times New Roman" w:hAnsi="Arial Narrow" w:cs="Calibri"/>
                <w:i/>
                <w:iCs/>
                <w:color w:val="000000"/>
                <w:sz w:val="20"/>
                <w:szCs w:val="20"/>
                <w:lang w:eastAsia="en-AU"/>
              </w:rPr>
              <w:t xml:space="preserve"> </w:t>
            </w:r>
          </w:p>
        </w:tc>
        <w:tc>
          <w:tcPr>
            <w:tcW w:w="3260" w:type="dxa"/>
            <w:gridSpan w:val="3"/>
            <w:tcBorders>
              <w:top w:val="single" w:sz="4" w:space="0" w:color="auto"/>
              <w:left w:val="nil"/>
              <w:bottom w:val="single" w:sz="4" w:space="0" w:color="auto"/>
              <w:right w:val="single" w:sz="4" w:space="0" w:color="auto"/>
            </w:tcBorders>
            <w:noWrap/>
            <w:vAlign w:val="center"/>
            <w:hideMark/>
          </w:tcPr>
          <w:p w14:paraId="29118D2C" w14:textId="09531025" w:rsidR="001F3F40" w:rsidRPr="00AA0BC8" w:rsidRDefault="001F3F40" w:rsidP="00ED5CB7">
            <w:pPr>
              <w:keepNext/>
              <w:keepLines/>
              <w:spacing w:before="0" w:after="0" w:line="240" w:lineRule="auto"/>
              <w:jc w:val="center"/>
              <w:rPr>
                <w:rFonts w:ascii="Arial Narrow" w:eastAsia="Times New Roman" w:hAnsi="Arial Narrow" w:cs="Calibri"/>
                <w:b/>
                <w:bCs/>
                <w:color w:val="000000"/>
                <w:sz w:val="20"/>
                <w:szCs w:val="20"/>
                <w:lang w:eastAsia="en-AU"/>
              </w:rPr>
            </w:pPr>
            <w:r w:rsidRPr="00350FBE">
              <w:rPr>
                <w:rFonts w:ascii="Arial Narrow" w:hAnsi="Arial Narrow" w:cs="Calibri"/>
                <w:b/>
                <w:bCs/>
                <w:color w:val="000000"/>
                <w:sz w:val="20"/>
                <w:szCs w:val="20"/>
              </w:rPr>
              <w:t>$3,034.59</w:t>
            </w:r>
          </w:p>
        </w:tc>
        <w:tc>
          <w:tcPr>
            <w:tcW w:w="2784" w:type="dxa"/>
            <w:tcBorders>
              <w:top w:val="single" w:sz="4" w:space="0" w:color="auto"/>
              <w:left w:val="nil"/>
              <w:bottom w:val="single" w:sz="4" w:space="0" w:color="auto"/>
              <w:right w:val="single" w:sz="4" w:space="0" w:color="auto"/>
            </w:tcBorders>
            <w:noWrap/>
            <w:vAlign w:val="center"/>
            <w:hideMark/>
          </w:tcPr>
          <w:p w14:paraId="216195C5" w14:textId="77777777" w:rsidR="001F3F40" w:rsidRPr="00AA0BC8"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r w:rsidRPr="00AA0BC8">
              <w:rPr>
                <w:rFonts w:ascii="Arial Narrow" w:eastAsia="Times New Roman" w:hAnsi="Arial Narrow" w:cs="Calibri"/>
                <w:b/>
                <w:bCs/>
                <w:color w:val="000000"/>
                <w:sz w:val="20"/>
                <w:szCs w:val="20"/>
                <w:lang w:eastAsia="en-AU"/>
              </w:rPr>
              <w:t> </w:t>
            </w:r>
          </w:p>
        </w:tc>
      </w:tr>
    </w:tbl>
    <w:p w14:paraId="2DC43844" w14:textId="77777777" w:rsidR="001F3F40" w:rsidRDefault="001F3F40" w:rsidP="00ED5CB7">
      <w:pPr>
        <w:pStyle w:val="Tablenotes"/>
        <w:keepNext/>
        <w:keepLines/>
      </w:pPr>
      <w:r w:rsidRPr="02E2EE7D">
        <w:t xml:space="preserve">4MU = 4-methylumbelliferyl-alpha-glucopyranoside substrate; DBS = dried bloodspot; GSD II = glycogen storage disease Type II; HEX4 = Glucose </w:t>
      </w:r>
      <w:proofErr w:type="spellStart"/>
      <w:r w:rsidRPr="02E2EE7D">
        <w:t>tetrasaccharides</w:t>
      </w:r>
      <w:proofErr w:type="spellEnd"/>
      <w:r w:rsidRPr="02E2EE7D">
        <w:t>; MBS = Medicare Benefits Schedule; NHCDC = National Hospital Cost Data Collection; SA = South Australia</w:t>
      </w:r>
    </w:p>
    <w:p w14:paraId="5BAF60BE" w14:textId="7324F17C" w:rsidR="001F3F40" w:rsidRDefault="001F3F40" w:rsidP="00ED5CB7">
      <w:pPr>
        <w:pStyle w:val="Tablenotes"/>
        <w:keepNext/>
        <w:keepLines/>
      </w:pPr>
      <w:r>
        <w:rPr>
          <w:vertAlign w:val="superscript"/>
        </w:rPr>
        <w:t xml:space="preserve">1 </w:t>
      </w:r>
      <w:r>
        <w:t>Services costed in annual surveillance based on Richardson</w:t>
      </w:r>
      <w:r w:rsidR="005353CB">
        <w:t xml:space="preserve"> et al</w:t>
      </w:r>
      <w:r>
        <w:t xml:space="preserve"> 2021 and include </w:t>
      </w:r>
      <w:r w:rsidRPr="007953F1">
        <w:t>2 GP visits, Metabolic clinic visit, lab work including enzyme studies and HEX4</w:t>
      </w:r>
      <w:r>
        <w:t xml:space="preserve"> </w:t>
      </w:r>
    </w:p>
    <w:p w14:paraId="721F4345" w14:textId="77777777" w:rsidR="001F3F40" w:rsidRDefault="001F3F40" w:rsidP="00ED5CB7">
      <w:pPr>
        <w:pStyle w:val="Tablenotes"/>
        <w:keepNext/>
        <w:keepLines/>
      </w:pPr>
      <w:r>
        <w:t>Source:</w:t>
      </w:r>
      <w:r w:rsidRPr="007A2D1E">
        <w:t xml:space="preserve"> </w:t>
      </w:r>
      <w:r w:rsidRPr="00187558">
        <w:t xml:space="preserve">IHACPA 2024, </w:t>
      </w:r>
      <w:r w:rsidRPr="00187558">
        <w:rPr>
          <w:i/>
        </w:rPr>
        <w:t>Appendix K – Price weights for non-admitted patients, Table 16. Non-admitted price weights</w:t>
      </w:r>
      <w:r>
        <w:rPr>
          <w:i/>
        </w:rPr>
        <w:t>,</w:t>
      </w:r>
      <w:r w:rsidRPr="00187558">
        <w:t xml:space="preserve"> </w:t>
      </w:r>
      <w:r>
        <w:t>MBS online Schedule for 2024, SA Pathology Catalogue</w:t>
      </w:r>
    </w:p>
    <w:p w14:paraId="34649DA3" w14:textId="0D45BD13" w:rsidR="001F3F40" w:rsidRDefault="001F3F40" w:rsidP="00FA4515">
      <w:r w:rsidRPr="02E2EE7D">
        <w:t xml:space="preserve">The economic evaluation is presented in stepped manner in </w:t>
      </w:r>
      <w:r>
        <w:fldChar w:fldCharType="begin"/>
      </w:r>
      <w:r>
        <w:instrText xml:space="preserve"> REF _Ref181825339 \h </w:instrText>
      </w:r>
      <w:r>
        <w:fldChar w:fldCharType="separate"/>
      </w:r>
      <w:r w:rsidR="007476D0" w:rsidRPr="02E2EE7D">
        <w:t xml:space="preserve">Table </w:t>
      </w:r>
      <w:r w:rsidR="007476D0">
        <w:t>8</w:t>
      </w:r>
      <w:r>
        <w:fldChar w:fldCharType="end"/>
      </w:r>
      <w:r w:rsidR="00376906" w:rsidRPr="02E2EE7D">
        <w:t xml:space="preserve"> </w:t>
      </w:r>
      <w:r w:rsidRPr="02E2EE7D">
        <w:t xml:space="preserve">for a cohort of 100,000 newborns. All diagnoses through NBS are assumed to be early diagnoses compared with diagnosis after symptom onset in the no NBS strategy. Step 1 includes the costs associated with screening (NBS) and diagnostic confirmation testing (in both NBS and no NBS strategies) and the cost of diagnostic </w:t>
      </w:r>
      <w:r w:rsidR="00F858A6">
        <w:t>delay</w:t>
      </w:r>
      <w:r w:rsidRPr="02E2EE7D">
        <w:t xml:space="preserve"> for the duration of diagnostic delay (IO: 4.</w:t>
      </w:r>
      <w:r w:rsidR="00376906" w:rsidRPr="02E2EE7D">
        <w:t>6 </w:t>
      </w:r>
      <w:r w:rsidRPr="02E2EE7D">
        <w:t xml:space="preserve">months, LO </w:t>
      </w:r>
      <w:r w:rsidR="00A44FF6" w:rsidRPr="02E2EE7D">
        <w:t xml:space="preserve">at age </w:t>
      </w:r>
      <w:r w:rsidRPr="02E2EE7D">
        <w:t xml:space="preserve">≤12 years: 4 years, and LO &gt;12 years: 7 years) in the absence of NBS. The average cost per diagnoses of GSD II was </w:t>
      </w:r>
      <w:r w:rsidR="00E025B8" w:rsidRPr="00E025B8">
        <w:rPr>
          <w:b/>
          <w:bCs/>
        </w:rPr>
        <w:t>REDACTED</w:t>
      </w:r>
      <w:r w:rsidRPr="02E2EE7D">
        <w:t>/3.</w:t>
      </w:r>
      <w:r w:rsidR="00AC7833" w:rsidRPr="02E2EE7D">
        <w:t xml:space="preserve">48 </w:t>
      </w:r>
      <w:r w:rsidRPr="02E2EE7D">
        <w:t xml:space="preserve">diagnoses) with NBS and </w:t>
      </w:r>
      <w:r w:rsidR="00E025B8" w:rsidRPr="00E025B8">
        <w:rPr>
          <w:b/>
          <w:bCs/>
        </w:rPr>
        <w:t>REDACTED</w:t>
      </w:r>
      <w:r w:rsidRPr="02E2EE7D">
        <w:t xml:space="preserve">/2.19 diagnoses) in the absence of NBS. The ICER was </w:t>
      </w:r>
      <w:r w:rsidR="00A44FF6" w:rsidRPr="02E2EE7D">
        <w:t>$</w:t>
      </w:r>
      <w:r w:rsidR="00E025B8" w:rsidRPr="00E025B8">
        <w:rPr>
          <w:b/>
          <w:bCs/>
        </w:rPr>
        <w:t>REDACTED</w:t>
      </w:r>
      <w:r w:rsidR="00A44FF6" w:rsidRPr="02E2EE7D">
        <w:t xml:space="preserve"> </w:t>
      </w:r>
      <w:r w:rsidRPr="02E2EE7D">
        <w:t>per additional diagnoses of GSD II cases.</w:t>
      </w:r>
    </w:p>
    <w:p w14:paraId="13003B87" w14:textId="2F990F36" w:rsidR="001F3F40" w:rsidRDefault="001F3F40" w:rsidP="00FA4515">
      <w:r w:rsidRPr="02E2EE7D">
        <w:t xml:space="preserve">Step 2 adds costs associated with monitoring in LOGSD II cases until symptom onset (LO </w:t>
      </w:r>
      <w:r w:rsidR="00A44FF6" w:rsidRPr="02E2EE7D">
        <w:t xml:space="preserve">at age </w:t>
      </w:r>
      <w:r w:rsidRPr="02E2EE7D">
        <w:t xml:space="preserve">≤12 years : 2 years, and LO </w:t>
      </w:r>
      <w:r w:rsidR="00A44FF6" w:rsidRPr="02E2EE7D">
        <w:t xml:space="preserve">at age </w:t>
      </w:r>
      <w:r w:rsidRPr="02E2EE7D">
        <w:t xml:space="preserve">&gt;12 years: 38 years) and additional use of ERT in symptomatic cases diagnosed earlier for the duration of diagnostic delay (IO: 4.7 months, LO at age ≤12 years: 4 years, and LO at age &gt;12 years: 7 years) in the NBS strategy. The ICER was </w:t>
      </w:r>
      <w:r w:rsidR="00A44FF6" w:rsidRPr="02E2EE7D">
        <w:t>$</w:t>
      </w:r>
      <w:r w:rsidR="00E025B8" w:rsidRPr="00E025B8">
        <w:rPr>
          <w:b/>
          <w:bCs/>
        </w:rPr>
        <w:t>REDACTED</w:t>
      </w:r>
      <w:r w:rsidR="00A44FF6" w:rsidRPr="02E2EE7D">
        <w:t xml:space="preserve"> </w:t>
      </w:r>
      <w:r w:rsidRPr="02E2EE7D">
        <w:t>per additional diagnoses of GSD II cases.</w:t>
      </w:r>
    </w:p>
    <w:p w14:paraId="0AF85E32" w14:textId="2E23B365" w:rsidR="001F3F40" w:rsidRDefault="001F3F40" w:rsidP="00ED5CB7">
      <w:pPr>
        <w:pStyle w:val="Caption"/>
        <w:keepLines/>
      </w:pPr>
      <w:bookmarkStart w:id="50" w:name="_Ref181825339"/>
      <w:r w:rsidRPr="02E2EE7D">
        <w:t xml:space="preserve">Table </w:t>
      </w:r>
      <w:bookmarkEnd w:id="50"/>
      <w:r w:rsidR="004A68D4">
        <w:t>8</w:t>
      </w:r>
      <w:r>
        <w:tab/>
      </w:r>
      <w:r w:rsidRPr="02E2EE7D">
        <w:t xml:space="preserve">Results for base case economic evaluation using </w:t>
      </w:r>
      <w:r w:rsidR="00606312">
        <w:t>Redacted</w:t>
      </w:r>
      <w:r w:rsidR="00606312" w:rsidRPr="02E2EE7D">
        <w:t xml:space="preserve"> </w:t>
      </w:r>
      <w:r w:rsidRPr="02E2EE7D">
        <w:t>kit (per cohort of 100,000 newborns)</w:t>
      </w:r>
    </w:p>
    <w:tbl>
      <w:tblPr>
        <w:tblW w:w="9016" w:type="dxa"/>
        <w:tblLook w:val="04A0" w:firstRow="1" w:lastRow="0" w:firstColumn="1" w:lastColumn="0" w:noHBand="0" w:noVBand="1"/>
      </w:tblPr>
      <w:tblGrid>
        <w:gridCol w:w="3142"/>
        <w:gridCol w:w="1958"/>
        <w:gridCol w:w="1958"/>
        <w:gridCol w:w="1958"/>
      </w:tblGrid>
      <w:tr w:rsidR="001F3F40" w:rsidRPr="009B60A4" w14:paraId="27836313" w14:textId="77777777" w:rsidTr="00B12AFD">
        <w:trPr>
          <w:trHeight w:val="255"/>
        </w:trPr>
        <w:tc>
          <w:tcPr>
            <w:tcW w:w="3142" w:type="dxa"/>
            <w:tcBorders>
              <w:top w:val="single" w:sz="4" w:space="0" w:color="auto"/>
              <w:left w:val="single" w:sz="4" w:space="0" w:color="auto"/>
              <w:bottom w:val="single" w:sz="4" w:space="0" w:color="auto"/>
              <w:right w:val="single" w:sz="4" w:space="0" w:color="auto"/>
            </w:tcBorders>
            <w:noWrap/>
            <w:vAlign w:val="bottom"/>
            <w:hideMark/>
          </w:tcPr>
          <w:p w14:paraId="754267D2" w14:textId="77777777" w:rsidR="001F3F40" w:rsidRPr="009B60A4"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r w:rsidRPr="009B60A4">
              <w:rPr>
                <w:rFonts w:ascii="Arial Narrow" w:eastAsia="Times New Roman" w:hAnsi="Arial Narrow" w:cs="Calibri"/>
                <w:b/>
                <w:bCs/>
                <w:color w:val="000000"/>
                <w:sz w:val="20"/>
                <w:szCs w:val="20"/>
                <w:lang w:eastAsia="en-AU"/>
              </w:rPr>
              <w:t>Stepped analysis</w:t>
            </w:r>
          </w:p>
        </w:tc>
        <w:tc>
          <w:tcPr>
            <w:tcW w:w="1958" w:type="dxa"/>
            <w:tcBorders>
              <w:top w:val="single" w:sz="4" w:space="0" w:color="auto"/>
              <w:left w:val="nil"/>
              <w:bottom w:val="single" w:sz="4" w:space="0" w:color="auto"/>
              <w:right w:val="single" w:sz="4" w:space="0" w:color="auto"/>
            </w:tcBorders>
            <w:noWrap/>
            <w:vAlign w:val="bottom"/>
            <w:hideMark/>
          </w:tcPr>
          <w:p w14:paraId="0F95E452" w14:textId="77777777" w:rsidR="001F3F40" w:rsidRPr="009B60A4"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r w:rsidRPr="009B60A4">
              <w:rPr>
                <w:rFonts w:ascii="Arial Narrow" w:eastAsia="Times New Roman" w:hAnsi="Arial Narrow" w:cs="Calibri"/>
                <w:b/>
                <w:bCs/>
                <w:color w:val="000000"/>
                <w:sz w:val="20"/>
                <w:szCs w:val="20"/>
                <w:lang w:eastAsia="en-AU"/>
              </w:rPr>
              <w:t>Universal NBS</w:t>
            </w:r>
          </w:p>
        </w:tc>
        <w:tc>
          <w:tcPr>
            <w:tcW w:w="1958" w:type="dxa"/>
            <w:tcBorders>
              <w:top w:val="single" w:sz="4" w:space="0" w:color="auto"/>
              <w:left w:val="nil"/>
              <w:bottom w:val="single" w:sz="4" w:space="0" w:color="auto"/>
              <w:right w:val="single" w:sz="4" w:space="0" w:color="auto"/>
            </w:tcBorders>
            <w:noWrap/>
            <w:vAlign w:val="bottom"/>
            <w:hideMark/>
          </w:tcPr>
          <w:p w14:paraId="0464C92D" w14:textId="77777777" w:rsidR="001F3F40" w:rsidRPr="009B60A4"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r w:rsidRPr="009B60A4">
              <w:rPr>
                <w:rFonts w:ascii="Arial Narrow" w:eastAsia="Times New Roman" w:hAnsi="Arial Narrow" w:cs="Calibri"/>
                <w:b/>
                <w:bCs/>
                <w:color w:val="000000"/>
                <w:sz w:val="20"/>
                <w:szCs w:val="20"/>
                <w:lang w:eastAsia="en-AU"/>
              </w:rPr>
              <w:t>No universal NBS</w:t>
            </w:r>
          </w:p>
        </w:tc>
        <w:tc>
          <w:tcPr>
            <w:tcW w:w="1958" w:type="dxa"/>
            <w:tcBorders>
              <w:top w:val="single" w:sz="4" w:space="0" w:color="auto"/>
              <w:left w:val="nil"/>
              <w:bottom w:val="single" w:sz="4" w:space="0" w:color="auto"/>
              <w:right w:val="single" w:sz="4" w:space="0" w:color="auto"/>
            </w:tcBorders>
            <w:noWrap/>
            <w:vAlign w:val="bottom"/>
            <w:hideMark/>
          </w:tcPr>
          <w:p w14:paraId="29867D58" w14:textId="77777777" w:rsidR="001F3F40" w:rsidRPr="009B60A4"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r w:rsidRPr="009B60A4">
              <w:rPr>
                <w:rFonts w:ascii="Arial Narrow" w:eastAsia="Times New Roman" w:hAnsi="Arial Narrow" w:cs="Calibri"/>
                <w:b/>
                <w:bCs/>
                <w:color w:val="000000"/>
                <w:sz w:val="20"/>
                <w:szCs w:val="20"/>
                <w:lang w:eastAsia="en-AU"/>
              </w:rPr>
              <w:t>Increment</w:t>
            </w:r>
          </w:p>
        </w:tc>
      </w:tr>
      <w:tr w:rsidR="001F3F40" w:rsidRPr="009B60A4" w14:paraId="257AA75D" w14:textId="77777777" w:rsidTr="00175863">
        <w:trPr>
          <w:trHeight w:val="255"/>
        </w:trPr>
        <w:tc>
          <w:tcPr>
            <w:tcW w:w="9016" w:type="dxa"/>
            <w:gridSpan w:val="4"/>
            <w:tcBorders>
              <w:top w:val="single" w:sz="4" w:space="0" w:color="auto"/>
              <w:left w:val="single" w:sz="4" w:space="0" w:color="auto"/>
              <w:bottom w:val="single" w:sz="4" w:space="0" w:color="auto"/>
              <w:right w:val="single" w:sz="4" w:space="0" w:color="auto"/>
            </w:tcBorders>
            <w:noWrap/>
            <w:vAlign w:val="bottom"/>
            <w:hideMark/>
          </w:tcPr>
          <w:p w14:paraId="767C9C07" w14:textId="48C5F5EB" w:rsidR="001F3F40" w:rsidRPr="009B60A4"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7E11C939">
              <w:rPr>
                <w:rFonts w:ascii="Arial Narrow" w:eastAsia="Times New Roman" w:hAnsi="Arial Narrow" w:cs="Calibri"/>
                <w:b/>
                <w:color w:val="000000" w:themeColor="text1"/>
                <w:sz w:val="20"/>
                <w:szCs w:val="20"/>
                <w:lang w:eastAsia="en-AU"/>
              </w:rPr>
              <w:t xml:space="preserve">Step </w:t>
            </w:r>
            <w:r w:rsidRPr="6EB812CA">
              <w:rPr>
                <w:rFonts w:ascii="Arial Narrow" w:eastAsia="Times New Roman" w:hAnsi="Arial Narrow" w:cs="Calibri"/>
                <w:b/>
                <w:bCs/>
                <w:color w:val="000000" w:themeColor="text1"/>
                <w:sz w:val="20"/>
                <w:szCs w:val="20"/>
                <w:lang w:eastAsia="en-AU"/>
              </w:rPr>
              <w:t xml:space="preserve">1: </w:t>
            </w:r>
            <w:r w:rsidRPr="59B0C807">
              <w:rPr>
                <w:rFonts w:ascii="Arial Narrow" w:eastAsia="Times New Roman" w:hAnsi="Arial Narrow" w:cs="Calibri"/>
                <w:b/>
                <w:bCs/>
                <w:color w:val="000000" w:themeColor="text1"/>
                <w:sz w:val="20"/>
                <w:szCs w:val="20"/>
                <w:lang w:eastAsia="en-AU"/>
              </w:rPr>
              <w:t>Diagnostic</w:t>
            </w:r>
            <w:r w:rsidRPr="59B0C807">
              <w:rPr>
                <w:rFonts w:ascii="Arial Narrow" w:eastAsia="Times New Roman" w:hAnsi="Arial Narrow" w:cs="Calibri"/>
                <w:b/>
                <w:color w:val="000000" w:themeColor="text1"/>
                <w:sz w:val="20"/>
                <w:szCs w:val="20"/>
                <w:lang w:eastAsia="en-AU"/>
              </w:rPr>
              <w:t xml:space="preserve"> costs </w:t>
            </w:r>
            <w:r w:rsidRPr="0485FE32">
              <w:rPr>
                <w:rFonts w:ascii="Arial Narrow" w:eastAsia="Times New Roman" w:hAnsi="Arial Narrow" w:cs="Calibri"/>
                <w:b/>
                <w:bCs/>
                <w:color w:val="000000" w:themeColor="text1"/>
                <w:sz w:val="20"/>
                <w:szCs w:val="20"/>
                <w:lang w:eastAsia="en-AU"/>
              </w:rPr>
              <w:t xml:space="preserve">only </w:t>
            </w:r>
            <w:r w:rsidRPr="59B0C807">
              <w:rPr>
                <w:rFonts w:ascii="Arial Narrow" w:eastAsia="Times New Roman" w:hAnsi="Arial Narrow" w:cs="Calibri"/>
                <w:color w:val="000000" w:themeColor="text1"/>
                <w:sz w:val="20"/>
                <w:szCs w:val="20"/>
                <w:lang w:eastAsia="en-AU"/>
              </w:rPr>
              <w:t>(includes</w:t>
            </w:r>
            <w:r w:rsidRPr="6EB812CA">
              <w:rPr>
                <w:rFonts w:ascii="Arial Narrow" w:eastAsia="Times New Roman" w:hAnsi="Arial Narrow" w:cs="Calibri"/>
                <w:color w:val="000000" w:themeColor="text1"/>
                <w:sz w:val="20"/>
                <w:szCs w:val="20"/>
                <w:lang w:eastAsia="en-AU"/>
              </w:rPr>
              <w:t xml:space="preserve"> NBS and confirmatory </w:t>
            </w:r>
            <w:r w:rsidRPr="2C45825F">
              <w:rPr>
                <w:rFonts w:ascii="Arial Narrow" w:eastAsia="Times New Roman" w:hAnsi="Arial Narrow" w:cs="Calibri"/>
                <w:color w:val="000000" w:themeColor="text1"/>
                <w:sz w:val="20"/>
                <w:szCs w:val="20"/>
                <w:lang w:eastAsia="en-AU"/>
              </w:rPr>
              <w:t xml:space="preserve">tests in the NBS arm and </w:t>
            </w:r>
            <w:r w:rsidRPr="744CF823">
              <w:rPr>
                <w:rFonts w:ascii="Arial Narrow" w:eastAsia="Times New Roman" w:hAnsi="Arial Narrow" w:cs="Calibri"/>
                <w:color w:val="000000" w:themeColor="text1"/>
                <w:sz w:val="20"/>
                <w:szCs w:val="20"/>
                <w:lang w:eastAsia="en-AU"/>
              </w:rPr>
              <w:t xml:space="preserve">diagnostic </w:t>
            </w:r>
            <w:r w:rsidR="00807D60">
              <w:rPr>
                <w:rFonts w:ascii="Arial Narrow" w:eastAsia="Times New Roman" w:hAnsi="Arial Narrow" w:cs="Calibri"/>
                <w:color w:val="000000" w:themeColor="text1"/>
                <w:sz w:val="20"/>
                <w:szCs w:val="20"/>
                <w:lang w:eastAsia="en-AU"/>
              </w:rPr>
              <w:t>delay</w:t>
            </w:r>
            <w:r w:rsidR="00807D60" w:rsidRPr="744CF823">
              <w:rPr>
                <w:rFonts w:ascii="Arial Narrow" w:eastAsia="Times New Roman" w:hAnsi="Arial Narrow" w:cs="Calibri"/>
                <w:color w:val="000000" w:themeColor="text1"/>
                <w:sz w:val="20"/>
                <w:szCs w:val="20"/>
                <w:lang w:eastAsia="en-AU"/>
              </w:rPr>
              <w:t xml:space="preserve"> </w:t>
            </w:r>
            <w:r w:rsidRPr="2C45825F">
              <w:rPr>
                <w:rFonts w:ascii="Arial Narrow" w:eastAsia="Times New Roman" w:hAnsi="Arial Narrow" w:cs="Calibri"/>
                <w:color w:val="000000" w:themeColor="text1"/>
                <w:sz w:val="20"/>
                <w:szCs w:val="20"/>
                <w:lang w:eastAsia="en-AU"/>
              </w:rPr>
              <w:t>and</w:t>
            </w:r>
            <w:r w:rsidRPr="6EB812CA">
              <w:rPr>
                <w:rFonts w:ascii="Arial Narrow" w:eastAsia="Times New Roman" w:hAnsi="Arial Narrow" w:cs="Calibri"/>
                <w:color w:val="000000" w:themeColor="text1"/>
                <w:sz w:val="20"/>
                <w:szCs w:val="20"/>
                <w:lang w:eastAsia="en-AU"/>
              </w:rPr>
              <w:t xml:space="preserve"> confirmation </w:t>
            </w:r>
            <w:r w:rsidRPr="0485FE32">
              <w:rPr>
                <w:rFonts w:ascii="Arial Narrow" w:eastAsia="Times New Roman" w:hAnsi="Arial Narrow" w:cs="Calibri"/>
                <w:color w:val="000000" w:themeColor="text1"/>
                <w:sz w:val="20"/>
                <w:szCs w:val="20"/>
                <w:lang w:eastAsia="en-AU"/>
              </w:rPr>
              <w:t>tests</w:t>
            </w:r>
            <w:r w:rsidRPr="2C45825F">
              <w:rPr>
                <w:rFonts w:ascii="Arial Narrow" w:eastAsia="Times New Roman" w:hAnsi="Arial Narrow" w:cs="Calibri"/>
                <w:color w:val="000000" w:themeColor="text1"/>
                <w:sz w:val="20"/>
                <w:szCs w:val="20"/>
                <w:lang w:eastAsia="en-AU"/>
              </w:rPr>
              <w:t xml:space="preserve"> </w:t>
            </w:r>
            <w:r w:rsidRPr="6EB812CA">
              <w:rPr>
                <w:rFonts w:ascii="Arial Narrow" w:eastAsia="Times New Roman" w:hAnsi="Arial Narrow" w:cs="Calibri"/>
                <w:color w:val="000000" w:themeColor="text1"/>
                <w:sz w:val="20"/>
                <w:szCs w:val="20"/>
                <w:lang w:eastAsia="en-AU"/>
              </w:rPr>
              <w:t>in the no NBS arm</w:t>
            </w:r>
            <w:r w:rsidRPr="0485FE32">
              <w:rPr>
                <w:rFonts w:ascii="Arial Narrow" w:eastAsia="Times New Roman" w:hAnsi="Arial Narrow" w:cs="Calibri"/>
                <w:color w:val="000000" w:themeColor="text1"/>
                <w:sz w:val="20"/>
                <w:szCs w:val="20"/>
                <w:lang w:eastAsia="en-AU"/>
              </w:rPr>
              <w:t>).</w:t>
            </w:r>
          </w:p>
        </w:tc>
      </w:tr>
      <w:tr w:rsidR="00B12AFD" w:rsidRPr="009B60A4" w14:paraId="06FB2A8F" w14:textId="77777777" w:rsidTr="007229D6">
        <w:trPr>
          <w:trHeight w:val="255"/>
        </w:trPr>
        <w:tc>
          <w:tcPr>
            <w:tcW w:w="3142" w:type="dxa"/>
            <w:tcBorders>
              <w:top w:val="nil"/>
              <w:left w:val="single" w:sz="4" w:space="0" w:color="auto"/>
              <w:bottom w:val="single" w:sz="4" w:space="0" w:color="auto"/>
              <w:right w:val="single" w:sz="4" w:space="0" w:color="auto"/>
            </w:tcBorders>
            <w:noWrap/>
            <w:vAlign w:val="bottom"/>
            <w:hideMark/>
          </w:tcPr>
          <w:p w14:paraId="6D736722" w14:textId="77777777" w:rsidR="00B12AFD" w:rsidRPr="009B60A4" w:rsidRDefault="00B12AFD" w:rsidP="00B12AFD">
            <w:pPr>
              <w:keepNext/>
              <w:keepLines/>
              <w:spacing w:before="0" w:after="0" w:line="240" w:lineRule="auto"/>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Total cost</w:t>
            </w:r>
          </w:p>
        </w:tc>
        <w:tc>
          <w:tcPr>
            <w:tcW w:w="1958" w:type="dxa"/>
            <w:tcBorders>
              <w:top w:val="nil"/>
              <w:left w:val="nil"/>
              <w:bottom w:val="single" w:sz="4" w:space="0" w:color="auto"/>
              <w:right w:val="single" w:sz="4" w:space="0" w:color="auto"/>
            </w:tcBorders>
            <w:noWrap/>
            <w:vAlign w:val="bottom"/>
            <w:hideMark/>
          </w:tcPr>
          <w:p w14:paraId="7F488712" w14:textId="29B1264F" w:rsidR="00B12AFD" w:rsidRPr="009B60A4" w:rsidRDefault="00B12AFD" w:rsidP="00B12AFD">
            <w:pPr>
              <w:keepNext/>
              <w:keepLines/>
              <w:spacing w:before="0" w:after="0" w:line="240" w:lineRule="auto"/>
              <w:jc w:val="right"/>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w:t>
            </w:r>
            <w:r>
              <w:rPr>
                <w:rFonts w:ascii="Arial Narrow" w:eastAsia="Times New Roman" w:hAnsi="Arial Narrow" w:cs="Calibri"/>
                <w:b/>
                <w:bCs/>
                <w:color w:val="000000"/>
                <w:sz w:val="20"/>
                <w:szCs w:val="20"/>
                <w:lang w:eastAsia="en-AU"/>
              </w:rPr>
              <w:t>Redacted</w:t>
            </w:r>
          </w:p>
        </w:tc>
        <w:tc>
          <w:tcPr>
            <w:tcW w:w="1958" w:type="dxa"/>
            <w:tcBorders>
              <w:top w:val="nil"/>
              <w:left w:val="nil"/>
              <w:bottom w:val="single" w:sz="4" w:space="0" w:color="auto"/>
              <w:right w:val="single" w:sz="4" w:space="0" w:color="auto"/>
            </w:tcBorders>
            <w:noWrap/>
            <w:hideMark/>
          </w:tcPr>
          <w:p w14:paraId="1C72CA55" w14:textId="4B605EB2" w:rsidR="00B12AFD" w:rsidRPr="009B60A4" w:rsidRDefault="00B12AFD" w:rsidP="00B12AFD">
            <w:pPr>
              <w:keepNext/>
              <w:keepLines/>
              <w:spacing w:before="0" w:after="0" w:line="240" w:lineRule="auto"/>
              <w:jc w:val="right"/>
              <w:rPr>
                <w:rFonts w:ascii="Arial Narrow" w:eastAsia="Times New Roman" w:hAnsi="Arial Narrow" w:cs="Calibri"/>
                <w:color w:val="000000"/>
                <w:sz w:val="20"/>
                <w:szCs w:val="20"/>
                <w:lang w:eastAsia="en-AU"/>
              </w:rPr>
            </w:pPr>
            <w:r w:rsidRPr="00503A24">
              <w:rPr>
                <w:rFonts w:ascii="Arial Narrow" w:eastAsia="Times New Roman" w:hAnsi="Arial Narrow" w:cs="Calibri"/>
                <w:color w:val="000000"/>
                <w:sz w:val="20"/>
                <w:szCs w:val="20"/>
                <w:lang w:eastAsia="en-AU"/>
              </w:rPr>
              <w:t>$</w:t>
            </w:r>
            <w:r w:rsidRPr="00503A24">
              <w:rPr>
                <w:rFonts w:ascii="Arial Narrow" w:eastAsia="Times New Roman" w:hAnsi="Arial Narrow" w:cs="Calibri"/>
                <w:b/>
                <w:bCs/>
                <w:color w:val="000000"/>
                <w:sz w:val="20"/>
                <w:szCs w:val="20"/>
                <w:lang w:eastAsia="en-AU"/>
              </w:rPr>
              <w:t>Redacted</w:t>
            </w:r>
          </w:p>
        </w:tc>
        <w:tc>
          <w:tcPr>
            <w:tcW w:w="1958" w:type="dxa"/>
            <w:tcBorders>
              <w:top w:val="nil"/>
              <w:left w:val="nil"/>
              <w:bottom w:val="single" w:sz="4" w:space="0" w:color="auto"/>
              <w:right w:val="single" w:sz="4" w:space="0" w:color="auto"/>
            </w:tcBorders>
            <w:noWrap/>
            <w:hideMark/>
          </w:tcPr>
          <w:p w14:paraId="7AC8DE0A" w14:textId="4F8BDEB6" w:rsidR="00B12AFD" w:rsidRPr="009B60A4" w:rsidRDefault="00B12AFD" w:rsidP="00B12AFD">
            <w:pPr>
              <w:keepNext/>
              <w:keepLines/>
              <w:spacing w:before="0" w:after="0" w:line="240" w:lineRule="auto"/>
              <w:jc w:val="right"/>
              <w:rPr>
                <w:rFonts w:ascii="Arial Narrow" w:eastAsia="Times New Roman" w:hAnsi="Arial Narrow" w:cs="Calibri"/>
                <w:color w:val="000000"/>
                <w:sz w:val="20"/>
                <w:szCs w:val="20"/>
                <w:lang w:eastAsia="en-AU"/>
              </w:rPr>
            </w:pPr>
            <w:r w:rsidRPr="00503A24">
              <w:rPr>
                <w:rFonts w:ascii="Arial Narrow" w:eastAsia="Times New Roman" w:hAnsi="Arial Narrow" w:cs="Calibri"/>
                <w:color w:val="000000"/>
                <w:sz w:val="20"/>
                <w:szCs w:val="20"/>
                <w:lang w:eastAsia="en-AU"/>
              </w:rPr>
              <w:t>$</w:t>
            </w:r>
            <w:r w:rsidRPr="00503A24">
              <w:rPr>
                <w:rFonts w:ascii="Arial Narrow" w:eastAsia="Times New Roman" w:hAnsi="Arial Narrow" w:cs="Calibri"/>
                <w:b/>
                <w:bCs/>
                <w:color w:val="000000"/>
                <w:sz w:val="20"/>
                <w:szCs w:val="20"/>
                <w:lang w:eastAsia="en-AU"/>
              </w:rPr>
              <w:t>Redacted</w:t>
            </w:r>
          </w:p>
        </w:tc>
      </w:tr>
      <w:tr w:rsidR="001F3F40" w:rsidRPr="009B60A4" w14:paraId="0C141DC0" w14:textId="77777777" w:rsidTr="00B12AFD">
        <w:trPr>
          <w:trHeight w:val="255"/>
        </w:trPr>
        <w:tc>
          <w:tcPr>
            <w:tcW w:w="3142" w:type="dxa"/>
            <w:tcBorders>
              <w:top w:val="nil"/>
              <w:left w:val="single" w:sz="4" w:space="0" w:color="auto"/>
              <w:bottom w:val="single" w:sz="4" w:space="0" w:color="auto"/>
              <w:right w:val="single" w:sz="4" w:space="0" w:color="auto"/>
            </w:tcBorders>
            <w:noWrap/>
            <w:vAlign w:val="bottom"/>
            <w:hideMark/>
          </w:tcPr>
          <w:p w14:paraId="6C9C6C6A" w14:textId="77777777" w:rsidR="001F3F40" w:rsidRPr="009B60A4"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Number of diagnoses</w:t>
            </w:r>
          </w:p>
        </w:tc>
        <w:tc>
          <w:tcPr>
            <w:tcW w:w="1958" w:type="dxa"/>
            <w:tcBorders>
              <w:top w:val="nil"/>
              <w:left w:val="nil"/>
              <w:bottom w:val="single" w:sz="4" w:space="0" w:color="auto"/>
              <w:right w:val="single" w:sz="4" w:space="0" w:color="auto"/>
            </w:tcBorders>
            <w:noWrap/>
            <w:vAlign w:val="bottom"/>
            <w:hideMark/>
          </w:tcPr>
          <w:p w14:paraId="47F80EC0" w14:textId="77777777" w:rsidR="001F3F40" w:rsidRPr="009B60A4"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3.4796</w:t>
            </w:r>
          </w:p>
        </w:tc>
        <w:tc>
          <w:tcPr>
            <w:tcW w:w="1958" w:type="dxa"/>
            <w:tcBorders>
              <w:top w:val="nil"/>
              <w:left w:val="nil"/>
              <w:bottom w:val="single" w:sz="4" w:space="0" w:color="auto"/>
              <w:right w:val="single" w:sz="4" w:space="0" w:color="auto"/>
            </w:tcBorders>
            <w:noWrap/>
            <w:vAlign w:val="bottom"/>
            <w:hideMark/>
          </w:tcPr>
          <w:p w14:paraId="125AB97D" w14:textId="77777777" w:rsidR="001F3F40" w:rsidRPr="009B60A4"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2.1900</w:t>
            </w:r>
          </w:p>
        </w:tc>
        <w:tc>
          <w:tcPr>
            <w:tcW w:w="1958" w:type="dxa"/>
            <w:tcBorders>
              <w:top w:val="nil"/>
              <w:left w:val="nil"/>
              <w:bottom w:val="single" w:sz="4" w:space="0" w:color="auto"/>
              <w:right w:val="single" w:sz="4" w:space="0" w:color="auto"/>
            </w:tcBorders>
            <w:noWrap/>
            <w:vAlign w:val="bottom"/>
            <w:hideMark/>
          </w:tcPr>
          <w:p w14:paraId="3D8AACCE" w14:textId="4FE213BD" w:rsidR="001F3F40" w:rsidRPr="009B60A4"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1.2896</w:t>
            </w:r>
          </w:p>
        </w:tc>
      </w:tr>
      <w:tr w:rsidR="001F3F40" w:rsidRPr="009B60A4" w14:paraId="016035D7" w14:textId="77777777" w:rsidTr="00B12AFD">
        <w:trPr>
          <w:trHeight w:val="255"/>
        </w:trPr>
        <w:tc>
          <w:tcPr>
            <w:tcW w:w="3142" w:type="dxa"/>
            <w:tcBorders>
              <w:top w:val="single" w:sz="4" w:space="0" w:color="auto"/>
              <w:left w:val="single" w:sz="4" w:space="0" w:color="auto"/>
              <w:bottom w:val="single" w:sz="4" w:space="0" w:color="auto"/>
            </w:tcBorders>
            <w:noWrap/>
            <w:vAlign w:val="bottom"/>
            <w:hideMark/>
          </w:tcPr>
          <w:p w14:paraId="7AC60A17" w14:textId="77777777" w:rsidR="001F3F40" w:rsidRPr="009B60A4"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ICER ($/additional diagnosis)</w:t>
            </w:r>
          </w:p>
        </w:tc>
        <w:tc>
          <w:tcPr>
            <w:tcW w:w="1958" w:type="dxa"/>
            <w:tcBorders>
              <w:top w:val="single" w:sz="4" w:space="0" w:color="auto"/>
              <w:bottom w:val="single" w:sz="4" w:space="0" w:color="auto"/>
            </w:tcBorders>
            <w:noWrap/>
            <w:vAlign w:val="bottom"/>
            <w:hideMark/>
          </w:tcPr>
          <w:p w14:paraId="1A7E0F2A" w14:textId="77777777" w:rsidR="001F3F40" w:rsidRPr="009B60A4"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 </w:t>
            </w:r>
          </w:p>
        </w:tc>
        <w:tc>
          <w:tcPr>
            <w:tcW w:w="1958" w:type="dxa"/>
            <w:tcBorders>
              <w:top w:val="single" w:sz="4" w:space="0" w:color="auto"/>
              <w:bottom w:val="single" w:sz="4" w:space="0" w:color="auto"/>
            </w:tcBorders>
            <w:noWrap/>
            <w:vAlign w:val="bottom"/>
            <w:hideMark/>
          </w:tcPr>
          <w:p w14:paraId="71188D01" w14:textId="77777777" w:rsidR="001F3F40" w:rsidRPr="009B60A4"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 </w:t>
            </w:r>
          </w:p>
        </w:tc>
        <w:tc>
          <w:tcPr>
            <w:tcW w:w="1958" w:type="dxa"/>
            <w:tcBorders>
              <w:top w:val="single" w:sz="4" w:space="0" w:color="auto"/>
              <w:bottom w:val="single" w:sz="4" w:space="0" w:color="auto"/>
              <w:right w:val="single" w:sz="4" w:space="0" w:color="auto"/>
            </w:tcBorders>
            <w:noWrap/>
            <w:vAlign w:val="bottom"/>
            <w:hideMark/>
          </w:tcPr>
          <w:p w14:paraId="55E65BE5" w14:textId="486C2A49" w:rsidR="001F3F40" w:rsidRPr="009B60A4" w:rsidRDefault="00B12AFD" w:rsidP="00ED5CB7">
            <w:pPr>
              <w:keepNext/>
              <w:keepLines/>
              <w:spacing w:before="0" w:after="0" w:line="240" w:lineRule="auto"/>
              <w:jc w:val="right"/>
              <w:rPr>
                <w:rFonts w:ascii="Arial Narrow" w:eastAsia="Times New Roman" w:hAnsi="Arial Narrow" w:cs="Calibri"/>
                <w:b/>
                <w:bCs/>
                <w:color w:val="000000"/>
                <w:sz w:val="20"/>
                <w:szCs w:val="20"/>
                <w:lang w:eastAsia="en-AU"/>
              </w:rPr>
            </w:pPr>
            <w:r w:rsidRPr="009B60A4">
              <w:rPr>
                <w:rFonts w:ascii="Arial Narrow" w:eastAsia="Times New Roman" w:hAnsi="Arial Narrow" w:cs="Calibri"/>
                <w:color w:val="000000"/>
                <w:sz w:val="20"/>
                <w:szCs w:val="20"/>
                <w:lang w:eastAsia="en-AU"/>
              </w:rPr>
              <w:t>$</w:t>
            </w:r>
            <w:r>
              <w:rPr>
                <w:rFonts w:ascii="Arial Narrow" w:eastAsia="Times New Roman" w:hAnsi="Arial Narrow" w:cs="Calibri"/>
                <w:b/>
                <w:bCs/>
                <w:color w:val="000000"/>
                <w:sz w:val="20"/>
                <w:szCs w:val="20"/>
                <w:lang w:eastAsia="en-AU"/>
              </w:rPr>
              <w:t>Redacted</w:t>
            </w:r>
          </w:p>
        </w:tc>
      </w:tr>
      <w:tr w:rsidR="001F3F40" w:rsidRPr="009B60A4" w14:paraId="49CADB47" w14:textId="77777777" w:rsidTr="00175863">
        <w:trPr>
          <w:trHeight w:val="255"/>
        </w:trPr>
        <w:tc>
          <w:tcPr>
            <w:tcW w:w="9016" w:type="dxa"/>
            <w:gridSpan w:val="4"/>
            <w:tcBorders>
              <w:top w:val="single" w:sz="4" w:space="0" w:color="auto"/>
              <w:left w:val="single" w:sz="4" w:space="0" w:color="auto"/>
              <w:bottom w:val="single" w:sz="4" w:space="0" w:color="auto"/>
              <w:right w:val="single" w:sz="4" w:space="0" w:color="auto"/>
            </w:tcBorders>
            <w:noWrap/>
            <w:vAlign w:val="bottom"/>
            <w:hideMark/>
          </w:tcPr>
          <w:p w14:paraId="62FE1DD2" w14:textId="77777777" w:rsidR="001F3F40" w:rsidRPr="009B60A4" w:rsidRDefault="001F3F40" w:rsidP="00ED5CB7">
            <w:pPr>
              <w:keepNext/>
              <w:keepLines/>
              <w:spacing w:before="0" w:after="0" w:line="240" w:lineRule="auto"/>
              <w:rPr>
                <w:rFonts w:ascii="Arial Narrow" w:eastAsia="Times New Roman" w:hAnsi="Arial Narrow" w:cs="Calibri"/>
                <w:i/>
                <w:color w:val="000000"/>
                <w:sz w:val="20"/>
                <w:szCs w:val="20"/>
                <w:lang w:eastAsia="en-AU"/>
              </w:rPr>
            </w:pPr>
            <w:r w:rsidRPr="7E11C939">
              <w:rPr>
                <w:rFonts w:ascii="Arial Narrow" w:eastAsia="Times New Roman" w:hAnsi="Arial Narrow" w:cs="Calibri"/>
                <w:b/>
                <w:color w:val="000000" w:themeColor="text1"/>
                <w:sz w:val="20"/>
                <w:szCs w:val="20"/>
                <w:lang w:eastAsia="en-AU"/>
              </w:rPr>
              <w:t xml:space="preserve">Step </w:t>
            </w:r>
            <w:r w:rsidRPr="6EB812CA">
              <w:rPr>
                <w:rFonts w:ascii="Arial Narrow" w:eastAsia="Times New Roman" w:hAnsi="Arial Narrow" w:cs="Calibri"/>
                <w:b/>
                <w:bCs/>
                <w:color w:val="000000" w:themeColor="text1"/>
                <w:sz w:val="20"/>
                <w:szCs w:val="20"/>
                <w:lang w:eastAsia="en-AU"/>
              </w:rPr>
              <w:t>2</w:t>
            </w:r>
            <w:r w:rsidRPr="7E11C939">
              <w:rPr>
                <w:rFonts w:ascii="Arial Narrow" w:eastAsia="Times New Roman" w:hAnsi="Arial Narrow" w:cs="Calibri"/>
                <w:b/>
                <w:color w:val="000000" w:themeColor="text1"/>
                <w:sz w:val="20"/>
                <w:szCs w:val="20"/>
                <w:lang w:eastAsia="en-AU"/>
              </w:rPr>
              <w:t xml:space="preserve">: </w:t>
            </w:r>
            <w:r w:rsidRPr="7E11C939">
              <w:rPr>
                <w:rFonts w:ascii="Arial Narrow" w:eastAsia="Times New Roman" w:hAnsi="Arial Narrow" w:cs="Calibri"/>
                <w:color w:val="000000" w:themeColor="text1"/>
                <w:sz w:val="20"/>
                <w:szCs w:val="20"/>
                <w:lang w:eastAsia="en-AU"/>
              </w:rPr>
              <w:t xml:space="preserve">Step </w:t>
            </w:r>
            <w:r w:rsidRPr="6EB812CA">
              <w:rPr>
                <w:rFonts w:ascii="Arial Narrow" w:eastAsia="Times New Roman" w:hAnsi="Arial Narrow" w:cs="Calibri"/>
                <w:color w:val="000000" w:themeColor="text1"/>
                <w:sz w:val="20"/>
                <w:szCs w:val="20"/>
                <w:lang w:eastAsia="en-AU"/>
              </w:rPr>
              <w:t>1</w:t>
            </w:r>
            <w:r w:rsidRPr="7E11C939">
              <w:rPr>
                <w:rFonts w:ascii="Arial Narrow" w:eastAsia="Times New Roman" w:hAnsi="Arial Narrow" w:cs="Calibri"/>
                <w:color w:val="000000" w:themeColor="text1"/>
                <w:sz w:val="20"/>
                <w:szCs w:val="20"/>
                <w:lang w:eastAsia="en-AU"/>
              </w:rPr>
              <w:t xml:space="preserve"> + </w:t>
            </w:r>
            <w:r w:rsidRPr="00E11C73">
              <w:rPr>
                <w:rFonts w:ascii="Arial Narrow" w:eastAsia="Times New Roman" w:hAnsi="Arial Narrow" w:cs="Calibri"/>
                <w:b/>
                <w:bCs/>
                <w:color w:val="000000" w:themeColor="text1"/>
                <w:sz w:val="20"/>
                <w:szCs w:val="20"/>
                <w:lang w:eastAsia="en-AU"/>
              </w:rPr>
              <w:t>immediate change in management costs</w:t>
            </w:r>
            <w:r w:rsidRPr="0485FE32">
              <w:rPr>
                <w:rFonts w:ascii="Arial Narrow" w:eastAsia="Times New Roman" w:hAnsi="Arial Narrow" w:cs="Calibri"/>
                <w:color w:val="000000" w:themeColor="text1"/>
                <w:sz w:val="20"/>
                <w:szCs w:val="20"/>
                <w:lang w:eastAsia="en-AU"/>
              </w:rPr>
              <w:t>:</w:t>
            </w:r>
            <w:r>
              <w:rPr>
                <w:rFonts w:ascii="Arial Narrow" w:eastAsia="Times New Roman" w:hAnsi="Arial Narrow" w:cs="Calibri"/>
                <w:color w:val="000000" w:themeColor="text1"/>
                <w:sz w:val="20"/>
                <w:szCs w:val="20"/>
                <w:lang w:eastAsia="en-AU"/>
              </w:rPr>
              <w:t xml:space="preserve"> </w:t>
            </w:r>
            <w:r w:rsidRPr="7E11C939">
              <w:rPr>
                <w:rFonts w:ascii="Arial Narrow" w:eastAsia="Times New Roman" w:hAnsi="Arial Narrow" w:cs="Calibri"/>
                <w:i/>
                <w:iCs/>
                <w:color w:val="000000" w:themeColor="text1"/>
                <w:sz w:val="20"/>
                <w:szCs w:val="20"/>
                <w:lang w:eastAsia="en-AU"/>
              </w:rPr>
              <w:t>costs</w:t>
            </w:r>
            <w:r w:rsidRPr="7E11C939">
              <w:rPr>
                <w:rFonts w:ascii="Arial Narrow" w:eastAsia="Times New Roman" w:hAnsi="Arial Narrow" w:cs="Calibri"/>
                <w:i/>
                <w:color w:val="000000" w:themeColor="text1"/>
                <w:sz w:val="20"/>
                <w:szCs w:val="20"/>
                <w:lang w:eastAsia="en-AU"/>
              </w:rPr>
              <w:t xml:space="preserve"> associated with annual surveillance and </w:t>
            </w:r>
            <w:r w:rsidRPr="7E11C939">
              <w:rPr>
                <w:rFonts w:ascii="Arial Narrow" w:eastAsia="Times New Roman" w:hAnsi="Arial Narrow" w:cs="Calibri"/>
                <w:i/>
                <w:iCs/>
                <w:color w:val="000000" w:themeColor="text1"/>
                <w:sz w:val="20"/>
                <w:szCs w:val="20"/>
                <w:lang w:eastAsia="en-AU"/>
              </w:rPr>
              <w:t xml:space="preserve">earlier </w:t>
            </w:r>
            <w:r w:rsidRPr="7E11C939">
              <w:rPr>
                <w:rFonts w:ascii="Arial Narrow" w:eastAsia="Times New Roman" w:hAnsi="Arial Narrow" w:cs="Calibri"/>
                <w:i/>
                <w:color w:val="000000" w:themeColor="text1"/>
                <w:sz w:val="20"/>
                <w:szCs w:val="20"/>
                <w:lang w:eastAsia="en-AU"/>
              </w:rPr>
              <w:t xml:space="preserve">access to ERT </w:t>
            </w:r>
            <w:r w:rsidRPr="7E11C939">
              <w:rPr>
                <w:rFonts w:ascii="Arial Narrow" w:eastAsia="Times New Roman" w:hAnsi="Arial Narrow" w:cs="Calibri"/>
                <w:i/>
                <w:iCs/>
                <w:color w:val="000000" w:themeColor="text1"/>
                <w:sz w:val="20"/>
                <w:szCs w:val="20"/>
                <w:lang w:eastAsia="en-AU"/>
              </w:rPr>
              <w:t>(</w:t>
            </w:r>
            <w:r w:rsidRPr="7E11C939">
              <w:rPr>
                <w:rFonts w:ascii="Arial Narrow" w:eastAsia="Times New Roman" w:hAnsi="Arial Narrow" w:cs="Calibri"/>
                <w:i/>
                <w:color w:val="000000" w:themeColor="text1"/>
                <w:sz w:val="20"/>
                <w:szCs w:val="20"/>
                <w:lang w:eastAsia="en-AU"/>
              </w:rPr>
              <w:t>due to earlier diagnosis</w:t>
            </w:r>
            <w:r w:rsidRPr="7E11C939">
              <w:rPr>
                <w:rFonts w:ascii="Arial Narrow" w:eastAsia="Times New Roman" w:hAnsi="Arial Narrow" w:cs="Calibri"/>
                <w:i/>
                <w:iCs/>
                <w:color w:val="000000" w:themeColor="text1"/>
                <w:sz w:val="20"/>
                <w:szCs w:val="20"/>
                <w:lang w:eastAsia="en-AU"/>
              </w:rPr>
              <w:t>)</w:t>
            </w:r>
            <w:r w:rsidRPr="7E11C939">
              <w:rPr>
                <w:rFonts w:ascii="Arial Narrow" w:eastAsia="Times New Roman" w:hAnsi="Arial Narrow" w:cs="Calibri"/>
                <w:i/>
                <w:color w:val="000000" w:themeColor="text1"/>
                <w:sz w:val="20"/>
                <w:szCs w:val="20"/>
                <w:lang w:eastAsia="en-AU"/>
              </w:rPr>
              <w:t xml:space="preserve"> in </w:t>
            </w:r>
            <w:r w:rsidRPr="7E11C939">
              <w:rPr>
                <w:rFonts w:ascii="Arial Narrow" w:eastAsia="Times New Roman" w:hAnsi="Arial Narrow" w:cs="Calibri"/>
                <w:i/>
                <w:iCs/>
                <w:color w:val="000000" w:themeColor="text1"/>
                <w:sz w:val="20"/>
                <w:szCs w:val="20"/>
                <w:lang w:eastAsia="en-AU"/>
              </w:rPr>
              <w:t>cases</w:t>
            </w:r>
            <w:r w:rsidRPr="7E11C939">
              <w:rPr>
                <w:rFonts w:ascii="Arial Narrow" w:eastAsia="Times New Roman" w:hAnsi="Arial Narrow" w:cs="Calibri"/>
                <w:i/>
                <w:color w:val="000000" w:themeColor="text1"/>
                <w:sz w:val="20"/>
                <w:szCs w:val="20"/>
                <w:lang w:eastAsia="en-AU"/>
              </w:rPr>
              <w:t xml:space="preserve"> diagnosed through </w:t>
            </w:r>
            <w:r w:rsidRPr="7E11C939">
              <w:rPr>
                <w:rFonts w:ascii="Arial Narrow" w:eastAsia="Times New Roman" w:hAnsi="Arial Narrow" w:cs="Calibri"/>
                <w:i/>
                <w:iCs/>
                <w:color w:val="000000" w:themeColor="text1"/>
                <w:sz w:val="20"/>
                <w:szCs w:val="20"/>
                <w:lang w:eastAsia="en-AU"/>
              </w:rPr>
              <w:t xml:space="preserve">the </w:t>
            </w:r>
            <w:r w:rsidRPr="7E11C939">
              <w:rPr>
                <w:rFonts w:ascii="Arial Narrow" w:eastAsia="Times New Roman" w:hAnsi="Arial Narrow" w:cs="Calibri"/>
                <w:i/>
                <w:color w:val="000000" w:themeColor="text1"/>
                <w:sz w:val="20"/>
                <w:szCs w:val="20"/>
                <w:lang w:eastAsia="en-AU"/>
              </w:rPr>
              <w:t>NBS</w:t>
            </w:r>
          </w:p>
        </w:tc>
      </w:tr>
      <w:tr w:rsidR="00B12AFD" w:rsidRPr="009B60A4" w14:paraId="7F704BD2" w14:textId="77777777" w:rsidTr="007229D6">
        <w:trPr>
          <w:trHeight w:val="255"/>
        </w:trPr>
        <w:tc>
          <w:tcPr>
            <w:tcW w:w="3142" w:type="dxa"/>
            <w:tcBorders>
              <w:top w:val="nil"/>
              <w:left w:val="single" w:sz="4" w:space="0" w:color="auto"/>
              <w:bottom w:val="single" w:sz="4" w:space="0" w:color="auto"/>
              <w:right w:val="single" w:sz="4" w:space="0" w:color="auto"/>
            </w:tcBorders>
            <w:noWrap/>
            <w:vAlign w:val="bottom"/>
            <w:hideMark/>
          </w:tcPr>
          <w:p w14:paraId="064B1DDF" w14:textId="77777777" w:rsidR="00B12AFD" w:rsidRPr="009B60A4" w:rsidRDefault="00B12AFD" w:rsidP="00B12AFD">
            <w:pPr>
              <w:keepNext/>
              <w:keepLines/>
              <w:spacing w:before="0" w:after="0" w:line="240" w:lineRule="auto"/>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Total cost</w:t>
            </w:r>
          </w:p>
        </w:tc>
        <w:tc>
          <w:tcPr>
            <w:tcW w:w="1958" w:type="dxa"/>
            <w:tcBorders>
              <w:top w:val="nil"/>
              <w:left w:val="nil"/>
              <w:bottom w:val="single" w:sz="4" w:space="0" w:color="auto"/>
              <w:right w:val="single" w:sz="4" w:space="0" w:color="auto"/>
            </w:tcBorders>
            <w:noWrap/>
            <w:vAlign w:val="bottom"/>
            <w:hideMark/>
          </w:tcPr>
          <w:p w14:paraId="0AC596C8" w14:textId="09D7C985" w:rsidR="00B12AFD" w:rsidRPr="009B60A4" w:rsidRDefault="00B12AFD" w:rsidP="00B12AFD">
            <w:pPr>
              <w:keepNext/>
              <w:keepLines/>
              <w:spacing w:before="0" w:after="0" w:line="240" w:lineRule="auto"/>
              <w:jc w:val="right"/>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w:t>
            </w:r>
            <w:r>
              <w:rPr>
                <w:rFonts w:ascii="Arial Narrow" w:eastAsia="Times New Roman" w:hAnsi="Arial Narrow" w:cs="Calibri"/>
                <w:b/>
                <w:bCs/>
                <w:color w:val="000000"/>
                <w:sz w:val="20"/>
                <w:szCs w:val="20"/>
                <w:lang w:eastAsia="en-AU"/>
              </w:rPr>
              <w:t>Redacted</w:t>
            </w:r>
          </w:p>
        </w:tc>
        <w:tc>
          <w:tcPr>
            <w:tcW w:w="1958" w:type="dxa"/>
            <w:tcBorders>
              <w:top w:val="nil"/>
              <w:left w:val="nil"/>
              <w:bottom w:val="single" w:sz="4" w:space="0" w:color="auto"/>
              <w:right w:val="single" w:sz="4" w:space="0" w:color="auto"/>
            </w:tcBorders>
            <w:noWrap/>
            <w:hideMark/>
          </w:tcPr>
          <w:p w14:paraId="593634EC" w14:textId="4D141E8F" w:rsidR="00B12AFD" w:rsidRPr="009B60A4" w:rsidRDefault="00B12AFD" w:rsidP="00B12AFD">
            <w:pPr>
              <w:keepNext/>
              <w:keepLines/>
              <w:spacing w:before="0" w:after="0" w:line="240" w:lineRule="auto"/>
              <w:jc w:val="right"/>
              <w:rPr>
                <w:rFonts w:ascii="Arial Narrow" w:eastAsia="Times New Roman" w:hAnsi="Arial Narrow" w:cs="Calibri"/>
                <w:color w:val="000000"/>
                <w:sz w:val="20"/>
                <w:szCs w:val="20"/>
                <w:lang w:eastAsia="en-AU"/>
              </w:rPr>
            </w:pPr>
            <w:r w:rsidRPr="007A099E">
              <w:rPr>
                <w:rFonts w:ascii="Arial Narrow" w:eastAsia="Times New Roman" w:hAnsi="Arial Narrow" w:cs="Calibri"/>
                <w:color w:val="000000"/>
                <w:sz w:val="20"/>
                <w:szCs w:val="20"/>
                <w:lang w:eastAsia="en-AU"/>
              </w:rPr>
              <w:t>$</w:t>
            </w:r>
            <w:r w:rsidRPr="007A099E">
              <w:rPr>
                <w:rFonts w:ascii="Arial Narrow" w:eastAsia="Times New Roman" w:hAnsi="Arial Narrow" w:cs="Calibri"/>
                <w:b/>
                <w:bCs/>
                <w:color w:val="000000"/>
                <w:sz w:val="20"/>
                <w:szCs w:val="20"/>
                <w:lang w:eastAsia="en-AU"/>
              </w:rPr>
              <w:t>Redacted</w:t>
            </w:r>
          </w:p>
        </w:tc>
        <w:tc>
          <w:tcPr>
            <w:tcW w:w="1958" w:type="dxa"/>
            <w:tcBorders>
              <w:top w:val="nil"/>
              <w:left w:val="nil"/>
              <w:bottom w:val="single" w:sz="4" w:space="0" w:color="auto"/>
              <w:right w:val="single" w:sz="4" w:space="0" w:color="auto"/>
            </w:tcBorders>
            <w:noWrap/>
            <w:hideMark/>
          </w:tcPr>
          <w:p w14:paraId="0F991967" w14:textId="4D73B78E" w:rsidR="00B12AFD" w:rsidRPr="009B60A4" w:rsidRDefault="00B12AFD" w:rsidP="00B12AFD">
            <w:pPr>
              <w:keepNext/>
              <w:keepLines/>
              <w:spacing w:before="0" w:after="0" w:line="240" w:lineRule="auto"/>
              <w:jc w:val="right"/>
              <w:rPr>
                <w:rFonts w:ascii="Arial Narrow" w:eastAsia="Times New Roman" w:hAnsi="Arial Narrow" w:cs="Calibri"/>
                <w:color w:val="000000"/>
                <w:sz w:val="20"/>
                <w:szCs w:val="20"/>
                <w:lang w:eastAsia="en-AU"/>
              </w:rPr>
            </w:pPr>
            <w:r w:rsidRPr="007A099E">
              <w:rPr>
                <w:rFonts w:ascii="Arial Narrow" w:eastAsia="Times New Roman" w:hAnsi="Arial Narrow" w:cs="Calibri"/>
                <w:color w:val="000000"/>
                <w:sz w:val="20"/>
                <w:szCs w:val="20"/>
                <w:lang w:eastAsia="en-AU"/>
              </w:rPr>
              <w:t>$</w:t>
            </w:r>
            <w:r w:rsidRPr="007A099E">
              <w:rPr>
                <w:rFonts w:ascii="Arial Narrow" w:eastAsia="Times New Roman" w:hAnsi="Arial Narrow" w:cs="Calibri"/>
                <w:b/>
                <w:bCs/>
                <w:color w:val="000000"/>
                <w:sz w:val="20"/>
                <w:szCs w:val="20"/>
                <w:lang w:eastAsia="en-AU"/>
              </w:rPr>
              <w:t>Redacted</w:t>
            </w:r>
          </w:p>
        </w:tc>
      </w:tr>
      <w:tr w:rsidR="001F3F40" w:rsidRPr="009B60A4" w14:paraId="1E337383" w14:textId="77777777" w:rsidTr="00B12AFD">
        <w:trPr>
          <w:trHeight w:val="255"/>
        </w:trPr>
        <w:tc>
          <w:tcPr>
            <w:tcW w:w="3142" w:type="dxa"/>
            <w:tcBorders>
              <w:top w:val="nil"/>
              <w:left w:val="single" w:sz="4" w:space="0" w:color="auto"/>
              <w:bottom w:val="single" w:sz="4" w:space="0" w:color="auto"/>
              <w:right w:val="single" w:sz="4" w:space="0" w:color="auto"/>
            </w:tcBorders>
            <w:noWrap/>
            <w:vAlign w:val="bottom"/>
            <w:hideMark/>
          </w:tcPr>
          <w:p w14:paraId="1219BB77" w14:textId="77777777" w:rsidR="001F3F40" w:rsidRPr="009B60A4"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Number of diagnoses</w:t>
            </w:r>
          </w:p>
        </w:tc>
        <w:tc>
          <w:tcPr>
            <w:tcW w:w="1958" w:type="dxa"/>
            <w:tcBorders>
              <w:top w:val="nil"/>
              <w:left w:val="nil"/>
              <w:bottom w:val="single" w:sz="4" w:space="0" w:color="auto"/>
              <w:right w:val="single" w:sz="4" w:space="0" w:color="auto"/>
            </w:tcBorders>
            <w:noWrap/>
            <w:vAlign w:val="bottom"/>
            <w:hideMark/>
          </w:tcPr>
          <w:p w14:paraId="00398798" w14:textId="77777777" w:rsidR="001F3F40" w:rsidRPr="009B60A4"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3.4796</w:t>
            </w:r>
          </w:p>
        </w:tc>
        <w:tc>
          <w:tcPr>
            <w:tcW w:w="1958" w:type="dxa"/>
            <w:tcBorders>
              <w:top w:val="nil"/>
              <w:left w:val="nil"/>
              <w:bottom w:val="single" w:sz="4" w:space="0" w:color="auto"/>
              <w:right w:val="single" w:sz="4" w:space="0" w:color="auto"/>
            </w:tcBorders>
            <w:noWrap/>
            <w:vAlign w:val="bottom"/>
            <w:hideMark/>
          </w:tcPr>
          <w:p w14:paraId="3A139102" w14:textId="77777777" w:rsidR="001F3F40" w:rsidRPr="009B60A4"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2.1900</w:t>
            </w:r>
          </w:p>
        </w:tc>
        <w:tc>
          <w:tcPr>
            <w:tcW w:w="1958" w:type="dxa"/>
            <w:tcBorders>
              <w:top w:val="nil"/>
              <w:left w:val="nil"/>
              <w:bottom w:val="single" w:sz="4" w:space="0" w:color="auto"/>
              <w:right w:val="single" w:sz="4" w:space="0" w:color="auto"/>
            </w:tcBorders>
            <w:noWrap/>
            <w:vAlign w:val="bottom"/>
            <w:hideMark/>
          </w:tcPr>
          <w:p w14:paraId="1BAEDBD0" w14:textId="2F1C22C9" w:rsidR="001F3F40" w:rsidRPr="009B60A4"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1.2896</w:t>
            </w:r>
          </w:p>
        </w:tc>
      </w:tr>
      <w:tr w:rsidR="001F3F40" w:rsidRPr="009B60A4" w14:paraId="11BD4070" w14:textId="77777777" w:rsidTr="00B12AFD">
        <w:trPr>
          <w:trHeight w:val="255"/>
        </w:trPr>
        <w:tc>
          <w:tcPr>
            <w:tcW w:w="3142" w:type="dxa"/>
            <w:tcBorders>
              <w:top w:val="single" w:sz="4" w:space="0" w:color="auto"/>
              <w:left w:val="single" w:sz="4" w:space="0" w:color="auto"/>
              <w:bottom w:val="single" w:sz="4" w:space="0" w:color="auto"/>
            </w:tcBorders>
            <w:noWrap/>
            <w:vAlign w:val="bottom"/>
            <w:hideMark/>
          </w:tcPr>
          <w:p w14:paraId="36E31DDD" w14:textId="77777777" w:rsidR="001F3F40" w:rsidRPr="009B60A4" w:rsidRDefault="001F3F40" w:rsidP="00ED5CB7">
            <w:pPr>
              <w:keepNext/>
              <w:keepLines/>
              <w:spacing w:before="0" w:after="0" w:line="240" w:lineRule="auto"/>
              <w:rPr>
                <w:rFonts w:ascii="Arial Narrow" w:eastAsia="Times New Roman" w:hAnsi="Arial Narrow" w:cs="Calibri"/>
                <w:b/>
                <w:color w:val="000000"/>
                <w:sz w:val="20"/>
                <w:szCs w:val="20"/>
                <w:lang w:eastAsia="en-AU"/>
              </w:rPr>
            </w:pPr>
            <w:r w:rsidRPr="7E11C939">
              <w:rPr>
                <w:rFonts w:ascii="Arial Narrow" w:eastAsia="Times New Roman" w:hAnsi="Arial Narrow" w:cs="Calibri"/>
                <w:b/>
                <w:color w:val="000000" w:themeColor="text1"/>
                <w:sz w:val="20"/>
                <w:szCs w:val="20"/>
                <w:lang w:eastAsia="en-AU"/>
              </w:rPr>
              <w:t>ICER ($/additional diagnosis)</w:t>
            </w:r>
          </w:p>
        </w:tc>
        <w:tc>
          <w:tcPr>
            <w:tcW w:w="1958" w:type="dxa"/>
            <w:tcBorders>
              <w:top w:val="single" w:sz="4" w:space="0" w:color="auto"/>
              <w:bottom w:val="single" w:sz="4" w:space="0" w:color="auto"/>
            </w:tcBorders>
            <w:noWrap/>
            <w:vAlign w:val="bottom"/>
            <w:hideMark/>
          </w:tcPr>
          <w:p w14:paraId="41FD86BE" w14:textId="77777777" w:rsidR="001F3F40" w:rsidRPr="009B60A4"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 </w:t>
            </w:r>
          </w:p>
        </w:tc>
        <w:tc>
          <w:tcPr>
            <w:tcW w:w="1958" w:type="dxa"/>
            <w:tcBorders>
              <w:top w:val="single" w:sz="4" w:space="0" w:color="auto"/>
              <w:bottom w:val="single" w:sz="4" w:space="0" w:color="auto"/>
            </w:tcBorders>
            <w:noWrap/>
            <w:vAlign w:val="bottom"/>
            <w:hideMark/>
          </w:tcPr>
          <w:p w14:paraId="36271099" w14:textId="77777777" w:rsidR="001F3F40" w:rsidRPr="009B60A4"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 </w:t>
            </w:r>
          </w:p>
        </w:tc>
        <w:tc>
          <w:tcPr>
            <w:tcW w:w="1958" w:type="dxa"/>
            <w:tcBorders>
              <w:top w:val="single" w:sz="4" w:space="0" w:color="auto"/>
              <w:bottom w:val="single" w:sz="4" w:space="0" w:color="auto"/>
              <w:right w:val="single" w:sz="4" w:space="0" w:color="auto"/>
            </w:tcBorders>
            <w:noWrap/>
            <w:vAlign w:val="bottom"/>
            <w:hideMark/>
          </w:tcPr>
          <w:p w14:paraId="13B494CD" w14:textId="4FA0C4C9" w:rsidR="001F3F40" w:rsidRPr="009B60A4" w:rsidRDefault="00B12AFD" w:rsidP="00ED5CB7">
            <w:pPr>
              <w:keepNext/>
              <w:keepLines/>
              <w:spacing w:before="0" w:after="0" w:line="240" w:lineRule="auto"/>
              <w:jc w:val="right"/>
              <w:rPr>
                <w:rFonts w:ascii="Arial Narrow" w:eastAsia="Times New Roman" w:hAnsi="Arial Narrow" w:cs="Calibri"/>
                <w:b/>
                <w:bCs/>
                <w:color w:val="000000"/>
                <w:sz w:val="20"/>
                <w:szCs w:val="20"/>
                <w:lang w:eastAsia="en-AU"/>
              </w:rPr>
            </w:pPr>
            <w:r w:rsidRPr="009B60A4">
              <w:rPr>
                <w:rFonts w:ascii="Arial Narrow" w:eastAsia="Times New Roman" w:hAnsi="Arial Narrow" w:cs="Calibri"/>
                <w:color w:val="000000"/>
                <w:sz w:val="20"/>
                <w:szCs w:val="20"/>
                <w:lang w:eastAsia="en-AU"/>
              </w:rPr>
              <w:t>$</w:t>
            </w:r>
            <w:r>
              <w:rPr>
                <w:rFonts w:ascii="Arial Narrow" w:eastAsia="Times New Roman" w:hAnsi="Arial Narrow" w:cs="Calibri"/>
                <w:b/>
                <w:bCs/>
                <w:color w:val="000000"/>
                <w:sz w:val="20"/>
                <w:szCs w:val="20"/>
                <w:lang w:eastAsia="en-AU"/>
              </w:rPr>
              <w:t>Redacted</w:t>
            </w:r>
          </w:p>
        </w:tc>
      </w:tr>
      <w:tr w:rsidR="001F3F40" w:rsidRPr="009B60A4" w14:paraId="3995999D" w14:textId="77777777" w:rsidTr="00175863">
        <w:trPr>
          <w:trHeight w:val="255"/>
        </w:trPr>
        <w:tc>
          <w:tcPr>
            <w:tcW w:w="9016" w:type="dxa"/>
            <w:gridSpan w:val="4"/>
            <w:tcBorders>
              <w:top w:val="single" w:sz="4" w:space="0" w:color="auto"/>
              <w:left w:val="single" w:sz="4" w:space="0" w:color="auto"/>
              <w:bottom w:val="single" w:sz="4" w:space="0" w:color="auto"/>
              <w:right w:val="single" w:sz="4" w:space="0" w:color="auto"/>
            </w:tcBorders>
            <w:noWrap/>
            <w:vAlign w:val="bottom"/>
          </w:tcPr>
          <w:p w14:paraId="245DB280" w14:textId="77777777" w:rsidR="001F3F40" w:rsidRPr="009B60A4" w:rsidRDefault="001F3F40" w:rsidP="00ED5CB7">
            <w:pPr>
              <w:keepNext/>
              <w:keepLines/>
              <w:spacing w:before="0" w:after="0" w:line="240" w:lineRule="auto"/>
              <w:rPr>
                <w:rFonts w:ascii="Arial Narrow" w:eastAsia="Times New Roman" w:hAnsi="Arial Narrow" w:cs="Calibri"/>
                <w:b/>
                <w:bCs/>
                <w:color w:val="000000"/>
                <w:sz w:val="20"/>
                <w:szCs w:val="20"/>
                <w:lang w:eastAsia="en-AU"/>
              </w:rPr>
            </w:pPr>
            <w:r w:rsidRPr="02E2EE7D">
              <w:rPr>
                <w:rFonts w:ascii="Arial Narrow" w:eastAsia="Times New Roman" w:hAnsi="Arial Narrow" w:cs="Calibri"/>
                <w:b/>
                <w:bCs/>
                <w:color w:val="000000" w:themeColor="text1"/>
                <w:sz w:val="20"/>
                <w:szCs w:val="20"/>
                <w:lang w:eastAsia="en-AU"/>
              </w:rPr>
              <w:t xml:space="preserve">Multiplexed first-tier screening for MPS I, MPS II and GSD </w:t>
            </w:r>
            <w:proofErr w:type="spellStart"/>
            <w:r w:rsidRPr="02E2EE7D">
              <w:rPr>
                <w:rFonts w:ascii="Arial Narrow" w:eastAsia="Times New Roman" w:hAnsi="Arial Narrow" w:cs="Calibri"/>
                <w:b/>
                <w:bCs/>
                <w:color w:val="000000" w:themeColor="text1"/>
                <w:sz w:val="20"/>
                <w:szCs w:val="20"/>
                <w:lang w:eastAsia="en-AU"/>
              </w:rPr>
              <w:t>II</w:t>
            </w:r>
            <w:r w:rsidRPr="02E2EE7D">
              <w:rPr>
                <w:rFonts w:ascii="Arial Narrow" w:eastAsia="Times New Roman" w:hAnsi="Arial Narrow" w:cs="Calibri"/>
                <w:b/>
                <w:bCs/>
                <w:color w:val="000000" w:themeColor="text1"/>
                <w:sz w:val="20"/>
                <w:szCs w:val="20"/>
                <w:vertAlign w:val="superscript"/>
                <w:lang w:eastAsia="en-AU"/>
              </w:rPr>
              <w:t>a</w:t>
            </w:r>
            <w:proofErr w:type="spellEnd"/>
          </w:p>
        </w:tc>
      </w:tr>
      <w:tr w:rsidR="00B12AFD" w:rsidRPr="009B60A4" w14:paraId="1639B46D" w14:textId="77777777" w:rsidTr="007229D6">
        <w:trPr>
          <w:trHeight w:val="255"/>
        </w:trPr>
        <w:tc>
          <w:tcPr>
            <w:tcW w:w="3142" w:type="dxa"/>
            <w:tcBorders>
              <w:top w:val="single" w:sz="4" w:space="0" w:color="auto"/>
              <w:left w:val="single" w:sz="4" w:space="0" w:color="auto"/>
              <w:bottom w:val="single" w:sz="4" w:space="0" w:color="auto"/>
              <w:right w:val="single" w:sz="4" w:space="0" w:color="auto"/>
            </w:tcBorders>
            <w:noWrap/>
            <w:vAlign w:val="bottom"/>
          </w:tcPr>
          <w:p w14:paraId="3B32EFF5" w14:textId="77777777" w:rsidR="00B12AFD" w:rsidRPr="009B60A4" w:rsidRDefault="00B12AFD" w:rsidP="00B12AFD">
            <w:pPr>
              <w:keepNext/>
              <w:keepLines/>
              <w:spacing w:before="0" w:after="0" w:line="240" w:lineRule="auto"/>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Total cost</w:t>
            </w:r>
          </w:p>
        </w:tc>
        <w:tc>
          <w:tcPr>
            <w:tcW w:w="1958" w:type="dxa"/>
            <w:tcBorders>
              <w:top w:val="single" w:sz="4" w:space="0" w:color="auto"/>
              <w:left w:val="nil"/>
              <w:bottom w:val="single" w:sz="4" w:space="0" w:color="auto"/>
              <w:right w:val="single" w:sz="4" w:space="0" w:color="auto"/>
            </w:tcBorders>
            <w:noWrap/>
          </w:tcPr>
          <w:p w14:paraId="2C2C4E44" w14:textId="4C4E482E" w:rsidR="00B12AFD" w:rsidRPr="009B60A4" w:rsidRDefault="00B12AFD" w:rsidP="00B12AFD">
            <w:pPr>
              <w:keepNext/>
              <w:keepLines/>
              <w:spacing w:before="0" w:after="0" w:line="240" w:lineRule="auto"/>
              <w:jc w:val="right"/>
              <w:rPr>
                <w:rFonts w:ascii="Arial Narrow" w:eastAsia="Times New Roman" w:hAnsi="Arial Narrow" w:cs="Calibri"/>
                <w:color w:val="000000"/>
                <w:sz w:val="20"/>
                <w:szCs w:val="20"/>
                <w:lang w:eastAsia="en-AU"/>
              </w:rPr>
            </w:pPr>
            <w:r w:rsidRPr="00D449D3">
              <w:rPr>
                <w:rFonts w:ascii="Arial Narrow" w:eastAsia="Times New Roman" w:hAnsi="Arial Narrow" w:cs="Calibri"/>
                <w:color w:val="000000"/>
                <w:sz w:val="20"/>
                <w:szCs w:val="20"/>
                <w:lang w:eastAsia="en-AU"/>
              </w:rPr>
              <w:t>$</w:t>
            </w:r>
            <w:r w:rsidRPr="00D449D3">
              <w:rPr>
                <w:rFonts w:ascii="Arial Narrow" w:eastAsia="Times New Roman" w:hAnsi="Arial Narrow" w:cs="Calibri"/>
                <w:b/>
                <w:bCs/>
                <w:color w:val="000000"/>
                <w:sz w:val="20"/>
                <w:szCs w:val="20"/>
                <w:lang w:eastAsia="en-AU"/>
              </w:rPr>
              <w:t>Redacted</w:t>
            </w:r>
          </w:p>
        </w:tc>
        <w:tc>
          <w:tcPr>
            <w:tcW w:w="1958" w:type="dxa"/>
            <w:tcBorders>
              <w:top w:val="single" w:sz="4" w:space="0" w:color="auto"/>
              <w:left w:val="nil"/>
              <w:bottom w:val="single" w:sz="4" w:space="0" w:color="auto"/>
              <w:right w:val="single" w:sz="4" w:space="0" w:color="auto"/>
            </w:tcBorders>
            <w:noWrap/>
          </w:tcPr>
          <w:p w14:paraId="3AC34C63" w14:textId="4CE9B7D7" w:rsidR="00B12AFD" w:rsidRPr="009B60A4" w:rsidRDefault="00B12AFD" w:rsidP="00B12AFD">
            <w:pPr>
              <w:keepNext/>
              <w:keepLines/>
              <w:spacing w:before="0" w:after="0" w:line="240" w:lineRule="auto"/>
              <w:jc w:val="right"/>
              <w:rPr>
                <w:rFonts w:ascii="Arial Narrow" w:eastAsia="Times New Roman" w:hAnsi="Arial Narrow" w:cs="Calibri"/>
                <w:color w:val="000000"/>
                <w:sz w:val="20"/>
                <w:szCs w:val="20"/>
                <w:lang w:eastAsia="en-AU"/>
              </w:rPr>
            </w:pPr>
            <w:r w:rsidRPr="00D449D3">
              <w:rPr>
                <w:rFonts w:ascii="Arial Narrow" w:eastAsia="Times New Roman" w:hAnsi="Arial Narrow" w:cs="Calibri"/>
                <w:color w:val="000000"/>
                <w:sz w:val="20"/>
                <w:szCs w:val="20"/>
                <w:lang w:eastAsia="en-AU"/>
              </w:rPr>
              <w:t>$</w:t>
            </w:r>
            <w:r w:rsidRPr="00D449D3">
              <w:rPr>
                <w:rFonts w:ascii="Arial Narrow" w:eastAsia="Times New Roman" w:hAnsi="Arial Narrow" w:cs="Calibri"/>
                <w:b/>
                <w:bCs/>
                <w:color w:val="000000"/>
                <w:sz w:val="20"/>
                <w:szCs w:val="20"/>
                <w:lang w:eastAsia="en-AU"/>
              </w:rPr>
              <w:t>Redacted</w:t>
            </w:r>
          </w:p>
        </w:tc>
        <w:tc>
          <w:tcPr>
            <w:tcW w:w="1958" w:type="dxa"/>
            <w:tcBorders>
              <w:top w:val="single" w:sz="4" w:space="0" w:color="auto"/>
              <w:left w:val="nil"/>
              <w:bottom w:val="single" w:sz="4" w:space="0" w:color="auto"/>
              <w:right w:val="single" w:sz="4" w:space="0" w:color="auto"/>
            </w:tcBorders>
            <w:noWrap/>
          </w:tcPr>
          <w:p w14:paraId="715648F4" w14:textId="2663D28D" w:rsidR="00B12AFD" w:rsidRPr="009B60A4" w:rsidRDefault="00B12AFD" w:rsidP="00B12AFD">
            <w:pPr>
              <w:keepNext/>
              <w:keepLines/>
              <w:spacing w:before="0" w:after="0" w:line="240" w:lineRule="auto"/>
              <w:jc w:val="right"/>
              <w:rPr>
                <w:rFonts w:ascii="Arial Narrow" w:eastAsia="Times New Roman" w:hAnsi="Arial Narrow" w:cs="Calibri"/>
                <w:b/>
                <w:bCs/>
                <w:color w:val="000000"/>
                <w:sz w:val="20"/>
                <w:szCs w:val="20"/>
                <w:lang w:eastAsia="en-AU"/>
              </w:rPr>
            </w:pPr>
            <w:r w:rsidRPr="00D449D3">
              <w:rPr>
                <w:rFonts w:ascii="Arial Narrow" w:eastAsia="Times New Roman" w:hAnsi="Arial Narrow" w:cs="Calibri"/>
                <w:color w:val="000000"/>
                <w:sz w:val="20"/>
                <w:szCs w:val="20"/>
                <w:lang w:eastAsia="en-AU"/>
              </w:rPr>
              <w:t>$</w:t>
            </w:r>
            <w:r w:rsidRPr="00D449D3">
              <w:rPr>
                <w:rFonts w:ascii="Arial Narrow" w:eastAsia="Times New Roman" w:hAnsi="Arial Narrow" w:cs="Calibri"/>
                <w:b/>
                <w:bCs/>
                <w:color w:val="000000"/>
                <w:sz w:val="20"/>
                <w:szCs w:val="20"/>
                <w:lang w:eastAsia="en-AU"/>
              </w:rPr>
              <w:t>Redacted</w:t>
            </w:r>
          </w:p>
        </w:tc>
      </w:tr>
      <w:tr w:rsidR="001F3F40" w:rsidRPr="009B60A4" w14:paraId="1FC9497F" w14:textId="77777777" w:rsidTr="00B12AFD">
        <w:trPr>
          <w:trHeight w:val="245"/>
        </w:trPr>
        <w:tc>
          <w:tcPr>
            <w:tcW w:w="3142" w:type="dxa"/>
            <w:tcBorders>
              <w:top w:val="single" w:sz="4" w:space="0" w:color="auto"/>
              <w:left w:val="single" w:sz="4" w:space="0" w:color="auto"/>
              <w:bottom w:val="single" w:sz="4" w:space="0" w:color="auto"/>
              <w:right w:val="single" w:sz="4" w:space="0" w:color="auto"/>
            </w:tcBorders>
            <w:noWrap/>
            <w:vAlign w:val="bottom"/>
          </w:tcPr>
          <w:p w14:paraId="3ECB6FC5" w14:textId="77777777" w:rsidR="001F3F40" w:rsidRPr="009B60A4" w:rsidRDefault="001F3F40" w:rsidP="00ED5CB7">
            <w:pPr>
              <w:keepNext/>
              <w:keepLines/>
              <w:spacing w:before="0" w:after="0" w:line="240" w:lineRule="auto"/>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Number of diagnoses</w:t>
            </w:r>
          </w:p>
        </w:tc>
        <w:tc>
          <w:tcPr>
            <w:tcW w:w="1958" w:type="dxa"/>
            <w:tcBorders>
              <w:top w:val="single" w:sz="4" w:space="0" w:color="auto"/>
              <w:left w:val="nil"/>
              <w:bottom w:val="single" w:sz="4" w:space="0" w:color="auto"/>
              <w:right w:val="single" w:sz="4" w:space="0" w:color="auto"/>
            </w:tcBorders>
            <w:noWrap/>
            <w:vAlign w:val="center"/>
          </w:tcPr>
          <w:p w14:paraId="1D8BBEEC" w14:textId="77777777" w:rsidR="001F3F40" w:rsidRPr="009B60A4"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3.4796</w:t>
            </w:r>
          </w:p>
        </w:tc>
        <w:tc>
          <w:tcPr>
            <w:tcW w:w="1958" w:type="dxa"/>
            <w:tcBorders>
              <w:top w:val="single" w:sz="4" w:space="0" w:color="auto"/>
              <w:left w:val="nil"/>
              <w:bottom w:val="single" w:sz="4" w:space="0" w:color="auto"/>
              <w:right w:val="single" w:sz="4" w:space="0" w:color="auto"/>
            </w:tcBorders>
            <w:noWrap/>
            <w:vAlign w:val="center"/>
          </w:tcPr>
          <w:p w14:paraId="15281BDC" w14:textId="77777777" w:rsidR="001F3F40" w:rsidRPr="009B60A4" w:rsidRDefault="001F3F40"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2.1900</w:t>
            </w:r>
          </w:p>
        </w:tc>
        <w:tc>
          <w:tcPr>
            <w:tcW w:w="1958" w:type="dxa"/>
            <w:tcBorders>
              <w:top w:val="single" w:sz="4" w:space="0" w:color="auto"/>
              <w:left w:val="nil"/>
              <w:bottom w:val="single" w:sz="4" w:space="0" w:color="auto"/>
              <w:right w:val="single" w:sz="4" w:space="0" w:color="auto"/>
            </w:tcBorders>
            <w:noWrap/>
            <w:vAlign w:val="center"/>
          </w:tcPr>
          <w:p w14:paraId="3EC17C45" w14:textId="656F4CCA" w:rsidR="001F3F40" w:rsidRPr="009B60A4" w:rsidRDefault="001F3F40" w:rsidP="00ED5CB7">
            <w:pPr>
              <w:keepNext/>
              <w:keepLines/>
              <w:spacing w:before="0" w:after="0" w:line="240" w:lineRule="auto"/>
              <w:jc w:val="right"/>
              <w:rPr>
                <w:rFonts w:ascii="Arial Narrow" w:eastAsia="Times New Roman" w:hAnsi="Arial Narrow" w:cs="Calibri"/>
                <w:b/>
                <w:bCs/>
                <w:color w:val="000000"/>
                <w:sz w:val="20"/>
                <w:szCs w:val="20"/>
                <w:lang w:eastAsia="en-AU"/>
              </w:rPr>
            </w:pPr>
            <w:r>
              <w:rPr>
                <w:rFonts w:ascii="Arial Narrow" w:hAnsi="Arial Narrow" w:cs="Calibri"/>
                <w:color w:val="000000"/>
                <w:sz w:val="20"/>
                <w:szCs w:val="20"/>
              </w:rPr>
              <w:t>1.2896</w:t>
            </w:r>
          </w:p>
        </w:tc>
      </w:tr>
      <w:tr w:rsidR="00A44FF6" w:rsidRPr="009B60A4" w14:paraId="642FA011" w14:textId="77777777" w:rsidTr="00B12AFD">
        <w:trPr>
          <w:trHeight w:val="255"/>
        </w:trPr>
        <w:tc>
          <w:tcPr>
            <w:tcW w:w="3142" w:type="dxa"/>
            <w:tcBorders>
              <w:top w:val="single" w:sz="4" w:space="0" w:color="auto"/>
              <w:left w:val="single" w:sz="4" w:space="0" w:color="auto"/>
              <w:bottom w:val="single" w:sz="4" w:space="0" w:color="auto"/>
            </w:tcBorders>
            <w:noWrap/>
            <w:vAlign w:val="bottom"/>
          </w:tcPr>
          <w:p w14:paraId="08154C3B" w14:textId="77777777" w:rsidR="00A44FF6" w:rsidRPr="009B60A4" w:rsidRDefault="00A44FF6" w:rsidP="00ED5CB7">
            <w:pPr>
              <w:keepNext/>
              <w:keepLines/>
              <w:spacing w:before="0" w:after="0" w:line="240" w:lineRule="auto"/>
              <w:rPr>
                <w:rFonts w:ascii="Arial Narrow" w:eastAsia="Times New Roman" w:hAnsi="Arial Narrow" w:cs="Calibri"/>
                <w:color w:val="000000"/>
                <w:sz w:val="20"/>
                <w:szCs w:val="20"/>
                <w:lang w:eastAsia="en-AU"/>
              </w:rPr>
            </w:pPr>
            <w:r w:rsidRPr="009B60A4">
              <w:rPr>
                <w:rFonts w:ascii="Arial Narrow" w:eastAsia="Times New Roman" w:hAnsi="Arial Narrow" w:cs="Calibri"/>
                <w:color w:val="000000"/>
                <w:sz w:val="20"/>
                <w:szCs w:val="20"/>
                <w:lang w:eastAsia="en-AU"/>
              </w:rPr>
              <w:t>ICER ($/additional diagnosis)</w:t>
            </w:r>
          </w:p>
        </w:tc>
        <w:tc>
          <w:tcPr>
            <w:tcW w:w="1958" w:type="dxa"/>
            <w:tcBorders>
              <w:top w:val="single" w:sz="4" w:space="0" w:color="auto"/>
              <w:bottom w:val="single" w:sz="4" w:space="0" w:color="auto"/>
            </w:tcBorders>
            <w:noWrap/>
            <w:vAlign w:val="center"/>
          </w:tcPr>
          <w:p w14:paraId="341A24AA" w14:textId="77777777" w:rsidR="00A44FF6" w:rsidRPr="009B60A4" w:rsidRDefault="00A44FF6"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 </w:t>
            </w:r>
          </w:p>
        </w:tc>
        <w:tc>
          <w:tcPr>
            <w:tcW w:w="1958" w:type="dxa"/>
            <w:tcBorders>
              <w:top w:val="single" w:sz="4" w:space="0" w:color="auto"/>
              <w:bottom w:val="single" w:sz="4" w:space="0" w:color="auto"/>
              <w:right w:val="single" w:sz="4" w:space="0" w:color="auto"/>
            </w:tcBorders>
            <w:noWrap/>
            <w:vAlign w:val="center"/>
          </w:tcPr>
          <w:p w14:paraId="69FD4E32" w14:textId="77777777" w:rsidR="00A44FF6" w:rsidRPr="009B60A4" w:rsidRDefault="00A44FF6" w:rsidP="00ED5CB7">
            <w:pPr>
              <w:keepNext/>
              <w:keepLines/>
              <w:spacing w:before="0" w:after="0" w:line="240" w:lineRule="auto"/>
              <w:jc w:val="right"/>
              <w:rPr>
                <w:rFonts w:ascii="Arial Narrow" w:eastAsia="Times New Roman" w:hAnsi="Arial Narrow" w:cs="Calibri"/>
                <w:color w:val="000000"/>
                <w:sz w:val="20"/>
                <w:szCs w:val="20"/>
                <w:lang w:eastAsia="en-AU"/>
              </w:rPr>
            </w:pPr>
            <w:r>
              <w:rPr>
                <w:rFonts w:ascii="Arial Narrow" w:hAnsi="Arial Narrow" w:cs="Calibri"/>
                <w:color w:val="000000"/>
                <w:sz w:val="20"/>
                <w:szCs w:val="20"/>
              </w:rPr>
              <w:t> </w:t>
            </w:r>
          </w:p>
        </w:tc>
        <w:tc>
          <w:tcPr>
            <w:tcW w:w="1958" w:type="dxa"/>
            <w:tcBorders>
              <w:top w:val="single" w:sz="4" w:space="0" w:color="auto"/>
              <w:left w:val="nil"/>
              <w:bottom w:val="single" w:sz="4" w:space="0" w:color="auto"/>
              <w:right w:val="single" w:sz="4" w:space="0" w:color="auto"/>
            </w:tcBorders>
            <w:noWrap/>
            <w:vAlign w:val="bottom"/>
          </w:tcPr>
          <w:p w14:paraId="35ADB619" w14:textId="01843CFF" w:rsidR="00A44FF6" w:rsidRPr="009B60A4" w:rsidRDefault="00B12AFD" w:rsidP="00ED5CB7">
            <w:pPr>
              <w:keepNext/>
              <w:keepLines/>
              <w:spacing w:before="0" w:after="0" w:line="240" w:lineRule="auto"/>
              <w:jc w:val="right"/>
              <w:rPr>
                <w:rFonts w:ascii="Arial Narrow" w:eastAsia="Times New Roman" w:hAnsi="Arial Narrow" w:cs="Calibri"/>
                <w:b/>
                <w:bCs/>
                <w:color w:val="000000"/>
                <w:sz w:val="20"/>
                <w:szCs w:val="20"/>
                <w:lang w:eastAsia="en-AU"/>
              </w:rPr>
            </w:pPr>
            <w:r w:rsidRPr="009B60A4">
              <w:rPr>
                <w:rFonts w:ascii="Arial Narrow" w:eastAsia="Times New Roman" w:hAnsi="Arial Narrow" w:cs="Calibri"/>
                <w:color w:val="000000"/>
                <w:sz w:val="20"/>
                <w:szCs w:val="20"/>
                <w:lang w:eastAsia="en-AU"/>
              </w:rPr>
              <w:t>$</w:t>
            </w:r>
            <w:r>
              <w:rPr>
                <w:rFonts w:ascii="Arial Narrow" w:eastAsia="Times New Roman" w:hAnsi="Arial Narrow" w:cs="Calibri"/>
                <w:b/>
                <w:bCs/>
                <w:color w:val="000000"/>
                <w:sz w:val="20"/>
                <w:szCs w:val="20"/>
                <w:lang w:eastAsia="en-AU"/>
              </w:rPr>
              <w:t>Redacted</w:t>
            </w:r>
          </w:p>
        </w:tc>
      </w:tr>
    </w:tbl>
    <w:p w14:paraId="121C94DB" w14:textId="77777777" w:rsidR="001F3F40" w:rsidRDefault="001F3F40" w:rsidP="00ED5CB7">
      <w:pPr>
        <w:pStyle w:val="Tablenotes"/>
        <w:keepNext/>
        <w:keepLines/>
        <w:contextualSpacing w:val="0"/>
      </w:pPr>
      <w:r>
        <w:t xml:space="preserve">ERT = enzyme replacement therapy; ICER = incremental cost-effectiveness ratio; </w:t>
      </w:r>
      <w:r w:rsidRPr="00005F70">
        <w:t>glycogen storage disease Type II</w:t>
      </w:r>
      <w:r>
        <w:t>; MPS I = mucopolysaccharidosis Type I; MPS II = mucopolysaccharidosis Type II; MS/MS = tandem mass spectrometry; NBS = newborn bloodspot screening</w:t>
      </w:r>
    </w:p>
    <w:p w14:paraId="6D873F84" w14:textId="2AA607F4" w:rsidR="001F3F40" w:rsidRDefault="001F3F40" w:rsidP="00FA4515">
      <w:pPr>
        <w:pStyle w:val="Tablenotes"/>
      </w:pPr>
      <w:r w:rsidRPr="02E2EE7D">
        <w:rPr>
          <w:vertAlign w:val="superscript"/>
        </w:rPr>
        <w:t>a</w:t>
      </w:r>
      <w:r w:rsidRPr="02E2EE7D">
        <w:t xml:space="preserve"> From October 2024 </w:t>
      </w:r>
      <w:r w:rsidR="00606312" w:rsidRPr="00CA2E09">
        <w:rPr>
          <w:b/>
          <w:bCs/>
        </w:rPr>
        <w:t>Redacted</w:t>
      </w:r>
      <w:r w:rsidR="00606312" w:rsidRPr="02E2EE7D">
        <w:t xml:space="preserve"> </w:t>
      </w:r>
      <w:r w:rsidRPr="02E2EE7D">
        <w:t xml:space="preserve">kit </w:t>
      </w:r>
      <w:r w:rsidR="00E17328">
        <w:t xml:space="preserve">is </w:t>
      </w:r>
      <w:r w:rsidRPr="02E2EE7D">
        <w:t>available for multiplexing MS/MS enzymatic assays for MPS I, MPS II and Pompe disorders which are currently under MSAC consideration for NBS panel extension. If these tests were multiplexed, the screening cost per sample attributed to MPS I detection will be one-third as the running cost (all the operational costs, equipment costs and kit costs) would remain same but will perform detection of three disorders at the same time.</w:t>
      </w:r>
    </w:p>
    <w:p w14:paraId="68AEF606" w14:textId="4924A6D4" w:rsidR="00AC7833" w:rsidRDefault="00AC7833" w:rsidP="00AC7833">
      <w:r w:rsidRPr="02E2EE7D">
        <w:t>The base case result indicated that NBS for GSD II cost</w:t>
      </w:r>
      <w:r w:rsidR="00BB5018" w:rsidRPr="02E2EE7D">
        <w:t>s</w:t>
      </w:r>
      <w:r w:rsidRPr="02E2EE7D">
        <w:t xml:space="preserve"> an additional $</w:t>
      </w:r>
      <w:r w:rsidR="00E025B8" w:rsidRPr="00E025B8">
        <w:rPr>
          <w:b/>
          <w:bCs/>
        </w:rPr>
        <w:t>REDACTED</w:t>
      </w:r>
      <w:r w:rsidR="00093B2A">
        <w:rPr>
          <w:b/>
          <w:bCs/>
        </w:rPr>
        <w:t xml:space="preserve"> </w:t>
      </w:r>
      <w:r w:rsidRPr="02E2EE7D">
        <w:t>and would result in an additional (</w:t>
      </w:r>
      <w:r w:rsidR="0030097A" w:rsidRPr="02E2EE7D">
        <w:t>$</w:t>
      </w:r>
      <w:r w:rsidRPr="02E2EE7D">
        <w:t>/earlier) diagnosis for 0.0000219 GSD II cases per newborn screened; in a cohort of 100,000 newborns, the cost would be $</w:t>
      </w:r>
      <w:r w:rsidR="00E025B8" w:rsidRPr="00E025B8">
        <w:rPr>
          <w:b/>
          <w:bCs/>
        </w:rPr>
        <w:t>REDACTED</w:t>
      </w:r>
      <w:r w:rsidRPr="02E2EE7D">
        <w:t xml:space="preserve"> and identify on average 1.29 additional cases. As expected with all rare disease screening applications both within Australia and internationally, the ICERs were substantial ($</w:t>
      </w:r>
      <w:r w:rsidR="00E025B8" w:rsidRPr="00E025B8">
        <w:rPr>
          <w:b/>
          <w:bCs/>
        </w:rPr>
        <w:t>REDACTED</w:t>
      </w:r>
      <w:r w:rsidRPr="02E2EE7D">
        <w:t xml:space="preserve"> per additional diagnosis of GSD II case) reflecting the very low rate of diagnosis per individual screened. The ICER was predominantly driven by the cost per screening and cost associated with additional use of ERT. Although the costs and time durations associated with the diagnostic </w:t>
      </w:r>
      <w:r w:rsidR="00F858A6">
        <w:t>delay</w:t>
      </w:r>
      <w:r w:rsidRPr="02E2EE7D">
        <w:t xml:space="preserve"> were uncertain, these were likely to have very low impact on the ICERs.</w:t>
      </w:r>
    </w:p>
    <w:p w14:paraId="226EF29F" w14:textId="532E1CAD" w:rsidR="00AC7833" w:rsidRDefault="00AC7833" w:rsidP="00350FBE">
      <w:r w:rsidRPr="02E2EE7D">
        <w:t>The ICER reduced to $</w:t>
      </w:r>
      <w:r w:rsidR="00E025B8" w:rsidRPr="00E025B8">
        <w:rPr>
          <w:b/>
          <w:bCs/>
        </w:rPr>
        <w:t>REDACTED</w:t>
      </w:r>
      <w:r w:rsidRPr="02E2EE7D">
        <w:t xml:space="preserve"> per additional diagnosis of GSD II case when the first-tier screening assays were multiplexed in a two-tier screening strategy (‘sharing’ the cost of screening between three disorders MPS I, MPS II and GSD II).</w:t>
      </w:r>
    </w:p>
    <w:p w14:paraId="3866F6FC" w14:textId="6E6A9980" w:rsidR="00323838" w:rsidRDefault="00323838" w:rsidP="00350FBE">
      <w:pPr>
        <w:rPr>
          <w:u w:val="single"/>
        </w:rPr>
      </w:pPr>
      <w:r w:rsidRPr="001501F0">
        <w:rPr>
          <w:u w:val="single"/>
        </w:rPr>
        <w:t>Model validation</w:t>
      </w:r>
    </w:p>
    <w:p w14:paraId="3A710B52" w14:textId="38759E17" w:rsidR="00323838" w:rsidRDefault="00323838" w:rsidP="00323838">
      <w:r>
        <w:t xml:space="preserve">Data for observed age-specific and long-term survival in the proposed population were not available. </w:t>
      </w:r>
      <w:r w:rsidR="00E61A9F">
        <w:fldChar w:fldCharType="begin"/>
      </w:r>
      <w:r w:rsidR="00E61A9F">
        <w:instrText xml:space="preserve"> REF _Ref192063637 \h </w:instrText>
      </w:r>
      <w:r w:rsidR="00E61A9F">
        <w:fldChar w:fldCharType="separate"/>
      </w:r>
      <w:r w:rsidR="00E61A9F">
        <w:t xml:space="preserve">Figure </w:t>
      </w:r>
      <w:r w:rsidR="00E61A9F">
        <w:rPr>
          <w:noProof/>
        </w:rPr>
        <w:t>1</w:t>
      </w:r>
      <w:r w:rsidR="00E61A9F">
        <w:fldChar w:fldCharType="end"/>
      </w:r>
      <w:r w:rsidR="00E61A9F">
        <w:t xml:space="preserve"> </w:t>
      </w:r>
      <w:r>
        <w:t>and</w:t>
      </w:r>
      <w:r w:rsidR="00E61A9F">
        <w:t xml:space="preserve"> </w:t>
      </w:r>
      <w:r w:rsidR="00E61A9F">
        <w:fldChar w:fldCharType="begin"/>
      </w:r>
      <w:r w:rsidR="00E61A9F">
        <w:instrText xml:space="preserve"> REF _Ref192063646 \h </w:instrText>
      </w:r>
      <w:r w:rsidR="00E61A9F">
        <w:fldChar w:fldCharType="separate"/>
      </w:r>
      <w:r w:rsidR="00E61A9F">
        <w:t xml:space="preserve">Figure </w:t>
      </w:r>
      <w:r w:rsidR="00E61A9F">
        <w:rPr>
          <w:noProof/>
        </w:rPr>
        <w:t>2</w:t>
      </w:r>
      <w:r w:rsidR="00E61A9F">
        <w:fldChar w:fldCharType="end"/>
      </w:r>
      <w:r>
        <w:t xml:space="preserve"> </w:t>
      </w:r>
      <w:r w:rsidRPr="00A06850">
        <w:t xml:space="preserve">show the modelled </w:t>
      </w:r>
      <w:r>
        <w:t xml:space="preserve">and observed </w:t>
      </w:r>
      <w:proofErr w:type="spellStart"/>
      <w:r>
        <w:t>VFSi</w:t>
      </w:r>
      <w:proofErr w:type="spellEnd"/>
      <w:r>
        <w:t xml:space="preserve"> and OS </w:t>
      </w:r>
      <w:r w:rsidRPr="00A06850">
        <w:t xml:space="preserve">curves for </w:t>
      </w:r>
      <w:r>
        <w:t>IOGSD II</w:t>
      </w:r>
      <w:r w:rsidRPr="00A06850">
        <w:t>, both when diagnosed through NBS (early diagnosis and</w:t>
      </w:r>
      <w:r>
        <w:t xml:space="preserve"> early</w:t>
      </w:r>
      <w:r w:rsidRPr="00A06850">
        <w:t xml:space="preserve"> treatment) or diagnosed through clinical identification</w:t>
      </w:r>
      <w:r>
        <w:t xml:space="preserve">. </w:t>
      </w:r>
      <w:r w:rsidRPr="001179C7">
        <w:t xml:space="preserve">The modelled </w:t>
      </w:r>
      <w:proofErr w:type="spellStart"/>
      <w:r>
        <w:t>VFSi</w:t>
      </w:r>
      <w:proofErr w:type="spellEnd"/>
      <w:r>
        <w:t xml:space="preserve"> and overall </w:t>
      </w:r>
      <w:r w:rsidRPr="001179C7">
        <w:t xml:space="preserve">survival </w:t>
      </w:r>
      <w:r>
        <w:t>are</w:t>
      </w:r>
      <w:r w:rsidRPr="001179C7">
        <w:t xml:space="preserve"> reasonably consistent with the limited data in the literature</w:t>
      </w:r>
      <w:r>
        <w:t xml:space="preserve"> for the no-NBS arm and shows the two</w:t>
      </w:r>
      <w:r w:rsidRPr="001E02A1">
        <w:t xml:space="preserve"> </w:t>
      </w:r>
      <w:r>
        <w:t>extremes, upper and lower bounds, for NBS arm.</w:t>
      </w:r>
    </w:p>
    <w:p w14:paraId="1DCC2E18" w14:textId="77777777" w:rsidR="00323838" w:rsidRDefault="00323838" w:rsidP="00323838">
      <w:pPr>
        <w:keepNext/>
      </w:pPr>
      <w:r>
        <w:rPr>
          <w:noProof/>
          <w:lang w:eastAsia="en-AU"/>
        </w:rPr>
        <w:drawing>
          <wp:inline distT="0" distB="0" distL="0" distR="0" wp14:anchorId="75869FC4" wp14:editId="48AC1298">
            <wp:extent cx="5727940" cy="3446888"/>
            <wp:effectExtent l="0" t="0" r="6350" b="1270"/>
            <wp:docPr id="1863693461" name="Picture 3" descr="Figure 16 Modelled and observed invasive ventilator free survival (VFSi) curves for infantile onset GSD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93461" name="Picture 3" descr="Figure 16 Modelled and observed invasive ventilator free survival (VFSi) curves for infantile onset GSD I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9316" cy="3453734"/>
                    </a:xfrm>
                    <a:prstGeom prst="rect">
                      <a:avLst/>
                    </a:prstGeom>
                    <a:noFill/>
                  </pic:spPr>
                </pic:pic>
              </a:graphicData>
            </a:graphic>
          </wp:inline>
        </w:drawing>
      </w:r>
    </w:p>
    <w:p w14:paraId="3D111860" w14:textId="381E0E7C" w:rsidR="00323838" w:rsidRDefault="008D5BEC" w:rsidP="001501F0">
      <w:pPr>
        <w:pStyle w:val="Caption"/>
        <w:spacing w:before="0" w:after="0"/>
      </w:pPr>
      <w:bookmarkStart w:id="51" w:name="_Ref192063637"/>
      <w:r>
        <w:t xml:space="preserve">Figure </w:t>
      </w:r>
      <w:r>
        <w:fldChar w:fldCharType="begin"/>
      </w:r>
      <w:r>
        <w:instrText xml:space="preserve"> SEQ Figure \* ARABIC </w:instrText>
      </w:r>
      <w:r>
        <w:fldChar w:fldCharType="separate"/>
      </w:r>
      <w:r>
        <w:rPr>
          <w:noProof/>
        </w:rPr>
        <w:t>1</w:t>
      </w:r>
      <w:r>
        <w:rPr>
          <w:noProof/>
        </w:rPr>
        <w:fldChar w:fldCharType="end"/>
      </w:r>
      <w:bookmarkEnd w:id="51"/>
      <w:r>
        <w:t xml:space="preserve"> </w:t>
      </w:r>
      <w:r w:rsidR="00323838">
        <w:t>Modelled and observed invasive ventilation free survival (</w:t>
      </w:r>
      <w:proofErr w:type="spellStart"/>
      <w:r w:rsidR="00323838">
        <w:t>VFSi</w:t>
      </w:r>
      <w:proofErr w:type="spellEnd"/>
      <w:r w:rsidR="00323838">
        <w:t>) curves for infantile onset GSD II</w:t>
      </w:r>
    </w:p>
    <w:p w14:paraId="4B1647B7" w14:textId="45AF3E6E" w:rsidR="001D2BD7" w:rsidRDefault="00323838" w:rsidP="001501F0">
      <w:pPr>
        <w:pStyle w:val="Tablenotes"/>
        <w:spacing w:before="0" w:after="0"/>
        <w:contextualSpacing w:val="0"/>
      </w:pPr>
      <w:r>
        <w:t>GSD II = glycogen storage disease type II; KM = Kaplan-Meier; LB = lower bound; NBS = newborn bloodspot screening; UB = upper bound</w:t>
      </w:r>
    </w:p>
    <w:p w14:paraId="0AF15BD2" w14:textId="3E6B701E" w:rsidR="00517B32" w:rsidRDefault="001D2BD7" w:rsidP="001501F0">
      <w:pPr>
        <w:pStyle w:val="Tablenotes"/>
        <w:spacing w:before="0" w:after="0"/>
        <w:contextualSpacing w:val="0"/>
      </w:pPr>
      <w:r>
        <w:t xml:space="preserve">Source: Kaplan-Meier survival curves digitised from published studies </w:t>
      </w:r>
      <w:r>
        <w:fldChar w:fldCharType="begin">
          <w:fldData xml:space="preserve">PEVuZE5vdGU+PENpdGU+PEF1dGhvcj5UYXJkaWV1PC9BdXRob3I+PFllYXI+MjAyMzwvWWVhcj48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</w:fldData>
        </w:fldChar>
      </w:r>
      <w:r>
        <w:instrText xml:space="preserve"> ADDIN EN.CITE </w:instrText>
      </w:r>
      <w:r>
        <w:fldChar w:fldCharType="begin">
          <w:fldData xml:space="preserve">PEVuZE5vdGU+PENpdGU+PEF1dGhvcj5UYXJkaWV1PC9BdXRob3I+PFllYXI+MjAyMzwvWWVhcj48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</w:fldData>
        </w:fldChar>
      </w:r>
      <w:r>
        <w:instrText xml:space="preserve"> ADDIN EN.CITE.DATA </w:instrText>
      </w:r>
      <w:r>
        <w:fldChar w:fldCharType="end"/>
      </w:r>
      <w:r>
        <w:fldChar w:fldCharType="separate"/>
      </w:r>
      <w:r w:rsidRPr="7DC652A2">
        <w:rPr>
          <w:noProof/>
        </w:rPr>
        <w:t>(Tardieu et al. 2023)</w:t>
      </w:r>
      <w:r>
        <w:fldChar w:fldCharType="end"/>
      </w:r>
      <w:r>
        <w:t xml:space="preserve"> and </w:t>
      </w:r>
      <w:r w:rsidRPr="00444590">
        <w:fldChar w:fldCharType="begin"/>
      </w:r>
      <w:r w:rsidRPr="00444590">
        <w:instrText xml:space="preserve"> ADDIN EN.CITE &lt;EndNote&gt;&lt;Cite&gt;&lt;Author&gt;Chien&lt;/Author&gt;&lt;Year&gt;2019&lt;/Year&gt;&lt;RecNum&gt;175&lt;/RecNum&gt;&lt;DisplayText&gt;(Chien, Y-H, Hwu &amp;amp; Lee 2019)&lt;/DisplayText&gt;&lt;record&gt;&lt;rec-number&gt;175&lt;/rec-number&gt;&lt;foreign-keys&gt;&lt;key app="EN" db-id="2x2zxatf22afpcea0ecx2wv1zvdas0x52t0e" timestamp="1730680063"&gt;175&lt;/key&gt;&lt;/foreign-keys&gt;&lt;ref-type name="Journal Article"&gt;17&lt;/ref-type&gt;&lt;contributors&gt;&lt;authors&gt;&lt;author&gt;Chien, Yin-Hsiu&lt;/author&gt;&lt;author&gt;Hwu, Wuh-Liang&lt;/author&gt;&lt;author&gt;Lee, Ni-Chung&lt;/author&gt;&lt;/authors&gt;&lt;/contributors&gt;&lt;titles&gt;&lt;title&gt;Newborn screening: Taiwanese experience&lt;/title&gt;&lt;secondary-title&gt;Annals of Translational Medicine&lt;/secondary-title&gt;&lt;short-title&gt;Newborn screening: Taiwanese experience&lt;/short-title&gt;&lt;/titles&gt;&lt;periodical&gt;&lt;full-title&gt;Annals of Translational Medicine&lt;/full-title&gt;&lt;/periodical&gt;&lt;pages&gt;281&lt;/pages&gt;&lt;volume&gt;7&lt;/volume&gt;&lt;number&gt;13&lt;/number&gt;&lt;dates&gt;&lt;year&gt;2019&lt;/year&gt;&lt;/dates&gt;&lt;isbn&gt;2305-5847&lt;/isbn&gt;&lt;urls&gt;&lt;related-urls&gt;&lt;url&gt;https://atm.amegroups.org/article/view/26063&lt;/url&gt;&lt;/related-urls&gt;&lt;/urls&gt;&lt;/record&gt;&lt;/Cite&gt;&lt;/EndNote&gt;</w:instrText>
      </w:r>
      <w:r w:rsidRPr="00444590">
        <w:fldChar w:fldCharType="separate"/>
      </w:r>
      <w:r w:rsidRPr="00444590">
        <w:rPr>
          <w:noProof/>
        </w:rPr>
        <w:t>(Chien, Y-H, Hwu &amp; Lee 2019)</w:t>
      </w:r>
      <w:r w:rsidRPr="00444590">
        <w:fldChar w:fldCharType="end"/>
      </w:r>
    </w:p>
    <w:p w14:paraId="7BF9F85F" w14:textId="77777777" w:rsidR="00323838" w:rsidRDefault="00323838" w:rsidP="00323838">
      <w:pPr>
        <w:keepNext/>
      </w:pPr>
      <w:r>
        <w:rPr>
          <w:noProof/>
          <w:lang w:eastAsia="en-AU"/>
        </w:rPr>
        <w:drawing>
          <wp:inline distT="0" distB="0" distL="0" distR="0" wp14:anchorId="395D29B5" wp14:editId="4615D201">
            <wp:extent cx="5727700" cy="3446744"/>
            <wp:effectExtent l="0" t="0" r="6350" b="1905"/>
            <wp:docPr id="403659264" name="Picture 4" descr="Figure 17 Modelled and observed overall survival (OS) curves for infantile onset GSD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59264" name="Picture 4" descr="Figure 17 Modelled and observed overall survival (OS) curves for infantile onset GSD I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862" cy="3454664"/>
                    </a:xfrm>
                    <a:prstGeom prst="rect">
                      <a:avLst/>
                    </a:prstGeom>
                    <a:noFill/>
                  </pic:spPr>
                </pic:pic>
              </a:graphicData>
            </a:graphic>
          </wp:inline>
        </w:drawing>
      </w:r>
    </w:p>
    <w:p w14:paraId="3FBA4DAC" w14:textId="77D2F128" w:rsidR="00323838" w:rsidRDefault="008D5BEC" w:rsidP="008D5BEC">
      <w:pPr>
        <w:pStyle w:val="Caption"/>
      </w:pPr>
      <w:bookmarkStart w:id="52" w:name="_Ref192063646"/>
      <w:r>
        <w:t xml:space="preserve">Figure </w:t>
      </w:r>
      <w:r>
        <w:fldChar w:fldCharType="begin"/>
      </w:r>
      <w:r>
        <w:instrText xml:space="preserve"> SEQ Figure \* ARABIC </w:instrText>
      </w:r>
      <w:r>
        <w:fldChar w:fldCharType="separate"/>
      </w:r>
      <w:r>
        <w:rPr>
          <w:noProof/>
        </w:rPr>
        <w:t>2</w:t>
      </w:r>
      <w:r>
        <w:rPr>
          <w:noProof/>
        </w:rPr>
        <w:fldChar w:fldCharType="end"/>
      </w:r>
      <w:bookmarkEnd w:id="52"/>
      <w:r>
        <w:t xml:space="preserve"> </w:t>
      </w:r>
      <w:r w:rsidR="00323838">
        <w:t>Modelled and observed overall survival (OS) curves for infantile onset GSD II</w:t>
      </w:r>
    </w:p>
    <w:p w14:paraId="65E07090" w14:textId="7E515CF9" w:rsidR="00323838" w:rsidRDefault="00323838" w:rsidP="001501F0">
      <w:pPr>
        <w:spacing w:before="0" w:after="0"/>
        <w:rPr>
          <w:rFonts w:ascii="Arial Narrow" w:hAnsi="Arial Narrow"/>
          <w:sz w:val="18"/>
          <w:szCs w:val="18"/>
        </w:rPr>
      </w:pPr>
      <w:r w:rsidRPr="001501F0">
        <w:rPr>
          <w:rFonts w:ascii="Arial Narrow" w:hAnsi="Arial Narrow"/>
          <w:sz w:val="18"/>
          <w:szCs w:val="18"/>
        </w:rPr>
        <w:t>GSD II = glycogen storage disorder type II; KM = Kaplan-Meier; LB = lower bound; NBS = newborn bloodspot screening; UB = upper</w:t>
      </w:r>
      <w:r w:rsidR="00517B32">
        <w:rPr>
          <w:rFonts w:ascii="Arial Narrow" w:hAnsi="Arial Narrow"/>
          <w:sz w:val="18"/>
          <w:szCs w:val="18"/>
        </w:rPr>
        <w:t xml:space="preserve"> bound</w:t>
      </w:r>
    </w:p>
    <w:p w14:paraId="5F60CAD8" w14:textId="77777777" w:rsidR="00ED429D" w:rsidRDefault="001D2BD7" w:rsidP="00FA4515">
      <w:pPr>
        <w:rPr>
          <w:rFonts w:ascii="Arial Narrow" w:hAnsi="Arial Narrow"/>
          <w:sz w:val="18"/>
          <w:szCs w:val="18"/>
        </w:rPr>
      </w:pPr>
      <w:r w:rsidRPr="001D2BD7">
        <w:rPr>
          <w:rFonts w:ascii="Arial Narrow" w:hAnsi="Arial Narrow"/>
          <w:sz w:val="18"/>
          <w:szCs w:val="18"/>
        </w:rPr>
        <w:t>Source: Kaplan-Meier survival curves digitised from published studies (Tardieu et al. 2023) and (Chien, Y-H, Hwu &amp; Lee 2019)</w:t>
      </w:r>
    </w:p>
    <w:p w14:paraId="789CA05D" w14:textId="231107B1" w:rsidR="001F3F40" w:rsidRPr="00492AB6" w:rsidRDefault="001F3F40" w:rsidP="002739C5">
      <w:pPr>
        <w:keepNext/>
        <w:keepLines/>
        <w:rPr>
          <w:u w:val="single"/>
        </w:rPr>
      </w:pPr>
      <w:r w:rsidRPr="00492AB6">
        <w:rPr>
          <w:u w:val="single"/>
        </w:rPr>
        <w:t>Exploratory scenario analysis</w:t>
      </w:r>
    </w:p>
    <w:p w14:paraId="39AA92E5" w14:textId="7841B2F1" w:rsidR="00AC7833" w:rsidRDefault="004A68D4" w:rsidP="002739C5">
      <w:pPr>
        <w:keepNext/>
        <w:keepLines/>
      </w:pPr>
      <w:r>
        <w:t>Table 9</w:t>
      </w:r>
      <w:r w:rsidR="00AC7833" w:rsidRPr="02E2EE7D">
        <w:t xml:space="preserve"> presents the modelled results for exploratory scenario analyses (per cohort of 100,000 newborns) in a stepped manner; with Steps 3-5 replicated for each of the assumptions regarding the upper and lower bounds of ERT benefit (in terms of IOGSD </w:t>
      </w:r>
      <w:proofErr w:type="spellStart"/>
      <w:r w:rsidR="00AC7833" w:rsidRPr="02E2EE7D">
        <w:t>VFSi</w:t>
      </w:r>
      <w:proofErr w:type="spellEnd"/>
      <w:r w:rsidR="00AC7833" w:rsidRPr="02E2EE7D">
        <w:t xml:space="preserve"> and OS in the NBS cohort)</w:t>
      </w:r>
      <w:r w:rsidR="003E2CD5">
        <w:t xml:space="preserve"> based on the 23 patients in the Taiwanese study (see </w:t>
      </w:r>
      <w:r w:rsidR="009852A3">
        <w:fldChar w:fldCharType="begin"/>
      </w:r>
      <w:r w:rsidR="009852A3">
        <w:instrText xml:space="preserve"> REF _Ref192063637 \h </w:instrText>
      </w:r>
      <w:r w:rsidR="009852A3">
        <w:fldChar w:fldCharType="separate"/>
      </w:r>
      <w:r w:rsidR="009852A3">
        <w:t xml:space="preserve">Figure </w:t>
      </w:r>
      <w:r w:rsidR="009852A3">
        <w:rPr>
          <w:noProof/>
        </w:rPr>
        <w:t>1</w:t>
      </w:r>
      <w:r w:rsidR="009852A3">
        <w:fldChar w:fldCharType="end"/>
      </w:r>
      <w:r w:rsidR="003E2CD5">
        <w:t xml:space="preserve"> and </w:t>
      </w:r>
      <w:r w:rsidR="009852A3">
        <w:fldChar w:fldCharType="begin"/>
      </w:r>
      <w:r w:rsidR="009852A3">
        <w:instrText xml:space="preserve"> REF _Ref192063646 \h </w:instrText>
      </w:r>
      <w:r w:rsidR="009852A3">
        <w:fldChar w:fldCharType="separate"/>
      </w:r>
      <w:r w:rsidR="009852A3">
        <w:t xml:space="preserve">Figure </w:t>
      </w:r>
      <w:r w:rsidR="009852A3">
        <w:rPr>
          <w:noProof/>
        </w:rPr>
        <w:t>2</w:t>
      </w:r>
      <w:r w:rsidR="009852A3">
        <w:fldChar w:fldCharType="end"/>
      </w:r>
      <w:r w:rsidR="003E2CD5">
        <w:t>)</w:t>
      </w:r>
      <w:r w:rsidR="00AC7833" w:rsidRPr="02E2EE7D">
        <w:t xml:space="preserve">. Integrating the survival and quality of life benefits for early access to ERT in IOGSD II and avoiding the diagnostic </w:t>
      </w:r>
      <w:r w:rsidR="00F858A6">
        <w:t>delay</w:t>
      </w:r>
      <w:r w:rsidR="00AC7833" w:rsidRPr="02E2EE7D">
        <w:t xml:space="preserve"> and early access to ERT in LOGSD II results in the ICERs in the range $</w:t>
      </w:r>
      <w:r w:rsidR="00E025B8" w:rsidRPr="00E025B8">
        <w:rPr>
          <w:b/>
          <w:bCs/>
        </w:rPr>
        <w:t>REDACTED</w:t>
      </w:r>
      <w:r w:rsidR="00AC7833" w:rsidRPr="02E2EE7D">
        <w:t xml:space="preserve"> to $</w:t>
      </w:r>
      <w:r w:rsidR="00E025B8" w:rsidRPr="00E025B8">
        <w:rPr>
          <w:b/>
          <w:bCs/>
        </w:rPr>
        <w:t>REDACTED</w:t>
      </w:r>
      <w:r w:rsidR="00AC7833" w:rsidRPr="02E2EE7D">
        <w:t xml:space="preserve"> per QALY gained. Although the overall survival and </w:t>
      </w:r>
      <w:proofErr w:type="spellStart"/>
      <w:r w:rsidR="00AC7833" w:rsidRPr="02E2EE7D">
        <w:t>VFSi</w:t>
      </w:r>
      <w:proofErr w:type="spellEnd"/>
      <w:r w:rsidR="00AC7833" w:rsidRPr="02E2EE7D">
        <w:t xml:space="preserve"> is improved in IOGSD II cases in NBS arm due to early access to ERT, it would mean longer duration of treatment with </w:t>
      </w:r>
      <w:proofErr w:type="gramStart"/>
      <w:r w:rsidR="00AC7833" w:rsidRPr="02E2EE7D">
        <w:t>ERT</w:t>
      </w:r>
      <w:proofErr w:type="gramEnd"/>
      <w:r w:rsidR="00AC7833" w:rsidRPr="02E2EE7D">
        <w:t xml:space="preserve"> and higher treatment and disease management costs compared with no NBS strategy. </w:t>
      </w:r>
    </w:p>
    <w:p w14:paraId="5FD231E2" w14:textId="7F1A769F" w:rsidR="00AC7833" w:rsidRDefault="00AC7833" w:rsidP="00AC7833">
      <w:r w:rsidRPr="02E2EE7D">
        <w:t>The ICER reduced to likely within the range of $</w:t>
      </w:r>
      <w:r w:rsidR="00E025B8" w:rsidRPr="00E025B8">
        <w:rPr>
          <w:b/>
          <w:bCs/>
        </w:rPr>
        <w:t>REDACTED</w:t>
      </w:r>
      <w:r w:rsidRPr="02E2EE7D">
        <w:t xml:space="preserve"> to $</w:t>
      </w:r>
      <w:r w:rsidR="00E025B8" w:rsidRPr="00E025B8">
        <w:rPr>
          <w:b/>
          <w:bCs/>
        </w:rPr>
        <w:t>REDACTED</w:t>
      </w:r>
      <w:r w:rsidRPr="02E2EE7D">
        <w:t xml:space="preserve"> per QALY gained when the first-tier screening assays were multiplexed in a two-tier screening strategy (‘sharing’ the cost of screening between three disorders MPS I, MPS II and GSD II </w:t>
      </w:r>
      <w:r w:rsidR="006632D3" w:rsidRPr="02E2EE7D">
        <w:t>(</w:t>
      </w:r>
      <w:r w:rsidRPr="02E2EE7D">
        <w:t xml:space="preserve">Step 5 in </w:t>
      </w:r>
      <w:r w:rsidR="006632D3">
        <w:rPr>
          <w:highlight w:val="yellow"/>
        </w:rPr>
        <w:fldChar w:fldCharType="begin"/>
      </w:r>
      <w:r w:rsidR="006632D3">
        <w:rPr>
          <w:highlight w:val="yellow"/>
        </w:rPr>
        <w:instrText xml:space="preserve"> REF _Ref184813961 \h </w:instrText>
      </w:r>
      <w:r w:rsidR="006632D3">
        <w:rPr>
          <w:highlight w:val="yellow"/>
        </w:rPr>
      </w:r>
      <w:r w:rsidR="006632D3">
        <w:rPr>
          <w:highlight w:val="yellow"/>
        </w:rPr>
        <w:fldChar w:fldCharType="separate"/>
      </w:r>
      <w:r w:rsidR="00F05AEC">
        <w:t>Table 9</w:t>
      </w:r>
      <w:r w:rsidR="006632D3">
        <w:rPr>
          <w:highlight w:val="yellow"/>
        </w:rPr>
        <w:fldChar w:fldCharType="end"/>
      </w:r>
      <w:r w:rsidR="006632D3" w:rsidRPr="02E2EE7D">
        <w:t>)</w:t>
      </w:r>
      <w:r w:rsidRPr="02E2EE7D">
        <w:t xml:space="preserve">. </w:t>
      </w:r>
    </w:p>
    <w:p w14:paraId="2BC101E7" w14:textId="1DD08B03" w:rsidR="001F3F40" w:rsidRDefault="00AC7833" w:rsidP="00AC7833">
      <w:r>
        <w:t>The results for this analysis should be interpreted with caution due to the uncertainty associated with limited or uncertain comparative data for the survival and quality of life benefits.</w:t>
      </w:r>
    </w:p>
    <w:p w14:paraId="40091DC8" w14:textId="653F8109" w:rsidR="006632D3" w:rsidRDefault="006632D3" w:rsidP="00ED5CB7">
      <w:pPr>
        <w:pStyle w:val="Caption"/>
        <w:keepLines/>
      </w:pPr>
      <w:bookmarkStart w:id="53" w:name="_Ref184813961"/>
      <w:r>
        <w:t>Table</w:t>
      </w:r>
      <w:r w:rsidR="004A68D4">
        <w:t xml:space="preserve"> 9</w:t>
      </w:r>
      <w:bookmarkEnd w:id="53"/>
      <w:r>
        <w:tab/>
        <w:t xml:space="preserve">Results of exploratory economic evaluation using “upper” and lower” bounds for IO survival estimates for NBS strategy two-tier screening protocol </w:t>
      </w:r>
      <w:r w:rsidRPr="004B7AB5">
        <w:t>(per cohort of 100,000 newborns)</w:t>
      </w:r>
    </w:p>
    <w:tbl>
      <w:tblPr>
        <w:tblStyle w:val="TableGrid"/>
        <w:tblW w:w="0" w:type="auto"/>
        <w:tblLook w:val="04A0" w:firstRow="1" w:lastRow="0" w:firstColumn="1" w:lastColumn="0" w:noHBand="0" w:noVBand="1"/>
      </w:tblPr>
      <w:tblGrid>
        <w:gridCol w:w="2844"/>
        <w:gridCol w:w="2048"/>
        <w:gridCol w:w="2048"/>
        <w:gridCol w:w="2076"/>
      </w:tblGrid>
      <w:tr w:rsidR="006632D3" w:rsidRPr="004A7FDE" w14:paraId="65D4F14D" w14:textId="77777777" w:rsidTr="00B12AFD">
        <w:trPr>
          <w:tblHeader/>
        </w:trPr>
        <w:tc>
          <w:tcPr>
            <w:tcW w:w="2844" w:type="dxa"/>
          </w:tcPr>
          <w:p w14:paraId="38C8686C" w14:textId="77777777" w:rsidR="006632D3" w:rsidRPr="004A7FDE" w:rsidRDefault="006632D3" w:rsidP="00ED5CB7">
            <w:pPr>
              <w:pStyle w:val="Tabletext0"/>
              <w:keepNext/>
              <w:keepLines/>
              <w:rPr>
                <w:b/>
                <w:bCs/>
              </w:rPr>
            </w:pPr>
          </w:p>
        </w:tc>
        <w:tc>
          <w:tcPr>
            <w:tcW w:w="2048" w:type="dxa"/>
          </w:tcPr>
          <w:p w14:paraId="7B5AC276" w14:textId="77777777" w:rsidR="006632D3" w:rsidRPr="004A7FDE" w:rsidRDefault="006632D3" w:rsidP="00ED5CB7">
            <w:pPr>
              <w:pStyle w:val="Tabletext0"/>
              <w:keepNext/>
              <w:keepLines/>
              <w:rPr>
                <w:b/>
                <w:bCs/>
              </w:rPr>
            </w:pPr>
            <w:r w:rsidRPr="004A7FDE">
              <w:rPr>
                <w:b/>
                <w:bCs/>
              </w:rPr>
              <w:t>Universal NBS</w:t>
            </w:r>
          </w:p>
        </w:tc>
        <w:tc>
          <w:tcPr>
            <w:tcW w:w="2048" w:type="dxa"/>
          </w:tcPr>
          <w:p w14:paraId="63E310CA" w14:textId="77777777" w:rsidR="006632D3" w:rsidRPr="004A7FDE" w:rsidRDefault="006632D3" w:rsidP="00ED5CB7">
            <w:pPr>
              <w:pStyle w:val="Tabletext0"/>
              <w:keepNext/>
              <w:keepLines/>
              <w:rPr>
                <w:b/>
                <w:bCs/>
              </w:rPr>
            </w:pPr>
            <w:r w:rsidRPr="004A7FDE">
              <w:rPr>
                <w:b/>
                <w:bCs/>
              </w:rPr>
              <w:t>No universal NBS</w:t>
            </w:r>
          </w:p>
        </w:tc>
        <w:tc>
          <w:tcPr>
            <w:tcW w:w="2076" w:type="dxa"/>
          </w:tcPr>
          <w:p w14:paraId="19081331" w14:textId="77777777" w:rsidR="006632D3" w:rsidRPr="004A7FDE" w:rsidRDefault="006632D3" w:rsidP="00ED5CB7">
            <w:pPr>
              <w:pStyle w:val="Tabletext0"/>
              <w:keepNext/>
              <w:keepLines/>
              <w:rPr>
                <w:b/>
                <w:bCs/>
              </w:rPr>
            </w:pPr>
            <w:r w:rsidRPr="004A7FDE">
              <w:rPr>
                <w:b/>
                <w:bCs/>
              </w:rPr>
              <w:t>Increment</w:t>
            </w:r>
          </w:p>
        </w:tc>
      </w:tr>
      <w:tr w:rsidR="006632D3" w:rsidRPr="000F6B35" w14:paraId="0D4AD10B" w14:textId="77777777" w:rsidTr="00175863">
        <w:tc>
          <w:tcPr>
            <w:tcW w:w="9016" w:type="dxa"/>
            <w:gridSpan w:val="4"/>
          </w:tcPr>
          <w:p w14:paraId="353A0126" w14:textId="77777777" w:rsidR="006632D3" w:rsidRPr="005A3337" w:rsidRDefault="006632D3" w:rsidP="00ED5CB7">
            <w:pPr>
              <w:pStyle w:val="Tabletext0"/>
              <w:keepNext/>
              <w:keepLines/>
              <w:jc w:val="left"/>
              <w:rPr>
                <w:b/>
                <w:bCs/>
              </w:rPr>
            </w:pPr>
            <w:r w:rsidRPr="02E2EE7D">
              <w:rPr>
                <w:b/>
                <w:bCs/>
              </w:rPr>
              <w:t xml:space="preserve">Assuming LOWER BOUND of effectiveness of early access to ERT following NBS </w:t>
            </w:r>
          </w:p>
        </w:tc>
      </w:tr>
      <w:tr w:rsidR="006632D3" w:rsidRPr="000F6B35" w14:paraId="2EDDBBDE" w14:textId="77777777" w:rsidTr="00175863">
        <w:tc>
          <w:tcPr>
            <w:tcW w:w="9016" w:type="dxa"/>
            <w:gridSpan w:val="4"/>
          </w:tcPr>
          <w:p w14:paraId="0A425C5B" w14:textId="77777777" w:rsidR="006632D3" w:rsidRDefault="006632D3" w:rsidP="00ED5CB7">
            <w:pPr>
              <w:pStyle w:val="Tabletext0"/>
              <w:keepNext/>
              <w:keepLines/>
              <w:jc w:val="left"/>
            </w:pPr>
            <w:r w:rsidRPr="02E2EE7D">
              <w:rPr>
                <w:b/>
                <w:bCs/>
              </w:rPr>
              <w:t xml:space="preserve">Step 3: </w:t>
            </w:r>
            <w:r w:rsidRPr="02E2EE7D">
              <w:t xml:space="preserve">Extended base case analysis to integrate </w:t>
            </w:r>
            <w:proofErr w:type="spellStart"/>
            <w:r w:rsidRPr="02E2EE7D">
              <w:t>VFSi</w:t>
            </w:r>
            <w:proofErr w:type="spellEnd"/>
            <w:r w:rsidRPr="02E2EE7D">
              <w:t xml:space="preserve"> and OS long-term survival rates for early vs late ERT in IOGSD II (ERT, disease management costed accordingly), and general population survival for all other groups, modelled over a </w:t>
            </w:r>
            <w:proofErr w:type="gramStart"/>
            <w:r w:rsidRPr="02E2EE7D">
              <w:t>50 year</w:t>
            </w:r>
            <w:proofErr w:type="gramEnd"/>
            <w:r w:rsidRPr="02E2EE7D">
              <w:t xml:space="preserve"> time horizon.</w:t>
            </w:r>
          </w:p>
        </w:tc>
      </w:tr>
      <w:tr w:rsidR="00B12AFD" w:rsidRPr="000F6B35" w14:paraId="72166729" w14:textId="77777777" w:rsidTr="007229D6">
        <w:tc>
          <w:tcPr>
            <w:tcW w:w="2844" w:type="dxa"/>
          </w:tcPr>
          <w:p w14:paraId="0B7CFEF4" w14:textId="77777777" w:rsidR="00B12AFD" w:rsidRPr="000F6B35" w:rsidRDefault="00B12AFD" w:rsidP="00B12AFD">
            <w:pPr>
              <w:pStyle w:val="Tabletext0"/>
              <w:keepNext/>
              <w:keepLines/>
              <w:jc w:val="left"/>
            </w:pPr>
            <w:r>
              <w:t>Total costs (average, per 100,000 persons)</w:t>
            </w:r>
            <w:r w:rsidDel="00186C0F">
              <w:t xml:space="preserve"> </w:t>
            </w:r>
            <w:r>
              <w:t>(discounted)</w:t>
            </w:r>
          </w:p>
        </w:tc>
        <w:tc>
          <w:tcPr>
            <w:tcW w:w="2048" w:type="dxa"/>
          </w:tcPr>
          <w:p w14:paraId="554D9F2C" w14:textId="6EA19C69" w:rsidR="00B12AFD" w:rsidRPr="000F6B35" w:rsidRDefault="00B12AFD" w:rsidP="00B12AFD">
            <w:pPr>
              <w:pStyle w:val="Tabletext0"/>
              <w:keepNext/>
              <w:keepLines/>
              <w:jc w:val="right"/>
            </w:pPr>
            <w:r w:rsidRPr="005F55AB">
              <w:rPr>
                <w:rFonts w:cs="Calibri"/>
                <w:color w:val="000000"/>
              </w:rPr>
              <w:t>$</w:t>
            </w:r>
            <w:r w:rsidRPr="005F55AB">
              <w:rPr>
                <w:rFonts w:cs="Calibri"/>
                <w:b/>
                <w:bCs/>
                <w:color w:val="000000"/>
              </w:rPr>
              <w:t>Redacted</w:t>
            </w:r>
          </w:p>
        </w:tc>
        <w:tc>
          <w:tcPr>
            <w:tcW w:w="2048" w:type="dxa"/>
          </w:tcPr>
          <w:p w14:paraId="1DE02E3B" w14:textId="469C5172" w:rsidR="00B12AFD" w:rsidRPr="000F6B35" w:rsidRDefault="00B12AFD" w:rsidP="00B12AFD">
            <w:pPr>
              <w:pStyle w:val="Tabletext0"/>
              <w:keepNext/>
              <w:keepLines/>
              <w:jc w:val="right"/>
            </w:pPr>
            <w:r w:rsidRPr="005F55AB">
              <w:rPr>
                <w:rFonts w:cs="Calibri"/>
                <w:color w:val="000000"/>
              </w:rPr>
              <w:t>$</w:t>
            </w:r>
            <w:r w:rsidRPr="005F55AB">
              <w:rPr>
                <w:rFonts w:cs="Calibri"/>
                <w:b/>
                <w:bCs/>
                <w:color w:val="000000"/>
              </w:rPr>
              <w:t>Redacted</w:t>
            </w:r>
          </w:p>
        </w:tc>
        <w:tc>
          <w:tcPr>
            <w:tcW w:w="2076" w:type="dxa"/>
          </w:tcPr>
          <w:p w14:paraId="3C5A5FB5" w14:textId="2D4F62EB" w:rsidR="00B12AFD" w:rsidRPr="000F6B35" w:rsidRDefault="00B12AFD" w:rsidP="00B12AFD">
            <w:pPr>
              <w:pStyle w:val="Tabletext0"/>
              <w:keepNext/>
              <w:keepLines/>
              <w:jc w:val="right"/>
            </w:pPr>
            <w:r w:rsidRPr="005F55AB">
              <w:rPr>
                <w:rFonts w:cs="Calibri"/>
                <w:color w:val="000000"/>
              </w:rPr>
              <w:t>$</w:t>
            </w:r>
            <w:r w:rsidRPr="005F55AB">
              <w:rPr>
                <w:rFonts w:cs="Calibri"/>
                <w:b/>
                <w:bCs/>
                <w:color w:val="000000"/>
              </w:rPr>
              <w:t>Redacted</w:t>
            </w:r>
          </w:p>
        </w:tc>
      </w:tr>
      <w:tr w:rsidR="006632D3" w:rsidRPr="000F6B35" w14:paraId="64BE2E7B" w14:textId="77777777" w:rsidTr="00B12AFD">
        <w:tc>
          <w:tcPr>
            <w:tcW w:w="2844" w:type="dxa"/>
            <w:tcBorders>
              <w:bottom w:val="single" w:sz="4" w:space="0" w:color="auto"/>
            </w:tcBorders>
          </w:tcPr>
          <w:p w14:paraId="608089E0" w14:textId="77777777" w:rsidR="006632D3" w:rsidRPr="000F6B35" w:rsidRDefault="006632D3" w:rsidP="00ED5CB7">
            <w:pPr>
              <w:pStyle w:val="Tabletext0"/>
              <w:keepNext/>
              <w:keepLines/>
              <w:jc w:val="left"/>
            </w:pPr>
            <w:r>
              <w:t>LYs (discounted)</w:t>
            </w:r>
          </w:p>
        </w:tc>
        <w:tc>
          <w:tcPr>
            <w:tcW w:w="2048" w:type="dxa"/>
            <w:tcBorders>
              <w:bottom w:val="single" w:sz="4" w:space="0" w:color="auto"/>
            </w:tcBorders>
            <w:vAlign w:val="bottom"/>
          </w:tcPr>
          <w:p w14:paraId="3E364B7D" w14:textId="77777777" w:rsidR="006632D3" w:rsidRPr="000F6B35" w:rsidRDefault="006632D3" w:rsidP="00ED5CB7">
            <w:pPr>
              <w:pStyle w:val="Tabletext0"/>
              <w:keepNext/>
              <w:keepLines/>
              <w:jc w:val="right"/>
            </w:pPr>
            <w:r>
              <w:rPr>
                <w:rFonts w:cs="Calibri"/>
                <w:color w:val="000000"/>
              </w:rPr>
              <w:t>1,904,189.51</w:t>
            </w:r>
          </w:p>
        </w:tc>
        <w:tc>
          <w:tcPr>
            <w:tcW w:w="2048" w:type="dxa"/>
            <w:tcBorders>
              <w:bottom w:val="single" w:sz="4" w:space="0" w:color="auto"/>
            </w:tcBorders>
            <w:vAlign w:val="bottom"/>
          </w:tcPr>
          <w:p w14:paraId="43FAD094" w14:textId="77777777" w:rsidR="006632D3" w:rsidRPr="000F6B35" w:rsidRDefault="006632D3" w:rsidP="00ED5CB7">
            <w:pPr>
              <w:pStyle w:val="Tabletext0"/>
              <w:keepNext/>
              <w:keepLines/>
              <w:jc w:val="right"/>
            </w:pPr>
            <w:r>
              <w:rPr>
                <w:rFonts w:cs="Calibri"/>
                <w:color w:val="000000"/>
              </w:rPr>
              <w:t>1,904,187.56</w:t>
            </w:r>
          </w:p>
        </w:tc>
        <w:tc>
          <w:tcPr>
            <w:tcW w:w="2076" w:type="dxa"/>
            <w:vAlign w:val="bottom"/>
          </w:tcPr>
          <w:p w14:paraId="08209343" w14:textId="77777777" w:rsidR="006632D3" w:rsidRPr="000F6B35" w:rsidRDefault="006632D3" w:rsidP="00ED5CB7">
            <w:pPr>
              <w:keepNext/>
              <w:keepLines/>
              <w:spacing w:before="0"/>
              <w:jc w:val="right"/>
            </w:pPr>
            <w:r>
              <w:rPr>
                <w:rFonts w:ascii="Arial Narrow" w:hAnsi="Arial Narrow" w:cs="Calibri"/>
                <w:color w:val="000000"/>
                <w:sz w:val="20"/>
                <w:szCs w:val="20"/>
              </w:rPr>
              <w:t>1.9422</w:t>
            </w:r>
          </w:p>
        </w:tc>
      </w:tr>
      <w:tr w:rsidR="006632D3" w:rsidRPr="000F6B35" w14:paraId="3392F114" w14:textId="77777777" w:rsidTr="00B12AFD">
        <w:tc>
          <w:tcPr>
            <w:tcW w:w="2844" w:type="dxa"/>
            <w:tcBorders>
              <w:bottom w:val="single" w:sz="4" w:space="0" w:color="auto"/>
              <w:right w:val="nil"/>
            </w:tcBorders>
          </w:tcPr>
          <w:p w14:paraId="6F0A06E9" w14:textId="77777777" w:rsidR="006632D3" w:rsidRPr="000F6B35" w:rsidRDefault="006632D3" w:rsidP="00ED5CB7">
            <w:pPr>
              <w:pStyle w:val="Tabletext0"/>
              <w:keepNext/>
              <w:keepLines/>
              <w:jc w:val="left"/>
            </w:pPr>
            <w:r>
              <w:t>ICER ($/LY gained)</w:t>
            </w:r>
          </w:p>
        </w:tc>
        <w:tc>
          <w:tcPr>
            <w:tcW w:w="2048" w:type="dxa"/>
            <w:tcBorders>
              <w:left w:val="nil"/>
              <w:bottom w:val="single" w:sz="4" w:space="0" w:color="auto"/>
              <w:right w:val="nil"/>
            </w:tcBorders>
            <w:vAlign w:val="bottom"/>
          </w:tcPr>
          <w:p w14:paraId="6EB81DDD" w14:textId="77777777" w:rsidR="006632D3" w:rsidRPr="000F6B35" w:rsidRDefault="006632D3" w:rsidP="00ED5CB7">
            <w:pPr>
              <w:pStyle w:val="Tabletext0"/>
              <w:keepNext/>
              <w:keepLines/>
              <w:jc w:val="right"/>
            </w:pPr>
          </w:p>
        </w:tc>
        <w:tc>
          <w:tcPr>
            <w:tcW w:w="2048" w:type="dxa"/>
            <w:tcBorders>
              <w:left w:val="nil"/>
              <w:bottom w:val="single" w:sz="4" w:space="0" w:color="auto"/>
            </w:tcBorders>
            <w:vAlign w:val="bottom"/>
          </w:tcPr>
          <w:p w14:paraId="285EA5FE" w14:textId="77777777" w:rsidR="006632D3" w:rsidRPr="000F6B35" w:rsidRDefault="006632D3" w:rsidP="00ED5CB7">
            <w:pPr>
              <w:pStyle w:val="Tabletext0"/>
              <w:keepNext/>
              <w:keepLines/>
              <w:jc w:val="right"/>
            </w:pPr>
          </w:p>
        </w:tc>
        <w:tc>
          <w:tcPr>
            <w:tcW w:w="2076" w:type="dxa"/>
            <w:vAlign w:val="bottom"/>
          </w:tcPr>
          <w:p w14:paraId="5212BABE" w14:textId="66E234C6" w:rsidR="006632D3" w:rsidRPr="000F6B35" w:rsidRDefault="00B12AFD" w:rsidP="00ED5CB7">
            <w:pPr>
              <w:pStyle w:val="Tabletext0"/>
              <w:keepNext/>
              <w:keepLines/>
              <w:jc w:val="right"/>
            </w:pPr>
            <w:r w:rsidRPr="009B60A4">
              <w:rPr>
                <w:rFonts w:cs="Calibri"/>
                <w:color w:val="000000"/>
              </w:rPr>
              <w:t>$</w:t>
            </w:r>
            <w:r>
              <w:rPr>
                <w:rFonts w:cs="Calibri"/>
                <w:b/>
                <w:bCs/>
                <w:color w:val="000000"/>
              </w:rPr>
              <w:t>Redacted</w:t>
            </w:r>
          </w:p>
        </w:tc>
      </w:tr>
      <w:tr w:rsidR="006632D3" w:rsidRPr="000F6B35" w14:paraId="0FD9D393" w14:textId="77777777" w:rsidTr="00175863">
        <w:tc>
          <w:tcPr>
            <w:tcW w:w="9016" w:type="dxa"/>
            <w:gridSpan w:val="4"/>
          </w:tcPr>
          <w:p w14:paraId="27374EE1" w14:textId="77777777" w:rsidR="006632D3" w:rsidRPr="005D5168" w:rsidRDefault="006632D3" w:rsidP="00ED5CB7">
            <w:pPr>
              <w:keepNext/>
              <w:keepLines/>
              <w:spacing w:before="0"/>
              <w:rPr>
                <w:rFonts w:ascii="Arial Narrow" w:hAnsi="Arial Narrow"/>
                <w:b/>
                <w:bCs/>
                <w:sz w:val="20"/>
                <w:szCs w:val="20"/>
              </w:rPr>
            </w:pPr>
            <w:r w:rsidRPr="005D5168">
              <w:rPr>
                <w:rFonts w:ascii="Arial Narrow" w:hAnsi="Arial Narrow"/>
                <w:b/>
                <w:bCs/>
                <w:sz w:val="20"/>
                <w:szCs w:val="20"/>
              </w:rPr>
              <w:t xml:space="preserve">Step </w:t>
            </w:r>
            <w:r>
              <w:rPr>
                <w:rFonts w:ascii="Arial Narrow" w:hAnsi="Arial Narrow"/>
                <w:b/>
                <w:bCs/>
                <w:sz w:val="20"/>
                <w:szCs w:val="20"/>
              </w:rPr>
              <w:t>4</w:t>
            </w:r>
            <w:r w:rsidRPr="005D5168">
              <w:rPr>
                <w:rFonts w:ascii="Arial Narrow" w:hAnsi="Arial Narrow"/>
                <w:sz w:val="20"/>
                <w:szCs w:val="20"/>
              </w:rPr>
              <w:t xml:space="preserve">: </w:t>
            </w:r>
            <w:r>
              <w:rPr>
                <w:rFonts w:ascii="Arial Narrow" w:hAnsi="Arial Narrow"/>
                <w:sz w:val="20"/>
                <w:szCs w:val="20"/>
              </w:rPr>
              <w:t xml:space="preserve">Utility values applied to different health states </w:t>
            </w:r>
          </w:p>
        </w:tc>
      </w:tr>
      <w:tr w:rsidR="00B12AFD" w:rsidRPr="000F6B35" w14:paraId="08184101" w14:textId="77777777" w:rsidTr="007229D6">
        <w:tc>
          <w:tcPr>
            <w:tcW w:w="2844" w:type="dxa"/>
          </w:tcPr>
          <w:p w14:paraId="32966CF8" w14:textId="77777777" w:rsidR="00B12AFD" w:rsidRPr="000F6B35" w:rsidRDefault="00B12AFD" w:rsidP="00B12AFD">
            <w:pPr>
              <w:pStyle w:val="Tabletext0"/>
              <w:keepNext/>
              <w:keepLines/>
              <w:jc w:val="left"/>
            </w:pPr>
            <w:r>
              <w:t>Total costs (average, per 100,000 persons)</w:t>
            </w:r>
            <w:r w:rsidDel="00186C0F">
              <w:t xml:space="preserve"> </w:t>
            </w:r>
            <w:r>
              <w:t>(discounted)</w:t>
            </w:r>
          </w:p>
        </w:tc>
        <w:tc>
          <w:tcPr>
            <w:tcW w:w="2048" w:type="dxa"/>
          </w:tcPr>
          <w:p w14:paraId="4FDF3345" w14:textId="62C2FDE7" w:rsidR="00B12AFD" w:rsidRPr="000F6B35" w:rsidRDefault="00B12AFD" w:rsidP="00B12AFD">
            <w:pPr>
              <w:pStyle w:val="Tabletext0"/>
              <w:keepNext/>
              <w:keepLines/>
              <w:jc w:val="right"/>
            </w:pPr>
            <w:r w:rsidRPr="009B74FB">
              <w:rPr>
                <w:rFonts w:cs="Calibri"/>
                <w:color w:val="000000"/>
              </w:rPr>
              <w:t>$</w:t>
            </w:r>
            <w:r w:rsidRPr="009B74FB">
              <w:rPr>
                <w:rFonts w:cs="Calibri"/>
                <w:b/>
                <w:bCs/>
                <w:color w:val="000000"/>
              </w:rPr>
              <w:t>Redacted</w:t>
            </w:r>
          </w:p>
        </w:tc>
        <w:tc>
          <w:tcPr>
            <w:tcW w:w="2048" w:type="dxa"/>
          </w:tcPr>
          <w:p w14:paraId="40BEBB5A" w14:textId="4B2A362E" w:rsidR="00B12AFD" w:rsidRPr="000F6B35" w:rsidRDefault="00B12AFD" w:rsidP="00B12AFD">
            <w:pPr>
              <w:pStyle w:val="Tabletext0"/>
              <w:keepNext/>
              <w:keepLines/>
              <w:jc w:val="right"/>
            </w:pPr>
            <w:r w:rsidRPr="009B74FB">
              <w:rPr>
                <w:rFonts w:cs="Calibri"/>
                <w:color w:val="000000"/>
              </w:rPr>
              <w:t>$</w:t>
            </w:r>
            <w:r w:rsidRPr="009B74FB">
              <w:rPr>
                <w:rFonts w:cs="Calibri"/>
                <w:b/>
                <w:bCs/>
                <w:color w:val="000000"/>
              </w:rPr>
              <w:t>Redacted</w:t>
            </w:r>
          </w:p>
        </w:tc>
        <w:tc>
          <w:tcPr>
            <w:tcW w:w="2076" w:type="dxa"/>
          </w:tcPr>
          <w:p w14:paraId="70264B00" w14:textId="59C34507" w:rsidR="00B12AFD" w:rsidRPr="000F6B35" w:rsidRDefault="00B12AFD" w:rsidP="00B12AFD">
            <w:pPr>
              <w:pStyle w:val="Tabletext0"/>
              <w:keepNext/>
              <w:keepLines/>
              <w:jc w:val="right"/>
            </w:pPr>
            <w:r w:rsidRPr="009B74FB">
              <w:rPr>
                <w:rFonts w:cs="Calibri"/>
                <w:color w:val="000000"/>
              </w:rPr>
              <w:t>$</w:t>
            </w:r>
            <w:r w:rsidRPr="009B74FB">
              <w:rPr>
                <w:rFonts w:cs="Calibri"/>
                <w:b/>
                <w:bCs/>
                <w:color w:val="000000"/>
              </w:rPr>
              <w:t>Redacted</w:t>
            </w:r>
          </w:p>
        </w:tc>
      </w:tr>
      <w:tr w:rsidR="006632D3" w:rsidRPr="000F6B35" w14:paraId="23C7C545" w14:textId="77777777" w:rsidTr="00B12AFD">
        <w:tc>
          <w:tcPr>
            <w:tcW w:w="2844" w:type="dxa"/>
            <w:tcBorders>
              <w:bottom w:val="single" w:sz="4" w:space="0" w:color="auto"/>
            </w:tcBorders>
          </w:tcPr>
          <w:p w14:paraId="25827C89" w14:textId="77777777" w:rsidR="006632D3" w:rsidRPr="000F6B35" w:rsidRDefault="006632D3" w:rsidP="00ED5CB7">
            <w:pPr>
              <w:pStyle w:val="Tabletext0"/>
              <w:keepNext/>
              <w:keepLines/>
              <w:jc w:val="left"/>
            </w:pPr>
            <w:r>
              <w:t>QALYs (discounted)</w:t>
            </w:r>
          </w:p>
        </w:tc>
        <w:tc>
          <w:tcPr>
            <w:tcW w:w="2048" w:type="dxa"/>
            <w:tcBorders>
              <w:bottom w:val="single" w:sz="4" w:space="0" w:color="auto"/>
            </w:tcBorders>
            <w:vAlign w:val="bottom"/>
          </w:tcPr>
          <w:p w14:paraId="19F05DF4" w14:textId="77777777" w:rsidR="006632D3" w:rsidRPr="000F6B35" w:rsidRDefault="006632D3" w:rsidP="00ED5CB7">
            <w:pPr>
              <w:pStyle w:val="Tabletext0"/>
              <w:keepNext/>
              <w:keepLines/>
              <w:jc w:val="right"/>
            </w:pPr>
            <w:r>
              <w:rPr>
                <w:rFonts w:cs="Calibri"/>
                <w:color w:val="000000"/>
              </w:rPr>
              <w:t>1,633,752.41</w:t>
            </w:r>
          </w:p>
        </w:tc>
        <w:tc>
          <w:tcPr>
            <w:tcW w:w="2048" w:type="dxa"/>
            <w:tcBorders>
              <w:bottom w:val="single" w:sz="4" w:space="0" w:color="auto"/>
            </w:tcBorders>
            <w:vAlign w:val="bottom"/>
          </w:tcPr>
          <w:p w14:paraId="35510660" w14:textId="77777777" w:rsidR="006632D3" w:rsidRPr="000F6B35" w:rsidRDefault="006632D3" w:rsidP="00ED5CB7">
            <w:pPr>
              <w:pStyle w:val="Tabletext0"/>
              <w:keepNext/>
              <w:keepLines/>
              <w:jc w:val="right"/>
            </w:pPr>
            <w:r>
              <w:rPr>
                <w:rFonts w:cs="Calibri"/>
                <w:color w:val="000000"/>
              </w:rPr>
              <w:t>1,633,750.30</w:t>
            </w:r>
          </w:p>
        </w:tc>
        <w:tc>
          <w:tcPr>
            <w:tcW w:w="2076" w:type="dxa"/>
            <w:vAlign w:val="bottom"/>
          </w:tcPr>
          <w:p w14:paraId="006E5537" w14:textId="77777777" w:rsidR="006632D3" w:rsidRPr="000F6B35" w:rsidRDefault="006632D3" w:rsidP="00ED5CB7">
            <w:pPr>
              <w:pStyle w:val="Tabletext0"/>
              <w:keepNext/>
              <w:keepLines/>
              <w:jc w:val="right"/>
            </w:pPr>
            <w:r>
              <w:rPr>
                <w:rFonts w:cs="Calibri"/>
                <w:color w:val="000000"/>
              </w:rPr>
              <w:t>2.1131</w:t>
            </w:r>
          </w:p>
        </w:tc>
      </w:tr>
      <w:tr w:rsidR="006632D3" w:rsidRPr="000F6B35" w14:paraId="278503DC" w14:textId="77777777" w:rsidTr="00B12AFD">
        <w:tc>
          <w:tcPr>
            <w:tcW w:w="2844" w:type="dxa"/>
            <w:tcBorders>
              <w:bottom w:val="single" w:sz="4" w:space="0" w:color="auto"/>
              <w:right w:val="nil"/>
            </w:tcBorders>
          </w:tcPr>
          <w:p w14:paraId="41E7BAF0" w14:textId="77777777" w:rsidR="006632D3" w:rsidRPr="000F6B35" w:rsidRDefault="006632D3" w:rsidP="00ED5CB7">
            <w:pPr>
              <w:pStyle w:val="Tabletext0"/>
              <w:keepNext/>
              <w:keepLines/>
              <w:jc w:val="left"/>
            </w:pPr>
            <w:r>
              <w:t>ICER ($/QALY gained)</w:t>
            </w:r>
          </w:p>
        </w:tc>
        <w:tc>
          <w:tcPr>
            <w:tcW w:w="2048" w:type="dxa"/>
            <w:tcBorders>
              <w:left w:val="nil"/>
              <w:bottom w:val="single" w:sz="4" w:space="0" w:color="auto"/>
              <w:right w:val="nil"/>
            </w:tcBorders>
            <w:vAlign w:val="bottom"/>
          </w:tcPr>
          <w:p w14:paraId="71FB6A7B" w14:textId="77777777" w:rsidR="006632D3" w:rsidRPr="000F6B35" w:rsidRDefault="006632D3" w:rsidP="00ED5CB7">
            <w:pPr>
              <w:pStyle w:val="Tabletext0"/>
              <w:keepNext/>
              <w:keepLines/>
              <w:jc w:val="right"/>
            </w:pPr>
            <w:r>
              <w:rPr>
                <w:rFonts w:cs="Calibri"/>
                <w:color w:val="000000"/>
              </w:rPr>
              <w:t> </w:t>
            </w:r>
          </w:p>
        </w:tc>
        <w:tc>
          <w:tcPr>
            <w:tcW w:w="2048" w:type="dxa"/>
            <w:tcBorders>
              <w:left w:val="nil"/>
              <w:bottom w:val="single" w:sz="4" w:space="0" w:color="auto"/>
            </w:tcBorders>
            <w:vAlign w:val="bottom"/>
          </w:tcPr>
          <w:p w14:paraId="5530D862" w14:textId="77777777" w:rsidR="006632D3" w:rsidRPr="000F6B35" w:rsidRDefault="006632D3" w:rsidP="00ED5CB7">
            <w:pPr>
              <w:pStyle w:val="Tabletext0"/>
              <w:keepNext/>
              <w:keepLines/>
              <w:jc w:val="right"/>
            </w:pPr>
            <w:r>
              <w:rPr>
                <w:rFonts w:cs="Calibri"/>
                <w:color w:val="000000"/>
              </w:rPr>
              <w:t> </w:t>
            </w:r>
          </w:p>
        </w:tc>
        <w:tc>
          <w:tcPr>
            <w:tcW w:w="2076" w:type="dxa"/>
            <w:vAlign w:val="bottom"/>
          </w:tcPr>
          <w:p w14:paraId="4DEA106D" w14:textId="2173DAE9" w:rsidR="006632D3" w:rsidRPr="000F6B35" w:rsidRDefault="00B12AFD" w:rsidP="00ED5CB7">
            <w:pPr>
              <w:pStyle w:val="Tabletext0"/>
              <w:keepNext/>
              <w:keepLines/>
              <w:jc w:val="right"/>
            </w:pPr>
            <w:r w:rsidRPr="009B60A4">
              <w:rPr>
                <w:rFonts w:cs="Calibri"/>
                <w:color w:val="000000"/>
              </w:rPr>
              <w:t>$</w:t>
            </w:r>
            <w:r>
              <w:rPr>
                <w:rFonts w:cs="Calibri"/>
                <w:b/>
                <w:bCs/>
                <w:color w:val="000000"/>
              </w:rPr>
              <w:t>Redacted</w:t>
            </w:r>
          </w:p>
        </w:tc>
      </w:tr>
      <w:tr w:rsidR="006632D3" w:rsidRPr="000F6B35" w14:paraId="3CA1335C" w14:textId="77777777" w:rsidTr="00175863">
        <w:tc>
          <w:tcPr>
            <w:tcW w:w="9016" w:type="dxa"/>
            <w:gridSpan w:val="4"/>
          </w:tcPr>
          <w:p w14:paraId="34F1D5BB" w14:textId="77777777" w:rsidR="006632D3" w:rsidRPr="005D5168" w:rsidRDefault="006632D3" w:rsidP="00ED5CB7">
            <w:pPr>
              <w:keepNext/>
              <w:keepLines/>
              <w:spacing w:before="0"/>
              <w:rPr>
                <w:rFonts w:ascii="Arial Narrow" w:hAnsi="Arial Narrow"/>
                <w:b/>
                <w:bCs/>
                <w:sz w:val="20"/>
                <w:szCs w:val="20"/>
              </w:rPr>
            </w:pPr>
            <w:r w:rsidRPr="005D5168">
              <w:rPr>
                <w:rFonts w:ascii="Arial Narrow" w:hAnsi="Arial Narrow"/>
                <w:b/>
                <w:bCs/>
                <w:sz w:val="20"/>
                <w:szCs w:val="20"/>
              </w:rPr>
              <w:t xml:space="preserve">Step </w:t>
            </w:r>
            <w:r>
              <w:rPr>
                <w:rFonts w:ascii="Arial Narrow" w:hAnsi="Arial Narrow"/>
                <w:b/>
                <w:bCs/>
                <w:sz w:val="20"/>
                <w:szCs w:val="20"/>
              </w:rPr>
              <w:t>5</w:t>
            </w:r>
            <w:r w:rsidRPr="005D5168">
              <w:rPr>
                <w:rFonts w:ascii="Arial Narrow" w:hAnsi="Arial Narrow"/>
                <w:sz w:val="20"/>
                <w:szCs w:val="20"/>
              </w:rPr>
              <w:t xml:space="preserve">: </w:t>
            </w:r>
            <w:r w:rsidRPr="00A15EA4">
              <w:rPr>
                <w:rFonts w:ascii="Arial Narrow" w:hAnsi="Arial Narrow"/>
                <w:sz w:val="20"/>
                <w:szCs w:val="20"/>
              </w:rPr>
              <w:t xml:space="preserve">Multiplexed first-tier screening for MPS I, MPS II and GSD II) </w:t>
            </w:r>
            <w:r w:rsidRPr="003C55B0">
              <w:rPr>
                <w:rFonts w:ascii="Arial Narrow" w:hAnsi="Arial Narrow"/>
                <w:sz w:val="20"/>
                <w:szCs w:val="20"/>
                <w:vertAlign w:val="superscript"/>
              </w:rPr>
              <w:t>a</w:t>
            </w:r>
          </w:p>
        </w:tc>
      </w:tr>
      <w:tr w:rsidR="00B12AFD" w:rsidRPr="000F6B35" w14:paraId="17498C0F" w14:textId="77777777" w:rsidTr="007229D6">
        <w:tc>
          <w:tcPr>
            <w:tcW w:w="2844" w:type="dxa"/>
          </w:tcPr>
          <w:p w14:paraId="0F3C34C1" w14:textId="77777777" w:rsidR="00B12AFD" w:rsidRPr="000F6B35" w:rsidRDefault="00B12AFD" w:rsidP="00B12AFD">
            <w:pPr>
              <w:pStyle w:val="Tabletext0"/>
              <w:keepNext/>
              <w:keepLines/>
              <w:jc w:val="left"/>
            </w:pPr>
            <w:r>
              <w:t>Total costs (average, per 100,000 persons)</w:t>
            </w:r>
            <w:r w:rsidDel="00186C0F">
              <w:t xml:space="preserve"> </w:t>
            </w:r>
            <w:r>
              <w:t>(discounted)</w:t>
            </w:r>
          </w:p>
        </w:tc>
        <w:tc>
          <w:tcPr>
            <w:tcW w:w="2048" w:type="dxa"/>
          </w:tcPr>
          <w:p w14:paraId="13C08BE9" w14:textId="004C74D5" w:rsidR="00B12AFD" w:rsidRPr="000F6B35" w:rsidRDefault="00B12AFD" w:rsidP="00B12AFD">
            <w:pPr>
              <w:pStyle w:val="Tabletext0"/>
              <w:keepNext/>
              <w:keepLines/>
              <w:jc w:val="right"/>
            </w:pPr>
            <w:r w:rsidRPr="00AA7862">
              <w:rPr>
                <w:rFonts w:cs="Calibri"/>
                <w:color w:val="000000"/>
              </w:rPr>
              <w:t>$</w:t>
            </w:r>
            <w:r w:rsidRPr="00AA7862">
              <w:rPr>
                <w:rFonts w:cs="Calibri"/>
                <w:b/>
                <w:bCs/>
                <w:color w:val="000000"/>
              </w:rPr>
              <w:t>Redacted</w:t>
            </w:r>
          </w:p>
        </w:tc>
        <w:tc>
          <w:tcPr>
            <w:tcW w:w="2048" w:type="dxa"/>
          </w:tcPr>
          <w:p w14:paraId="5CC41B2C" w14:textId="533D2056" w:rsidR="00B12AFD" w:rsidRPr="000F6B35" w:rsidRDefault="00B12AFD" w:rsidP="00B12AFD">
            <w:pPr>
              <w:pStyle w:val="Tabletext0"/>
              <w:keepNext/>
              <w:keepLines/>
              <w:jc w:val="right"/>
            </w:pPr>
            <w:r w:rsidRPr="00AA7862">
              <w:rPr>
                <w:rFonts w:cs="Calibri"/>
                <w:color w:val="000000"/>
              </w:rPr>
              <w:t>$</w:t>
            </w:r>
            <w:r w:rsidRPr="00AA7862">
              <w:rPr>
                <w:rFonts w:cs="Calibri"/>
                <w:b/>
                <w:bCs/>
                <w:color w:val="000000"/>
              </w:rPr>
              <w:t>Redacted</w:t>
            </w:r>
          </w:p>
        </w:tc>
        <w:tc>
          <w:tcPr>
            <w:tcW w:w="2076" w:type="dxa"/>
          </w:tcPr>
          <w:p w14:paraId="6A53434B" w14:textId="20BECC3C" w:rsidR="00B12AFD" w:rsidRPr="000F6B35" w:rsidRDefault="00B12AFD" w:rsidP="00B12AFD">
            <w:pPr>
              <w:pStyle w:val="Tabletext0"/>
              <w:keepNext/>
              <w:keepLines/>
              <w:jc w:val="right"/>
            </w:pPr>
            <w:r w:rsidRPr="00AA7862">
              <w:rPr>
                <w:rFonts w:cs="Calibri"/>
                <w:color w:val="000000"/>
              </w:rPr>
              <w:t>$</w:t>
            </w:r>
            <w:r w:rsidRPr="00AA7862">
              <w:rPr>
                <w:rFonts w:cs="Calibri"/>
                <w:b/>
                <w:bCs/>
                <w:color w:val="000000"/>
              </w:rPr>
              <w:t>Redacted</w:t>
            </w:r>
          </w:p>
        </w:tc>
      </w:tr>
      <w:tr w:rsidR="006632D3" w:rsidRPr="000F6B35" w14:paraId="5031FBD7" w14:textId="77777777" w:rsidTr="00B12AFD">
        <w:tc>
          <w:tcPr>
            <w:tcW w:w="2844" w:type="dxa"/>
            <w:tcBorders>
              <w:bottom w:val="single" w:sz="4" w:space="0" w:color="auto"/>
            </w:tcBorders>
          </w:tcPr>
          <w:p w14:paraId="7B8EDFEE" w14:textId="77777777" w:rsidR="006632D3" w:rsidRPr="000F6B35" w:rsidRDefault="006632D3" w:rsidP="00ED5CB7">
            <w:pPr>
              <w:pStyle w:val="Tabletext0"/>
              <w:keepNext/>
              <w:keepLines/>
              <w:jc w:val="left"/>
            </w:pPr>
            <w:r>
              <w:t>QALYs (discounted)</w:t>
            </w:r>
          </w:p>
        </w:tc>
        <w:tc>
          <w:tcPr>
            <w:tcW w:w="2048" w:type="dxa"/>
            <w:tcBorders>
              <w:bottom w:val="single" w:sz="4" w:space="0" w:color="auto"/>
            </w:tcBorders>
            <w:vAlign w:val="bottom"/>
          </w:tcPr>
          <w:p w14:paraId="3331AE6A" w14:textId="77777777" w:rsidR="006632D3" w:rsidRPr="000F6B35" w:rsidRDefault="006632D3" w:rsidP="00ED5CB7">
            <w:pPr>
              <w:pStyle w:val="Tabletext0"/>
              <w:keepNext/>
              <w:keepLines/>
              <w:jc w:val="right"/>
            </w:pPr>
            <w:r>
              <w:rPr>
                <w:rFonts w:cs="Calibri"/>
                <w:color w:val="000000"/>
              </w:rPr>
              <w:t>1,633,752.41</w:t>
            </w:r>
          </w:p>
        </w:tc>
        <w:tc>
          <w:tcPr>
            <w:tcW w:w="2048" w:type="dxa"/>
            <w:tcBorders>
              <w:bottom w:val="single" w:sz="4" w:space="0" w:color="auto"/>
            </w:tcBorders>
            <w:vAlign w:val="bottom"/>
          </w:tcPr>
          <w:p w14:paraId="13FCE337" w14:textId="77777777" w:rsidR="006632D3" w:rsidRPr="000F6B35" w:rsidRDefault="006632D3" w:rsidP="00ED5CB7">
            <w:pPr>
              <w:pStyle w:val="Tabletext0"/>
              <w:keepNext/>
              <w:keepLines/>
              <w:jc w:val="right"/>
            </w:pPr>
            <w:r>
              <w:rPr>
                <w:rFonts w:cs="Calibri"/>
                <w:color w:val="000000"/>
              </w:rPr>
              <w:t>1,633,750.30</w:t>
            </w:r>
          </w:p>
        </w:tc>
        <w:tc>
          <w:tcPr>
            <w:tcW w:w="2076" w:type="dxa"/>
            <w:vAlign w:val="bottom"/>
          </w:tcPr>
          <w:p w14:paraId="67A56C20" w14:textId="77777777" w:rsidR="006632D3" w:rsidRPr="000F6B35" w:rsidRDefault="006632D3" w:rsidP="00ED5CB7">
            <w:pPr>
              <w:pStyle w:val="Tabletext0"/>
              <w:keepNext/>
              <w:keepLines/>
              <w:jc w:val="right"/>
            </w:pPr>
            <w:r>
              <w:rPr>
                <w:rFonts w:cs="Calibri"/>
                <w:color w:val="000000"/>
              </w:rPr>
              <w:t>2.1131</w:t>
            </w:r>
          </w:p>
        </w:tc>
      </w:tr>
      <w:tr w:rsidR="006632D3" w:rsidRPr="000F6B35" w14:paraId="3F9B133D" w14:textId="77777777" w:rsidTr="00B12AFD">
        <w:tc>
          <w:tcPr>
            <w:tcW w:w="2844" w:type="dxa"/>
            <w:tcBorders>
              <w:right w:val="nil"/>
            </w:tcBorders>
          </w:tcPr>
          <w:p w14:paraId="28973662" w14:textId="77777777" w:rsidR="006632D3" w:rsidRPr="000F6B35" w:rsidRDefault="006632D3" w:rsidP="00ED5CB7">
            <w:pPr>
              <w:pStyle w:val="Tabletext0"/>
              <w:keepNext/>
              <w:keepLines/>
              <w:jc w:val="left"/>
            </w:pPr>
            <w:r>
              <w:t>ICER ($/QALY gained)</w:t>
            </w:r>
          </w:p>
        </w:tc>
        <w:tc>
          <w:tcPr>
            <w:tcW w:w="2048" w:type="dxa"/>
            <w:tcBorders>
              <w:left w:val="nil"/>
              <w:right w:val="nil"/>
            </w:tcBorders>
            <w:vAlign w:val="bottom"/>
          </w:tcPr>
          <w:p w14:paraId="4C0E07D2" w14:textId="77777777" w:rsidR="006632D3" w:rsidRPr="000F6B35" w:rsidRDefault="006632D3" w:rsidP="00ED5CB7">
            <w:pPr>
              <w:pStyle w:val="Tabletext0"/>
              <w:keepNext/>
              <w:keepLines/>
              <w:jc w:val="right"/>
            </w:pPr>
            <w:r>
              <w:rPr>
                <w:rFonts w:cs="Calibri"/>
                <w:color w:val="000000"/>
              </w:rPr>
              <w:t> </w:t>
            </w:r>
          </w:p>
        </w:tc>
        <w:tc>
          <w:tcPr>
            <w:tcW w:w="2048" w:type="dxa"/>
            <w:tcBorders>
              <w:left w:val="nil"/>
            </w:tcBorders>
            <w:vAlign w:val="bottom"/>
          </w:tcPr>
          <w:p w14:paraId="514EE24C" w14:textId="77777777" w:rsidR="006632D3" w:rsidRPr="000F6B35" w:rsidRDefault="006632D3" w:rsidP="00ED5CB7">
            <w:pPr>
              <w:pStyle w:val="Tabletext0"/>
              <w:keepNext/>
              <w:keepLines/>
              <w:jc w:val="right"/>
            </w:pPr>
            <w:r>
              <w:rPr>
                <w:rFonts w:cs="Calibri"/>
                <w:color w:val="000000"/>
              </w:rPr>
              <w:t> </w:t>
            </w:r>
          </w:p>
        </w:tc>
        <w:tc>
          <w:tcPr>
            <w:tcW w:w="2076" w:type="dxa"/>
            <w:vAlign w:val="bottom"/>
          </w:tcPr>
          <w:p w14:paraId="5A4C63BC" w14:textId="724C7538" w:rsidR="006632D3" w:rsidRPr="000F6B35" w:rsidRDefault="00B12AFD" w:rsidP="00ED5CB7">
            <w:pPr>
              <w:pStyle w:val="Tabletext0"/>
              <w:keepNext/>
              <w:keepLines/>
              <w:jc w:val="right"/>
            </w:pPr>
            <w:r w:rsidRPr="009B60A4">
              <w:rPr>
                <w:rFonts w:cs="Calibri"/>
                <w:color w:val="000000"/>
              </w:rPr>
              <w:t>$</w:t>
            </w:r>
            <w:r>
              <w:rPr>
                <w:rFonts w:cs="Calibri"/>
                <w:b/>
                <w:bCs/>
                <w:color w:val="000000"/>
              </w:rPr>
              <w:t>Redacted</w:t>
            </w:r>
          </w:p>
        </w:tc>
      </w:tr>
      <w:tr w:rsidR="006632D3" w:rsidRPr="000F6B35" w14:paraId="52A92A19" w14:textId="77777777" w:rsidTr="00175863">
        <w:tc>
          <w:tcPr>
            <w:tcW w:w="9016" w:type="dxa"/>
            <w:gridSpan w:val="4"/>
          </w:tcPr>
          <w:p w14:paraId="3B3DF33C" w14:textId="77777777" w:rsidR="006632D3" w:rsidRDefault="006632D3" w:rsidP="00ED5CB7">
            <w:pPr>
              <w:pStyle w:val="Tabletext0"/>
              <w:keepNext/>
              <w:keepLines/>
              <w:jc w:val="left"/>
              <w:rPr>
                <w:rFonts w:cs="Calibri"/>
                <w:b/>
                <w:bCs/>
                <w:color w:val="000000"/>
              </w:rPr>
            </w:pPr>
            <w:r w:rsidRPr="02E2EE7D">
              <w:rPr>
                <w:b/>
                <w:bCs/>
              </w:rPr>
              <w:t xml:space="preserve">Assuming UPPER BOUND of effectiveness of early access to ERT following NBS </w:t>
            </w:r>
          </w:p>
        </w:tc>
      </w:tr>
      <w:tr w:rsidR="006632D3" w14:paraId="0AEE3B21" w14:textId="77777777" w:rsidTr="00175863">
        <w:tc>
          <w:tcPr>
            <w:tcW w:w="9016" w:type="dxa"/>
            <w:gridSpan w:val="4"/>
          </w:tcPr>
          <w:p w14:paraId="3EC0F11A" w14:textId="76BAAFE5" w:rsidR="006632D3" w:rsidRDefault="006632D3" w:rsidP="00ED5CB7">
            <w:pPr>
              <w:pStyle w:val="Tabletext0"/>
              <w:keepNext/>
              <w:keepLines/>
              <w:jc w:val="left"/>
            </w:pPr>
            <w:r w:rsidRPr="02E2EE7D">
              <w:rPr>
                <w:b/>
                <w:bCs/>
              </w:rPr>
              <w:t>Step 3:</w:t>
            </w:r>
            <w:r w:rsidRPr="02E2EE7D">
              <w:t xml:space="preserve"> Extended base case analysis to integrate, long-term </w:t>
            </w:r>
            <w:proofErr w:type="spellStart"/>
            <w:r w:rsidRPr="02E2EE7D">
              <w:t>VFSi</w:t>
            </w:r>
            <w:proofErr w:type="spellEnd"/>
            <w:r w:rsidRPr="02E2EE7D">
              <w:t xml:space="preserve"> and OS survival rates for early vs late ERT in IOGSD II (ERT and disease management costed accordingly), and general population survival for all other groups, modelled over a </w:t>
            </w:r>
            <w:proofErr w:type="gramStart"/>
            <w:r w:rsidRPr="02E2EE7D">
              <w:t>50</w:t>
            </w:r>
            <w:r w:rsidR="00195F4B" w:rsidRPr="02E2EE7D">
              <w:t> </w:t>
            </w:r>
            <w:r w:rsidRPr="02E2EE7D">
              <w:t>year</w:t>
            </w:r>
            <w:proofErr w:type="gramEnd"/>
            <w:r w:rsidRPr="02E2EE7D">
              <w:t xml:space="preserve"> time horizon</w:t>
            </w:r>
          </w:p>
        </w:tc>
      </w:tr>
      <w:tr w:rsidR="00B12AFD" w:rsidRPr="000F6B35" w14:paraId="1B225704" w14:textId="77777777" w:rsidTr="007229D6">
        <w:tc>
          <w:tcPr>
            <w:tcW w:w="2844" w:type="dxa"/>
          </w:tcPr>
          <w:p w14:paraId="705F1BCE" w14:textId="77777777" w:rsidR="00B12AFD" w:rsidRPr="000F6B35" w:rsidRDefault="00B12AFD" w:rsidP="00B12AFD">
            <w:pPr>
              <w:pStyle w:val="Tabletext0"/>
              <w:keepNext/>
              <w:keepLines/>
              <w:jc w:val="left"/>
            </w:pPr>
            <w:r>
              <w:t>Total costs (average, per 100,000 persons)</w:t>
            </w:r>
            <w:r w:rsidDel="00186C0F">
              <w:t xml:space="preserve"> </w:t>
            </w:r>
            <w:r>
              <w:t>(discounted)</w:t>
            </w:r>
          </w:p>
        </w:tc>
        <w:tc>
          <w:tcPr>
            <w:tcW w:w="2048" w:type="dxa"/>
          </w:tcPr>
          <w:p w14:paraId="0BBA9E3B" w14:textId="1628ABA6" w:rsidR="00B12AFD" w:rsidRPr="000F6B35" w:rsidRDefault="00B12AFD" w:rsidP="00B12AFD">
            <w:pPr>
              <w:pStyle w:val="Tabletext0"/>
              <w:keepNext/>
              <w:keepLines/>
              <w:jc w:val="right"/>
            </w:pPr>
            <w:r w:rsidRPr="00E52835">
              <w:rPr>
                <w:rFonts w:cs="Calibri"/>
                <w:color w:val="000000"/>
              </w:rPr>
              <w:t>$</w:t>
            </w:r>
            <w:r w:rsidRPr="00E52835">
              <w:rPr>
                <w:rFonts w:cs="Calibri"/>
                <w:b/>
                <w:bCs/>
                <w:color w:val="000000"/>
              </w:rPr>
              <w:t>Redacted</w:t>
            </w:r>
          </w:p>
        </w:tc>
        <w:tc>
          <w:tcPr>
            <w:tcW w:w="2048" w:type="dxa"/>
          </w:tcPr>
          <w:p w14:paraId="11550298" w14:textId="0F31D8EA" w:rsidR="00B12AFD" w:rsidRPr="000F6B35" w:rsidRDefault="00B12AFD" w:rsidP="00B12AFD">
            <w:pPr>
              <w:pStyle w:val="Tabletext0"/>
              <w:keepNext/>
              <w:keepLines/>
              <w:jc w:val="right"/>
            </w:pPr>
            <w:r w:rsidRPr="00E52835">
              <w:rPr>
                <w:rFonts w:cs="Calibri"/>
                <w:color w:val="000000"/>
              </w:rPr>
              <w:t>$</w:t>
            </w:r>
            <w:r w:rsidRPr="00E52835">
              <w:rPr>
                <w:rFonts w:cs="Calibri"/>
                <w:b/>
                <w:bCs/>
                <w:color w:val="000000"/>
              </w:rPr>
              <w:t>Redacted</w:t>
            </w:r>
          </w:p>
        </w:tc>
        <w:tc>
          <w:tcPr>
            <w:tcW w:w="2076" w:type="dxa"/>
          </w:tcPr>
          <w:p w14:paraId="05514DCD" w14:textId="7668647D" w:rsidR="00B12AFD" w:rsidRPr="000F6B35" w:rsidRDefault="00B12AFD" w:rsidP="00B12AFD">
            <w:pPr>
              <w:pStyle w:val="Tabletext0"/>
              <w:keepNext/>
              <w:keepLines/>
              <w:jc w:val="right"/>
            </w:pPr>
            <w:r w:rsidRPr="00E52835">
              <w:rPr>
                <w:rFonts w:cs="Calibri"/>
                <w:color w:val="000000"/>
              </w:rPr>
              <w:t>$</w:t>
            </w:r>
            <w:r w:rsidRPr="00E52835">
              <w:rPr>
                <w:rFonts w:cs="Calibri"/>
                <w:b/>
                <w:bCs/>
                <w:color w:val="000000"/>
              </w:rPr>
              <w:t>Redacted</w:t>
            </w:r>
          </w:p>
        </w:tc>
      </w:tr>
      <w:tr w:rsidR="006632D3" w:rsidRPr="000F6B35" w14:paraId="7439012F" w14:textId="77777777" w:rsidTr="00B12AFD">
        <w:tc>
          <w:tcPr>
            <w:tcW w:w="2844" w:type="dxa"/>
          </w:tcPr>
          <w:p w14:paraId="0F70E802" w14:textId="77777777" w:rsidR="006632D3" w:rsidRPr="000F6B35" w:rsidRDefault="006632D3" w:rsidP="00ED5CB7">
            <w:pPr>
              <w:pStyle w:val="Tabletext0"/>
              <w:keepNext/>
              <w:keepLines/>
              <w:jc w:val="left"/>
            </w:pPr>
            <w:r>
              <w:t>LYs (discounted)</w:t>
            </w:r>
          </w:p>
        </w:tc>
        <w:tc>
          <w:tcPr>
            <w:tcW w:w="2048" w:type="dxa"/>
            <w:vAlign w:val="bottom"/>
          </w:tcPr>
          <w:p w14:paraId="79814700" w14:textId="77777777" w:rsidR="006632D3" w:rsidRPr="000F6B35" w:rsidRDefault="006632D3" w:rsidP="00ED5CB7">
            <w:pPr>
              <w:pStyle w:val="Tabletext0"/>
              <w:keepNext/>
              <w:keepLines/>
              <w:jc w:val="right"/>
            </w:pPr>
            <w:r>
              <w:rPr>
                <w:rFonts w:cs="Calibri"/>
                <w:color w:val="000000"/>
              </w:rPr>
              <w:t>1,904,190.79</w:t>
            </w:r>
          </w:p>
        </w:tc>
        <w:tc>
          <w:tcPr>
            <w:tcW w:w="2048" w:type="dxa"/>
            <w:vAlign w:val="bottom"/>
          </w:tcPr>
          <w:p w14:paraId="6F8DC6A1" w14:textId="77777777" w:rsidR="006632D3" w:rsidRPr="000F6B35" w:rsidRDefault="006632D3" w:rsidP="00ED5CB7">
            <w:pPr>
              <w:pStyle w:val="Tabletext0"/>
              <w:keepNext/>
              <w:keepLines/>
              <w:jc w:val="right"/>
            </w:pPr>
            <w:r>
              <w:rPr>
                <w:rFonts w:cs="Calibri"/>
                <w:color w:val="000000"/>
              </w:rPr>
              <w:t>1,904,187.56</w:t>
            </w:r>
          </w:p>
        </w:tc>
        <w:tc>
          <w:tcPr>
            <w:tcW w:w="2076" w:type="dxa"/>
            <w:vAlign w:val="bottom"/>
          </w:tcPr>
          <w:p w14:paraId="2D0A039A" w14:textId="77777777" w:rsidR="006632D3" w:rsidRPr="000F6B35" w:rsidRDefault="006632D3" w:rsidP="00ED5CB7">
            <w:pPr>
              <w:keepNext/>
              <w:keepLines/>
              <w:spacing w:before="0"/>
              <w:jc w:val="right"/>
            </w:pPr>
            <w:r>
              <w:rPr>
                <w:rFonts w:ascii="Arial Narrow" w:hAnsi="Arial Narrow" w:cs="Calibri"/>
                <w:color w:val="000000"/>
                <w:sz w:val="20"/>
                <w:szCs w:val="20"/>
              </w:rPr>
              <w:t>3.2253</w:t>
            </w:r>
          </w:p>
        </w:tc>
      </w:tr>
      <w:tr w:rsidR="006632D3" w:rsidRPr="000F6B35" w14:paraId="12B31F73" w14:textId="77777777" w:rsidTr="00B12AFD">
        <w:tc>
          <w:tcPr>
            <w:tcW w:w="2844" w:type="dxa"/>
          </w:tcPr>
          <w:p w14:paraId="49EF6AE6" w14:textId="77777777" w:rsidR="006632D3" w:rsidRPr="000F6B35" w:rsidRDefault="006632D3" w:rsidP="00ED5CB7">
            <w:pPr>
              <w:pStyle w:val="Tabletext0"/>
              <w:keepNext/>
              <w:keepLines/>
              <w:jc w:val="left"/>
            </w:pPr>
            <w:r>
              <w:t>ICER ($/LY gained)</w:t>
            </w:r>
          </w:p>
        </w:tc>
        <w:tc>
          <w:tcPr>
            <w:tcW w:w="2048" w:type="dxa"/>
            <w:vAlign w:val="bottom"/>
          </w:tcPr>
          <w:p w14:paraId="00E4D918" w14:textId="77777777" w:rsidR="006632D3" w:rsidRPr="000F6B35" w:rsidRDefault="006632D3" w:rsidP="00ED5CB7">
            <w:pPr>
              <w:pStyle w:val="Tabletext0"/>
              <w:keepNext/>
              <w:keepLines/>
              <w:jc w:val="right"/>
            </w:pPr>
            <w:r>
              <w:rPr>
                <w:rFonts w:cs="Calibri"/>
                <w:color w:val="000000"/>
              </w:rPr>
              <w:t> </w:t>
            </w:r>
          </w:p>
        </w:tc>
        <w:tc>
          <w:tcPr>
            <w:tcW w:w="2048" w:type="dxa"/>
            <w:vAlign w:val="bottom"/>
          </w:tcPr>
          <w:p w14:paraId="66691188" w14:textId="77777777" w:rsidR="006632D3" w:rsidRPr="000F6B35" w:rsidRDefault="006632D3" w:rsidP="00ED5CB7">
            <w:pPr>
              <w:pStyle w:val="Tabletext0"/>
              <w:keepNext/>
              <w:keepLines/>
              <w:jc w:val="right"/>
            </w:pPr>
            <w:r>
              <w:rPr>
                <w:rFonts w:cs="Calibri"/>
                <w:color w:val="000000"/>
              </w:rPr>
              <w:t> </w:t>
            </w:r>
          </w:p>
        </w:tc>
        <w:tc>
          <w:tcPr>
            <w:tcW w:w="2076" w:type="dxa"/>
            <w:vAlign w:val="bottom"/>
          </w:tcPr>
          <w:p w14:paraId="67D287DD" w14:textId="5234C067" w:rsidR="006632D3" w:rsidRPr="000F6B35" w:rsidRDefault="00B12AFD" w:rsidP="00ED5CB7">
            <w:pPr>
              <w:pStyle w:val="Tabletext0"/>
              <w:keepNext/>
              <w:keepLines/>
              <w:jc w:val="right"/>
            </w:pPr>
            <w:r w:rsidRPr="009B60A4">
              <w:rPr>
                <w:rFonts w:cs="Calibri"/>
                <w:color w:val="000000"/>
              </w:rPr>
              <w:t>$</w:t>
            </w:r>
            <w:r>
              <w:rPr>
                <w:rFonts w:cs="Calibri"/>
                <w:b/>
                <w:bCs/>
                <w:color w:val="000000"/>
              </w:rPr>
              <w:t>Redacted</w:t>
            </w:r>
          </w:p>
        </w:tc>
      </w:tr>
      <w:tr w:rsidR="006632D3" w:rsidRPr="005D5168" w14:paraId="7688FBAB" w14:textId="77777777" w:rsidTr="00175863">
        <w:tc>
          <w:tcPr>
            <w:tcW w:w="9016" w:type="dxa"/>
            <w:gridSpan w:val="4"/>
          </w:tcPr>
          <w:p w14:paraId="7CCA4369" w14:textId="77777777" w:rsidR="006632D3" w:rsidRPr="005D5168" w:rsidRDefault="006632D3" w:rsidP="00ED5CB7">
            <w:pPr>
              <w:keepNext/>
              <w:keepLines/>
              <w:spacing w:before="0"/>
              <w:rPr>
                <w:rFonts w:ascii="Arial Narrow" w:hAnsi="Arial Narrow"/>
                <w:b/>
                <w:bCs/>
                <w:sz w:val="20"/>
                <w:szCs w:val="20"/>
              </w:rPr>
            </w:pPr>
            <w:r w:rsidRPr="005D5168">
              <w:rPr>
                <w:rFonts w:ascii="Arial Narrow" w:hAnsi="Arial Narrow"/>
                <w:b/>
                <w:bCs/>
                <w:sz w:val="20"/>
                <w:szCs w:val="20"/>
              </w:rPr>
              <w:t xml:space="preserve">Step </w:t>
            </w:r>
            <w:r>
              <w:rPr>
                <w:rFonts w:ascii="Arial Narrow" w:hAnsi="Arial Narrow"/>
                <w:b/>
                <w:bCs/>
                <w:sz w:val="20"/>
                <w:szCs w:val="20"/>
              </w:rPr>
              <w:t>4</w:t>
            </w:r>
            <w:r w:rsidRPr="005D5168">
              <w:rPr>
                <w:rFonts w:ascii="Arial Narrow" w:hAnsi="Arial Narrow"/>
                <w:sz w:val="20"/>
                <w:szCs w:val="20"/>
              </w:rPr>
              <w:t xml:space="preserve">: </w:t>
            </w:r>
            <w:r>
              <w:rPr>
                <w:rFonts w:ascii="Arial Narrow" w:hAnsi="Arial Narrow"/>
                <w:sz w:val="20"/>
                <w:szCs w:val="20"/>
              </w:rPr>
              <w:t>Utility values applied to different health states in life years</w:t>
            </w:r>
          </w:p>
        </w:tc>
      </w:tr>
      <w:tr w:rsidR="00B12AFD" w:rsidRPr="000F6B35" w14:paraId="31D0B2B5" w14:textId="77777777" w:rsidTr="007229D6">
        <w:tc>
          <w:tcPr>
            <w:tcW w:w="2844" w:type="dxa"/>
          </w:tcPr>
          <w:p w14:paraId="002BB7F3" w14:textId="77777777" w:rsidR="00B12AFD" w:rsidRPr="000F6B35" w:rsidRDefault="00B12AFD" w:rsidP="00B12AFD">
            <w:pPr>
              <w:pStyle w:val="Tabletext0"/>
              <w:keepNext/>
              <w:keepLines/>
              <w:jc w:val="left"/>
            </w:pPr>
            <w:r>
              <w:t>Total costs (average, per 100,000 persons)</w:t>
            </w:r>
            <w:r w:rsidDel="00186C0F">
              <w:t xml:space="preserve"> </w:t>
            </w:r>
            <w:r>
              <w:t>(discounted)</w:t>
            </w:r>
          </w:p>
        </w:tc>
        <w:tc>
          <w:tcPr>
            <w:tcW w:w="2048" w:type="dxa"/>
          </w:tcPr>
          <w:p w14:paraId="283C9D40" w14:textId="62BD2D66" w:rsidR="00B12AFD" w:rsidRPr="000F6B35" w:rsidRDefault="00B12AFD" w:rsidP="00B12AFD">
            <w:pPr>
              <w:pStyle w:val="Tabletext0"/>
              <w:keepNext/>
              <w:keepLines/>
              <w:jc w:val="right"/>
            </w:pPr>
            <w:r w:rsidRPr="005D773C">
              <w:rPr>
                <w:rFonts w:cs="Calibri"/>
                <w:color w:val="000000"/>
              </w:rPr>
              <w:t>$</w:t>
            </w:r>
            <w:r w:rsidRPr="005D773C">
              <w:rPr>
                <w:rFonts w:cs="Calibri"/>
                <w:b/>
                <w:bCs/>
                <w:color w:val="000000"/>
              </w:rPr>
              <w:t>Redacted</w:t>
            </w:r>
          </w:p>
        </w:tc>
        <w:tc>
          <w:tcPr>
            <w:tcW w:w="2048" w:type="dxa"/>
          </w:tcPr>
          <w:p w14:paraId="38696E07" w14:textId="68738C7C" w:rsidR="00B12AFD" w:rsidRPr="000F6B35" w:rsidRDefault="00B12AFD" w:rsidP="00B12AFD">
            <w:pPr>
              <w:pStyle w:val="Tabletext0"/>
              <w:keepNext/>
              <w:keepLines/>
              <w:jc w:val="right"/>
            </w:pPr>
            <w:r w:rsidRPr="005D773C">
              <w:rPr>
                <w:rFonts w:cs="Calibri"/>
                <w:color w:val="000000"/>
              </w:rPr>
              <w:t>$</w:t>
            </w:r>
            <w:r w:rsidRPr="005D773C">
              <w:rPr>
                <w:rFonts w:cs="Calibri"/>
                <w:b/>
                <w:bCs/>
                <w:color w:val="000000"/>
              </w:rPr>
              <w:t>Redacted</w:t>
            </w:r>
          </w:p>
        </w:tc>
        <w:tc>
          <w:tcPr>
            <w:tcW w:w="2076" w:type="dxa"/>
          </w:tcPr>
          <w:p w14:paraId="3FAED93C" w14:textId="6A6F19AC" w:rsidR="00B12AFD" w:rsidRPr="000F6B35" w:rsidRDefault="00B12AFD" w:rsidP="00B12AFD">
            <w:pPr>
              <w:pStyle w:val="Tabletext0"/>
              <w:keepNext/>
              <w:keepLines/>
              <w:jc w:val="right"/>
            </w:pPr>
            <w:r w:rsidRPr="005D773C">
              <w:rPr>
                <w:rFonts w:cs="Calibri"/>
                <w:color w:val="000000"/>
              </w:rPr>
              <w:t>$</w:t>
            </w:r>
            <w:r w:rsidRPr="005D773C">
              <w:rPr>
                <w:rFonts w:cs="Calibri"/>
                <w:b/>
                <w:bCs/>
                <w:color w:val="000000"/>
              </w:rPr>
              <w:t>Redacted</w:t>
            </w:r>
          </w:p>
        </w:tc>
      </w:tr>
      <w:tr w:rsidR="006632D3" w:rsidRPr="000F6B35" w14:paraId="5C78A754" w14:textId="77777777" w:rsidTr="00B12AFD">
        <w:tc>
          <w:tcPr>
            <w:tcW w:w="2844" w:type="dxa"/>
            <w:tcBorders>
              <w:bottom w:val="single" w:sz="4" w:space="0" w:color="auto"/>
            </w:tcBorders>
          </w:tcPr>
          <w:p w14:paraId="2E64906A" w14:textId="77777777" w:rsidR="006632D3" w:rsidRPr="000F6B35" w:rsidRDefault="006632D3" w:rsidP="00ED5CB7">
            <w:pPr>
              <w:pStyle w:val="Tabletext0"/>
              <w:keepNext/>
              <w:keepLines/>
              <w:jc w:val="left"/>
            </w:pPr>
            <w:r>
              <w:t>QALYs (discounted)</w:t>
            </w:r>
          </w:p>
        </w:tc>
        <w:tc>
          <w:tcPr>
            <w:tcW w:w="2048" w:type="dxa"/>
            <w:tcBorders>
              <w:bottom w:val="single" w:sz="4" w:space="0" w:color="auto"/>
            </w:tcBorders>
            <w:vAlign w:val="bottom"/>
          </w:tcPr>
          <w:p w14:paraId="6304F0FF" w14:textId="77777777" w:rsidR="006632D3" w:rsidRPr="000F6B35" w:rsidRDefault="006632D3" w:rsidP="00ED5CB7">
            <w:pPr>
              <w:pStyle w:val="Tabletext0"/>
              <w:keepNext/>
              <w:keepLines/>
              <w:jc w:val="right"/>
            </w:pPr>
            <w:r>
              <w:rPr>
                <w:rFonts w:cs="Calibri"/>
                <w:color w:val="000000"/>
              </w:rPr>
              <w:t>1,633,753.74</w:t>
            </w:r>
          </w:p>
        </w:tc>
        <w:tc>
          <w:tcPr>
            <w:tcW w:w="2048" w:type="dxa"/>
            <w:tcBorders>
              <w:bottom w:val="single" w:sz="4" w:space="0" w:color="auto"/>
            </w:tcBorders>
            <w:vAlign w:val="bottom"/>
          </w:tcPr>
          <w:p w14:paraId="4F9E5335" w14:textId="77777777" w:rsidR="006632D3" w:rsidRPr="000F6B35" w:rsidRDefault="006632D3" w:rsidP="00ED5CB7">
            <w:pPr>
              <w:pStyle w:val="Tabletext0"/>
              <w:keepNext/>
              <w:keepLines/>
              <w:jc w:val="right"/>
            </w:pPr>
            <w:r>
              <w:rPr>
                <w:rFonts w:cs="Calibri"/>
                <w:color w:val="000000"/>
              </w:rPr>
              <w:t>1,633,750.30</w:t>
            </w:r>
          </w:p>
        </w:tc>
        <w:tc>
          <w:tcPr>
            <w:tcW w:w="2076" w:type="dxa"/>
            <w:vAlign w:val="bottom"/>
          </w:tcPr>
          <w:p w14:paraId="07EAF9AA" w14:textId="77777777" w:rsidR="006632D3" w:rsidRPr="000F6B35" w:rsidRDefault="006632D3" w:rsidP="00ED5CB7">
            <w:pPr>
              <w:pStyle w:val="Tabletext0"/>
              <w:keepNext/>
              <w:keepLines/>
              <w:jc w:val="right"/>
            </w:pPr>
            <w:r>
              <w:rPr>
                <w:rFonts w:cs="Calibri"/>
                <w:color w:val="000000"/>
              </w:rPr>
              <w:t>3.4370</w:t>
            </w:r>
          </w:p>
        </w:tc>
      </w:tr>
      <w:tr w:rsidR="006632D3" w:rsidRPr="000F6B35" w14:paraId="4C201331" w14:textId="77777777" w:rsidTr="00B12AFD">
        <w:tc>
          <w:tcPr>
            <w:tcW w:w="2844" w:type="dxa"/>
            <w:tcBorders>
              <w:right w:val="nil"/>
            </w:tcBorders>
          </w:tcPr>
          <w:p w14:paraId="1BB820AD" w14:textId="77777777" w:rsidR="006632D3" w:rsidRPr="000F6B35" w:rsidRDefault="006632D3" w:rsidP="00ED5CB7">
            <w:pPr>
              <w:pStyle w:val="Tabletext0"/>
              <w:keepNext/>
              <w:keepLines/>
              <w:jc w:val="left"/>
            </w:pPr>
            <w:r>
              <w:t>ICER ($/QALY gained)</w:t>
            </w:r>
          </w:p>
        </w:tc>
        <w:tc>
          <w:tcPr>
            <w:tcW w:w="2048" w:type="dxa"/>
            <w:tcBorders>
              <w:left w:val="nil"/>
              <w:right w:val="nil"/>
            </w:tcBorders>
            <w:vAlign w:val="bottom"/>
          </w:tcPr>
          <w:p w14:paraId="01CA5A8D" w14:textId="77777777" w:rsidR="006632D3" w:rsidRPr="000F6B35" w:rsidRDefault="006632D3" w:rsidP="00ED5CB7">
            <w:pPr>
              <w:pStyle w:val="Tabletext0"/>
              <w:keepNext/>
              <w:keepLines/>
              <w:jc w:val="right"/>
            </w:pPr>
            <w:r>
              <w:rPr>
                <w:rFonts w:cs="Calibri"/>
                <w:color w:val="000000"/>
              </w:rPr>
              <w:t> </w:t>
            </w:r>
          </w:p>
        </w:tc>
        <w:tc>
          <w:tcPr>
            <w:tcW w:w="2048" w:type="dxa"/>
            <w:tcBorders>
              <w:left w:val="nil"/>
            </w:tcBorders>
            <w:vAlign w:val="bottom"/>
          </w:tcPr>
          <w:p w14:paraId="4B00948F" w14:textId="77777777" w:rsidR="006632D3" w:rsidRPr="000F6B35" w:rsidRDefault="006632D3" w:rsidP="00ED5CB7">
            <w:pPr>
              <w:pStyle w:val="Tabletext0"/>
              <w:keepNext/>
              <w:keepLines/>
              <w:jc w:val="right"/>
            </w:pPr>
            <w:r>
              <w:rPr>
                <w:rFonts w:cs="Calibri"/>
                <w:color w:val="000000"/>
              </w:rPr>
              <w:t> </w:t>
            </w:r>
          </w:p>
        </w:tc>
        <w:tc>
          <w:tcPr>
            <w:tcW w:w="2076" w:type="dxa"/>
            <w:vAlign w:val="bottom"/>
          </w:tcPr>
          <w:p w14:paraId="70501AC6" w14:textId="72295BF8" w:rsidR="006632D3" w:rsidRPr="000F6B35" w:rsidRDefault="00B12AFD" w:rsidP="00ED5CB7">
            <w:pPr>
              <w:pStyle w:val="Tabletext0"/>
              <w:keepNext/>
              <w:keepLines/>
              <w:jc w:val="right"/>
            </w:pPr>
            <w:r w:rsidRPr="009B60A4">
              <w:rPr>
                <w:rFonts w:cs="Calibri"/>
                <w:color w:val="000000"/>
              </w:rPr>
              <w:t>$</w:t>
            </w:r>
            <w:r>
              <w:rPr>
                <w:rFonts w:cs="Calibri"/>
                <w:b/>
                <w:bCs/>
                <w:color w:val="000000"/>
              </w:rPr>
              <w:t>Redacted</w:t>
            </w:r>
          </w:p>
        </w:tc>
      </w:tr>
      <w:tr w:rsidR="006632D3" w:rsidRPr="005D5168" w14:paraId="1283CB68" w14:textId="77777777" w:rsidTr="00175863">
        <w:tc>
          <w:tcPr>
            <w:tcW w:w="9016" w:type="dxa"/>
            <w:gridSpan w:val="4"/>
          </w:tcPr>
          <w:p w14:paraId="058D22FC" w14:textId="77777777" w:rsidR="006632D3" w:rsidRPr="005D5168" w:rsidRDefault="006632D3" w:rsidP="00ED5CB7">
            <w:pPr>
              <w:keepNext/>
              <w:keepLines/>
              <w:spacing w:before="0"/>
              <w:rPr>
                <w:rFonts w:ascii="Arial Narrow" w:hAnsi="Arial Narrow"/>
                <w:b/>
                <w:bCs/>
                <w:sz w:val="20"/>
                <w:szCs w:val="20"/>
              </w:rPr>
            </w:pPr>
            <w:r w:rsidRPr="005D5168">
              <w:rPr>
                <w:rFonts w:ascii="Arial Narrow" w:hAnsi="Arial Narrow"/>
                <w:b/>
                <w:bCs/>
                <w:sz w:val="20"/>
                <w:szCs w:val="20"/>
              </w:rPr>
              <w:t xml:space="preserve">Step </w:t>
            </w:r>
            <w:r>
              <w:rPr>
                <w:rFonts w:ascii="Arial Narrow" w:hAnsi="Arial Narrow"/>
                <w:b/>
                <w:bCs/>
                <w:sz w:val="20"/>
                <w:szCs w:val="20"/>
              </w:rPr>
              <w:t>5</w:t>
            </w:r>
            <w:r w:rsidRPr="005D5168">
              <w:rPr>
                <w:rFonts w:ascii="Arial Narrow" w:hAnsi="Arial Narrow"/>
                <w:sz w:val="20"/>
                <w:szCs w:val="20"/>
              </w:rPr>
              <w:t xml:space="preserve">: </w:t>
            </w:r>
            <w:r w:rsidRPr="00A15EA4">
              <w:rPr>
                <w:rFonts w:ascii="Arial Narrow" w:hAnsi="Arial Narrow"/>
                <w:sz w:val="20"/>
                <w:szCs w:val="20"/>
              </w:rPr>
              <w:t xml:space="preserve">Multiplexed first-tier screening for MPS I, MPS II and GSD II) </w:t>
            </w:r>
            <w:r w:rsidRPr="00B51295">
              <w:rPr>
                <w:rFonts w:ascii="Arial Narrow" w:hAnsi="Arial Narrow"/>
                <w:sz w:val="20"/>
                <w:szCs w:val="20"/>
                <w:vertAlign w:val="superscript"/>
              </w:rPr>
              <w:t>a</w:t>
            </w:r>
          </w:p>
        </w:tc>
      </w:tr>
      <w:tr w:rsidR="00B12AFD" w:rsidRPr="000F6B35" w14:paraId="31062573" w14:textId="77777777" w:rsidTr="007229D6">
        <w:tc>
          <w:tcPr>
            <w:tcW w:w="2844" w:type="dxa"/>
          </w:tcPr>
          <w:p w14:paraId="651F0E8D" w14:textId="77777777" w:rsidR="00B12AFD" w:rsidRPr="000F6B35" w:rsidRDefault="00B12AFD" w:rsidP="00B12AFD">
            <w:pPr>
              <w:pStyle w:val="Tabletext0"/>
              <w:keepNext/>
              <w:keepLines/>
              <w:jc w:val="left"/>
            </w:pPr>
            <w:r>
              <w:t>Total costs (average, per 100,000 persons)</w:t>
            </w:r>
            <w:r w:rsidDel="00186C0F">
              <w:t xml:space="preserve"> </w:t>
            </w:r>
            <w:r>
              <w:t>(discounted)</w:t>
            </w:r>
          </w:p>
        </w:tc>
        <w:tc>
          <w:tcPr>
            <w:tcW w:w="2048" w:type="dxa"/>
          </w:tcPr>
          <w:p w14:paraId="737E12C8" w14:textId="7A27391D" w:rsidR="00B12AFD" w:rsidRPr="000F6B35" w:rsidRDefault="00B12AFD" w:rsidP="00B12AFD">
            <w:pPr>
              <w:pStyle w:val="Tabletext0"/>
              <w:keepNext/>
              <w:keepLines/>
              <w:jc w:val="right"/>
            </w:pPr>
            <w:r w:rsidRPr="00613550">
              <w:rPr>
                <w:rFonts w:cs="Calibri"/>
                <w:color w:val="000000"/>
              </w:rPr>
              <w:t>$</w:t>
            </w:r>
            <w:r w:rsidRPr="00613550">
              <w:rPr>
                <w:rFonts w:cs="Calibri"/>
                <w:b/>
                <w:bCs/>
                <w:color w:val="000000"/>
              </w:rPr>
              <w:t>Redacted</w:t>
            </w:r>
          </w:p>
        </w:tc>
        <w:tc>
          <w:tcPr>
            <w:tcW w:w="2048" w:type="dxa"/>
          </w:tcPr>
          <w:p w14:paraId="46A38183" w14:textId="692774D1" w:rsidR="00B12AFD" w:rsidRPr="000F6B35" w:rsidRDefault="00B12AFD" w:rsidP="00B12AFD">
            <w:pPr>
              <w:pStyle w:val="Tabletext0"/>
              <w:keepNext/>
              <w:keepLines/>
              <w:jc w:val="right"/>
            </w:pPr>
            <w:r w:rsidRPr="00613550">
              <w:rPr>
                <w:rFonts w:cs="Calibri"/>
                <w:color w:val="000000"/>
              </w:rPr>
              <w:t>$</w:t>
            </w:r>
            <w:r w:rsidRPr="00613550">
              <w:rPr>
                <w:rFonts w:cs="Calibri"/>
                <w:b/>
                <w:bCs/>
                <w:color w:val="000000"/>
              </w:rPr>
              <w:t>Redacted</w:t>
            </w:r>
          </w:p>
        </w:tc>
        <w:tc>
          <w:tcPr>
            <w:tcW w:w="2076" w:type="dxa"/>
          </w:tcPr>
          <w:p w14:paraId="09AC4600" w14:textId="4618F9A8" w:rsidR="00B12AFD" w:rsidRPr="000F6B35" w:rsidRDefault="00B12AFD" w:rsidP="00B12AFD">
            <w:pPr>
              <w:pStyle w:val="Tabletext0"/>
              <w:keepNext/>
              <w:keepLines/>
              <w:jc w:val="right"/>
            </w:pPr>
            <w:r w:rsidRPr="00613550">
              <w:rPr>
                <w:rFonts w:cs="Calibri"/>
                <w:color w:val="000000"/>
              </w:rPr>
              <w:t>$</w:t>
            </w:r>
            <w:r w:rsidRPr="00613550">
              <w:rPr>
                <w:rFonts w:cs="Calibri"/>
                <w:b/>
                <w:bCs/>
                <w:color w:val="000000"/>
              </w:rPr>
              <w:t>Redacted</w:t>
            </w:r>
          </w:p>
        </w:tc>
      </w:tr>
      <w:tr w:rsidR="006632D3" w:rsidRPr="000F6B35" w14:paraId="78B664FD" w14:textId="77777777" w:rsidTr="00B12AFD">
        <w:tc>
          <w:tcPr>
            <w:tcW w:w="2844" w:type="dxa"/>
            <w:tcBorders>
              <w:bottom w:val="single" w:sz="4" w:space="0" w:color="auto"/>
            </w:tcBorders>
          </w:tcPr>
          <w:p w14:paraId="53D77023" w14:textId="77777777" w:rsidR="006632D3" w:rsidRPr="000F6B35" w:rsidRDefault="006632D3" w:rsidP="00ED5CB7">
            <w:pPr>
              <w:pStyle w:val="Tabletext0"/>
              <w:keepNext/>
              <w:keepLines/>
              <w:jc w:val="left"/>
            </w:pPr>
            <w:r>
              <w:t>QALYs (discounted)</w:t>
            </w:r>
          </w:p>
        </w:tc>
        <w:tc>
          <w:tcPr>
            <w:tcW w:w="2048" w:type="dxa"/>
            <w:tcBorders>
              <w:bottom w:val="single" w:sz="4" w:space="0" w:color="auto"/>
            </w:tcBorders>
            <w:vAlign w:val="bottom"/>
          </w:tcPr>
          <w:p w14:paraId="0AF5D3DF" w14:textId="77777777" w:rsidR="006632D3" w:rsidRPr="000F6B35" w:rsidRDefault="006632D3" w:rsidP="00ED5CB7">
            <w:pPr>
              <w:pStyle w:val="Tabletext0"/>
              <w:keepNext/>
              <w:keepLines/>
              <w:jc w:val="right"/>
            </w:pPr>
            <w:r>
              <w:rPr>
                <w:rFonts w:cs="Calibri"/>
                <w:color w:val="000000"/>
              </w:rPr>
              <w:t>1,633,753.74</w:t>
            </w:r>
          </w:p>
        </w:tc>
        <w:tc>
          <w:tcPr>
            <w:tcW w:w="2048" w:type="dxa"/>
            <w:tcBorders>
              <w:bottom w:val="single" w:sz="4" w:space="0" w:color="auto"/>
            </w:tcBorders>
            <w:vAlign w:val="bottom"/>
          </w:tcPr>
          <w:p w14:paraId="13CDCDBC" w14:textId="77777777" w:rsidR="006632D3" w:rsidRPr="000F6B35" w:rsidRDefault="006632D3" w:rsidP="00ED5CB7">
            <w:pPr>
              <w:pStyle w:val="Tabletext0"/>
              <w:keepNext/>
              <w:keepLines/>
              <w:jc w:val="right"/>
            </w:pPr>
            <w:r>
              <w:rPr>
                <w:rFonts w:cs="Calibri"/>
                <w:color w:val="000000"/>
              </w:rPr>
              <w:t>1,633,750.30</w:t>
            </w:r>
          </w:p>
        </w:tc>
        <w:tc>
          <w:tcPr>
            <w:tcW w:w="2076" w:type="dxa"/>
            <w:vAlign w:val="bottom"/>
          </w:tcPr>
          <w:p w14:paraId="595A4FDB" w14:textId="77777777" w:rsidR="006632D3" w:rsidRPr="000F6B35" w:rsidRDefault="006632D3" w:rsidP="00ED5CB7">
            <w:pPr>
              <w:pStyle w:val="Tabletext0"/>
              <w:keepNext/>
              <w:keepLines/>
              <w:jc w:val="right"/>
            </w:pPr>
            <w:r>
              <w:rPr>
                <w:rFonts w:cs="Calibri"/>
                <w:color w:val="000000"/>
              </w:rPr>
              <w:t>3.4370</w:t>
            </w:r>
          </w:p>
        </w:tc>
      </w:tr>
      <w:tr w:rsidR="006632D3" w:rsidRPr="000F6B35" w14:paraId="0497E19C" w14:textId="77777777" w:rsidTr="00B12AFD">
        <w:tc>
          <w:tcPr>
            <w:tcW w:w="2844" w:type="dxa"/>
            <w:tcBorders>
              <w:right w:val="nil"/>
            </w:tcBorders>
          </w:tcPr>
          <w:p w14:paraId="084D3559" w14:textId="77777777" w:rsidR="006632D3" w:rsidRPr="000F6B35" w:rsidRDefault="006632D3" w:rsidP="00ED5CB7">
            <w:pPr>
              <w:pStyle w:val="Tabletext0"/>
              <w:keepNext/>
              <w:keepLines/>
              <w:jc w:val="left"/>
            </w:pPr>
            <w:r>
              <w:t>ICER ($/QALY gained)</w:t>
            </w:r>
          </w:p>
        </w:tc>
        <w:tc>
          <w:tcPr>
            <w:tcW w:w="2048" w:type="dxa"/>
            <w:tcBorders>
              <w:left w:val="nil"/>
              <w:right w:val="nil"/>
            </w:tcBorders>
            <w:vAlign w:val="bottom"/>
          </w:tcPr>
          <w:p w14:paraId="15045F7E" w14:textId="77777777" w:rsidR="006632D3" w:rsidRPr="000F6B35" w:rsidRDefault="006632D3" w:rsidP="00ED5CB7">
            <w:pPr>
              <w:pStyle w:val="Tabletext0"/>
              <w:keepNext/>
              <w:keepLines/>
              <w:jc w:val="right"/>
            </w:pPr>
            <w:r>
              <w:rPr>
                <w:rFonts w:cs="Calibri"/>
                <w:color w:val="000000"/>
              </w:rPr>
              <w:t> </w:t>
            </w:r>
          </w:p>
        </w:tc>
        <w:tc>
          <w:tcPr>
            <w:tcW w:w="2048" w:type="dxa"/>
            <w:tcBorders>
              <w:left w:val="nil"/>
            </w:tcBorders>
            <w:vAlign w:val="bottom"/>
          </w:tcPr>
          <w:p w14:paraId="63D0152D" w14:textId="77777777" w:rsidR="006632D3" w:rsidRPr="000F6B35" w:rsidRDefault="006632D3" w:rsidP="00ED5CB7">
            <w:pPr>
              <w:pStyle w:val="Tabletext0"/>
              <w:keepNext/>
              <w:keepLines/>
              <w:jc w:val="right"/>
            </w:pPr>
            <w:r>
              <w:rPr>
                <w:rFonts w:cs="Calibri"/>
                <w:color w:val="000000"/>
              </w:rPr>
              <w:t> </w:t>
            </w:r>
          </w:p>
        </w:tc>
        <w:tc>
          <w:tcPr>
            <w:tcW w:w="2076" w:type="dxa"/>
            <w:vAlign w:val="bottom"/>
          </w:tcPr>
          <w:p w14:paraId="40C94639" w14:textId="6035AA72" w:rsidR="006632D3" w:rsidRPr="000F6B35" w:rsidRDefault="00B12AFD" w:rsidP="00ED5CB7">
            <w:pPr>
              <w:pStyle w:val="Tabletext0"/>
              <w:keepNext/>
              <w:keepLines/>
              <w:jc w:val="right"/>
            </w:pPr>
            <w:r w:rsidRPr="009B60A4">
              <w:rPr>
                <w:rFonts w:cs="Calibri"/>
                <w:color w:val="000000"/>
              </w:rPr>
              <w:t>$</w:t>
            </w:r>
            <w:r>
              <w:rPr>
                <w:rFonts w:cs="Calibri"/>
                <w:b/>
                <w:bCs/>
                <w:color w:val="000000"/>
              </w:rPr>
              <w:t>Redacted</w:t>
            </w:r>
          </w:p>
        </w:tc>
      </w:tr>
    </w:tbl>
    <w:p w14:paraId="51B6DC89" w14:textId="77777777" w:rsidR="006632D3" w:rsidRDefault="006632D3" w:rsidP="00ED5CB7">
      <w:pPr>
        <w:pStyle w:val="Tablenotes"/>
        <w:keepNext/>
        <w:keepLines/>
        <w:contextualSpacing w:val="0"/>
      </w:pPr>
      <w:r>
        <w:t xml:space="preserve">ERT = enzyme replacement therapy; GSD II = glycogen storage disorder Type II; ICER = incremental cost-effectiveness ratio; IO = infantile onset; LO = late onset; LY = life years; MPS I = mucopolysaccharidosis Type I; MPS II = mucopolysaccharidosis Type II; MS/MS = tandem mass spectrometry; NBS = newborn bloodspot screening; QALY = quality adjusted life years </w:t>
      </w:r>
    </w:p>
    <w:p w14:paraId="6F375CD1" w14:textId="3E8BE273" w:rsidR="006632D3" w:rsidRPr="00325BC4" w:rsidRDefault="006632D3" w:rsidP="00ED5CB7">
      <w:pPr>
        <w:pStyle w:val="Tablenotes"/>
        <w:keepNext/>
        <w:keepLines/>
      </w:pPr>
      <w:r w:rsidRPr="02E2EE7D">
        <w:rPr>
          <w:vertAlign w:val="superscript"/>
        </w:rPr>
        <w:t>a</w:t>
      </w:r>
      <w:r w:rsidRPr="02E2EE7D">
        <w:t xml:space="preserve"> From October 2024 </w:t>
      </w:r>
      <w:r w:rsidR="00606312" w:rsidRPr="00CA2E09">
        <w:rPr>
          <w:b/>
          <w:bCs/>
        </w:rPr>
        <w:t>Redacted</w:t>
      </w:r>
      <w:r w:rsidR="00606312" w:rsidRPr="00F076FA">
        <w:t xml:space="preserve"> </w:t>
      </w:r>
      <w:r w:rsidRPr="00F076FA">
        <w:t>kit</w:t>
      </w:r>
      <w:r w:rsidRPr="02E2EE7D">
        <w:t xml:space="preserve"> </w:t>
      </w:r>
      <w:r w:rsidR="00F91284">
        <w:t xml:space="preserve">is </w:t>
      </w:r>
      <w:r w:rsidRPr="02E2EE7D">
        <w:t xml:space="preserve">available for multiplexing MS/MS enzymatic assays for MPS I, MPS II and Pompe disorders which are currently under MSAC consideration for NBS panel extension. If these tests were multiplexed, the screening cost per sample attributed to MPS I detection will be one-third as the running cost (all the operational costs, equipment costs and kit costs) would remain same but will perform detection of three disorders at the same time. </w:t>
      </w:r>
    </w:p>
    <w:p w14:paraId="2672C6F9" w14:textId="18D50C82" w:rsidR="001F3F40" w:rsidRPr="00FA4515" w:rsidRDefault="00F858A6" w:rsidP="00FA4515">
      <w:pPr>
        <w:rPr>
          <w:u w:val="single"/>
        </w:rPr>
      </w:pPr>
      <w:r>
        <w:rPr>
          <w:u w:val="single"/>
        </w:rPr>
        <w:t>Segregation and c</w:t>
      </w:r>
      <w:r w:rsidR="001F3F40" w:rsidRPr="00FA4515">
        <w:rPr>
          <w:u w:val="single"/>
        </w:rPr>
        <w:t>ascade testing</w:t>
      </w:r>
      <w:r w:rsidR="001F3F40">
        <w:rPr>
          <w:u w:val="single"/>
        </w:rPr>
        <w:t xml:space="preserve"> in family members of the index cases (PICO set 2)</w:t>
      </w:r>
    </w:p>
    <w:p w14:paraId="1C47FFF2" w14:textId="5F1AB47C" w:rsidR="001F3F40" w:rsidRDefault="001F3F40" w:rsidP="00FA4515">
      <w:r w:rsidRPr="02E2EE7D">
        <w:t xml:space="preserve">Most diagnosed cases of GSD II would be associated with familial screening (biological parents and siblings of an affected individual). The testing strategy is the same irrespective of the diagnostic pathway, differing only in the timing of the testing. Uptake rate of cascade testing for LOGSD II diagnosed after symptom onset at older age, is lower compared to the uptake in family members of cases diagnosed through NBS. </w:t>
      </w:r>
      <w:r>
        <w:fldChar w:fldCharType="begin"/>
      </w:r>
      <w:r>
        <w:instrText xml:space="preserve"> REF _Ref181825533 \h </w:instrText>
      </w:r>
      <w:r>
        <w:fldChar w:fldCharType="separate"/>
      </w:r>
      <w:r w:rsidR="004A68D4">
        <w:t>Table 10</w:t>
      </w:r>
      <w:r>
        <w:fldChar w:fldCharType="end"/>
      </w:r>
      <w:r w:rsidRPr="02E2EE7D">
        <w:t xml:space="preserve"> provides </w:t>
      </w:r>
      <w:bookmarkStart w:id="54" w:name="_Hlk184838619"/>
      <w:r w:rsidR="0092419A" w:rsidRPr="02E2EE7D">
        <w:t xml:space="preserve">a cost analysis for </w:t>
      </w:r>
      <w:bookmarkEnd w:id="54"/>
      <w:r w:rsidR="0092419A" w:rsidRPr="02E2EE7D">
        <w:t xml:space="preserve">the cascade tests associated with a cohort of 100,000 newborns. Overall, for an incremental increase in expenditure of </w:t>
      </w:r>
      <w:r w:rsidR="008854B8" w:rsidRPr="008854B8">
        <w:t>$</w:t>
      </w:r>
      <w:r w:rsidR="008854B8" w:rsidRPr="00DC3ADE">
        <w:rPr>
          <w:b/>
          <w:bCs/>
        </w:rPr>
        <w:t>REDACTED</w:t>
      </w:r>
      <w:r w:rsidR="008854B8" w:rsidRPr="008854B8" w:rsidDel="008854B8">
        <w:t xml:space="preserve"> </w:t>
      </w:r>
      <w:r w:rsidR="0092419A" w:rsidRPr="02E2EE7D">
        <w:t>(of which $7,831 is for additional cascade testing); an additional 2.23 couples (4.46 individuals) are informed for reproductive planning in addition to the 1.29 incremental diagnoses of index cases due to the NBS.</w:t>
      </w:r>
    </w:p>
    <w:p w14:paraId="1132B751" w14:textId="1EDEAC3E" w:rsidR="001F3F40" w:rsidRDefault="001F3F40" w:rsidP="00FA4515">
      <w:pPr>
        <w:pStyle w:val="Caption"/>
      </w:pPr>
      <w:bookmarkStart w:id="55" w:name="_Ref181825533"/>
      <w:r>
        <w:t>Table</w:t>
      </w:r>
      <w:r w:rsidR="00E96362">
        <w:t xml:space="preserve"> </w:t>
      </w:r>
      <w:r w:rsidR="004A68D4">
        <w:t>10</w:t>
      </w:r>
      <w:bookmarkEnd w:id="55"/>
      <w:r>
        <w:tab/>
        <w:t xml:space="preserve">Results for the </w:t>
      </w:r>
      <w:r w:rsidR="00C07A75">
        <w:t xml:space="preserve">segregation and </w:t>
      </w:r>
      <w:r>
        <w:t>cascade tests associated with a cohort of 100,000 newborns</w:t>
      </w:r>
    </w:p>
    <w:tbl>
      <w:tblPr>
        <w:tblW w:w="5000" w:type="pct"/>
        <w:tblLayout w:type="fixed"/>
        <w:tblLook w:val="04A0" w:firstRow="1" w:lastRow="0" w:firstColumn="1" w:lastColumn="0" w:noHBand="0" w:noVBand="1"/>
      </w:tblPr>
      <w:tblGrid>
        <w:gridCol w:w="5128"/>
        <w:gridCol w:w="1437"/>
        <w:gridCol w:w="1349"/>
        <w:gridCol w:w="1102"/>
      </w:tblGrid>
      <w:tr w:rsidR="00350FBE" w:rsidRPr="00667E36" w14:paraId="70BF3577" w14:textId="77777777" w:rsidTr="00175863">
        <w:trPr>
          <w:trHeight w:val="255"/>
        </w:trPr>
        <w:tc>
          <w:tcPr>
            <w:tcW w:w="2843" w:type="pct"/>
            <w:tcBorders>
              <w:top w:val="single" w:sz="4" w:space="0" w:color="auto"/>
              <w:left w:val="single" w:sz="4" w:space="0" w:color="auto"/>
              <w:bottom w:val="single" w:sz="4" w:space="0" w:color="auto"/>
              <w:right w:val="single" w:sz="4" w:space="0" w:color="auto"/>
            </w:tcBorders>
            <w:noWrap/>
            <w:vAlign w:val="bottom"/>
            <w:hideMark/>
          </w:tcPr>
          <w:p w14:paraId="61AF4E14" w14:textId="77777777" w:rsidR="001F3F40" w:rsidRPr="00667E36" w:rsidRDefault="001F3F40" w:rsidP="00EC15A4">
            <w:pPr>
              <w:spacing w:before="0" w:after="0" w:line="240" w:lineRule="auto"/>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 </w:t>
            </w:r>
          </w:p>
        </w:tc>
        <w:tc>
          <w:tcPr>
            <w:tcW w:w="797" w:type="pct"/>
            <w:tcBorders>
              <w:top w:val="single" w:sz="4" w:space="0" w:color="auto"/>
              <w:left w:val="nil"/>
              <w:bottom w:val="single" w:sz="4" w:space="0" w:color="auto"/>
              <w:right w:val="single" w:sz="4" w:space="0" w:color="auto"/>
            </w:tcBorders>
            <w:noWrap/>
            <w:vAlign w:val="bottom"/>
            <w:hideMark/>
          </w:tcPr>
          <w:p w14:paraId="1D534330" w14:textId="77777777" w:rsidR="001F3F40" w:rsidRPr="00667E36" w:rsidRDefault="001F3F40" w:rsidP="00EC15A4">
            <w:pPr>
              <w:spacing w:before="0" w:after="0" w:line="240" w:lineRule="auto"/>
              <w:rPr>
                <w:rFonts w:ascii="Arial Narrow" w:eastAsia="Times New Roman" w:hAnsi="Arial Narrow" w:cs="Calibri"/>
                <w:b/>
                <w:bCs/>
                <w:color w:val="000000"/>
                <w:sz w:val="20"/>
                <w:szCs w:val="20"/>
                <w:lang w:eastAsia="en-AU"/>
              </w:rPr>
            </w:pPr>
            <w:r w:rsidRPr="00667E36">
              <w:rPr>
                <w:rFonts w:ascii="Arial Narrow" w:eastAsia="Times New Roman" w:hAnsi="Arial Narrow" w:cs="Calibri"/>
                <w:b/>
                <w:bCs/>
                <w:color w:val="000000"/>
                <w:sz w:val="20"/>
                <w:szCs w:val="20"/>
                <w:lang w:eastAsia="en-AU"/>
              </w:rPr>
              <w:t>Universal NBS</w:t>
            </w:r>
          </w:p>
        </w:tc>
        <w:tc>
          <w:tcPr>
            <w:tcW w:w="748" w:type="pct"/>
            <w:tcBorders>
              <w:top w:val="single" w:sz="4" w:space="0" w:color="auto"/>
              <w:left w:val="nil"/>
              <w:bottom w:val="single" w:sz="4" w:space="0" w:color="auto"/>
              <w:right w:val="single" w:sz="4" w:space="0" w:color="auto"/>
            </w:tcBorders>
            <w:noWrap/>
            <w:vAlign w:val="bottom"/>
            <w:hideMark/>
          </w:tcPr>
          <w:p w14:paraId="1E454DD3" w14:textId="77777777" w:rsidR="001F3F40" w:rsidRPr="00667E36" w:rsidRDefault="001F3F40" w:rsidP="00EC15A4">
            <w:pPr>
              <w:spacing w:before="0" w:after="0" w:line="240" w:lineRule="auto"/>
              <w:rPr>
                <w:rFonts w:ascii="Arial Narrow" w:eastAsia="Times New Roman" w:hAnsi="Arial Narrow" w:cs="Calibri"/>
                <w:b/>
                <w:bCs/>
                <w:color w:val="000000"/>
                <w:sz w:val="20"/>
                <w:szCs w:val="20"/>
                <w:lang w:eastAsia="en-AU"/>
              </w:rPr>
            </w:pPr>
            <w:r w:rsidRPr="00667E36">
              <w:rPr>
                <w:rFonts w:ascii="Arial Narrow" w:eastAsia="Times New Roman" w:hAnsi="Arial Narrow" w:cs="Calibri"/>
                <w:b/>
                <w:bCs/>
                <w:color w:val="000000"/>
                <w:sz w:val="20"/>
                <w:szCs w:val="20"/>
                <w:lang w:eastAsia="en-AU"/>
              </w:rPr>
              <w:t>No universal NBS</w:t>
            </w:r>
          </w:p>
        </w:tc>
        <w:tc>
          <w:tcPr>
            <w:tcW w:w="611" w:type="pct"/>
            <w:tcBorders>
              <w:top w:val="single" w:sz="4" w:space="0" w:color="auto"/>
              <w:left w:val="nil"/>
              <w:bottom w:val="single" w:sz="4" w:space="0" w:color="auto"/>
              <w:right w:val="single" w:sz="4" w:space="0" w:color="auto"/>
            </w:tcBorders>
            <w:noWrap/>
            <w:vAlign w:val="bottom"/>
            <w:hideMark/>
          </w:tcPr>
          <w:p w14:paraId="63C752C5" w14:textId="77777777" w:rsidR="001F3F40" w:rsidRPr="00667E36" w:rsidRDefault="001F3F40" w:rsidP="00EC15A4">
            <w:pPr>
              <w:spacing w:before="0" w:after="0" w:line="240" w:lineRule="auto"/>
              <w:rPr>
                <w:rFonts w:ascii="Arial Narrow" w:eastAsia="Times New Roman" w:hAnsi="Arial Narrow" w:cs="Calibri"/>
                <w:b/>
                <w:bCs/>
                <w:color w:val="000000"/>
                <w:sz w:val="20"/>
                <w:szCs w:val="20"/>
                <w:lang w:eastAsia="en-AU"/>
              </w:rPr>
            </w:pPr>
            <w:r w:rsidRPr="00667E36">
              <w:rPr>
                <w:rFonts w:ascii="Arial Narrow" w:eastAsia="Times New Roman" w:hAnsi="Arial Narrow" w:cs="Calibri"/>
                <w:b/>
                <w:bCs/>
                <w:color w:val="000000"/>
                <w:sz w:val="20"/>
                <w:szCs w:val="20"/>
                <w:lang w:eastAsia="en-AU"/>
              </w:rPr>
              <w:t>Increment</w:t>
            </w:r>
          </w:p>
        </w:tc>
      </w:tr>
      <w:tr w:rsidR="00350FBE" w:rsidRPr="00667E36" w14:paraId="27507878" w14:textId="77777777" w:rsidTr="00175863">
        <w:trPr>
          <w:trHeight w:val="255"/>
        </w:trPr>
        <w:tc>
          <w:tcPr>
            <w:tcW w:w="2843" w:type="pct"/>
            <w:tcBorders>
              <w:top w:val="nil"/>
              <w:left w:val="single" w:sz="4" w:space="0" w:color="auto"/>
              <w:bottom w:val="single" w:sz="4" w:space="0" w:color="auto"/>
              <w:right w:val="single" w:sz="4" w:space="0" w:color="auto"/>
            </w:tcBorders>
            <w:noWrap/>
            <w:vAlign w:val="bottom"/>
            <w:hideMark/>
          </w:tcPr>
          <w:p w14:paraId="727317A1" w14:textId="792554B1" w:rsidR="001F3F40" w:rsidRPr="00667E36" w:rsidRDefault="001F3F40" w:rsidP="00EC15A4">
            <w:pPr>
              <w:spacing w:before="0" w:after="0" w:line="240" w:lineRule="auto"/>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 xml:space="preserve">Number of </w:t>
            </w:r>
            <w:r w:rsidR="00F858A6">
              <w:rPr>
                <w:rFonts w:ascii="Arial Narrow" w:eastAsia="Times New Roman" w:hAnsi="Arial Narrow" w:cs="Calibri"/>
                <w:color w:val="000000"/>
                <w:sz w:val="20"/>
                <w:szCs w:val="20"/>
                <w:lang w:eastAsia="en-AU"/>
              </w:rPr>
              <w:t>segregation</w:t>
            </w:r>
            <w:r w:rsidR="00F858A6" w:rsidRPr="00667E36">
              <w:rPr>
                <w:rFonts w:ascii="Arial Narrow" w:eastAsia="Times New Roman" w:hAnsi="Arial Narrow" w:cs="Calibri"/>
                <w:color w:val="000000"/>
                <w:sz w:val="20"/>
                <w:szCs w:val="20"/>
                <w:lang w:eastAsia="en-AU"/>
              </w:rPr>
              <w:t xml:space="preserve"> </w:t>
            </w:r>
            <w:r w:rsidRPr="00667E36">
              <w:rPr>
                <w:rFonts w:ascii="Arial Narrow" w:eastAsia="Times New Roman" w:hAnsi="Arial Narrow" w:cs="Calibri"/>
                <w:color w:val="000000"/>
                <w:sz w:val="20"/>
                <w:szCs w:val="20"/>
                <w:lang w:eastAsia="en-AU"/>
              </w:rPr>
              <w:t>tests (</w:t>
            </w:r>
            <w:r>
              <w:rPr>
                <w:rFonts w:ascii="Arial Narrow" w:eastAsia="Times New Roman" w:hAnsi="Arial Narrow" w:cs="Calibri"/>
                <w:color w:val="000000"/>
                <w:sz w:val="20"/>
                <w:szCs w:val="20"/>
                <w:lang w:eastAsia="en-AU"/>
              </w:rPr>
              <w:t>couples</w:t>
            </w:r>
            <w:r w:rsidRPr="00667E36">
              <w:rPr>
                <w:rFonts w:ascii="Arial Narrow" w:eastAsia="Times New Roman" w:hAnsi="Arial Narrow" w:cs="Calibri"/>
                <w:color w:val="000000"/>
                <w:sz w:val="20"/>
                <w:szCs w:val="20"/>
                <w:lang w:eastAsia="en-AU"/>
              </w:rPr>
              <w:t>)</w:t>
            </w:r>
          </w:p>
        </w:tc>
        <w:tc>
          <w:tcPr>
            <w:tcW w:w="797" w:type="pct"/>
            <w:tcBorders>
              <w:top w:val="nil"/>
              <w:left w:val="nil"/>
              <w:bottom w:val="single" w:sz="4" w:space="0" w:color="auto"/>
              <w:right w:val="single" w:sz="4" w:space="0" w:color="auto"/>
            </w:tcBorders>
            <w:noWrap/>
            <w:vAlign w:val="bottom"/>
            <w:hideMark/>
          </w:tcPr>
          <w:p w14:paraId="445E7000"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3.48</w:t>
            </w:r>
          </w:p>
        </w:tc>
        <w:tc>
          <w:tcPr>
            <w:tcW w:w="748" w:type="pct"/>
            <w:tcBorders>
              <w:top w:val="nil"/>
              <w:left w:val="nil"/>
              <w:bottom w:val="single" w:sz="4" w:space="0" w:color="auto"/>
              <w:right w:val="single" w:sz="4" w:space="0" w:color="auto"/>
            </w:tcBorders>
            <w:noWrap/>
            <w:vAlign w:val="bottom"/>
            <w:hideMark/>
          </w:tcPr>
          <w:p w14:paraId="75FB9B38"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1.25</w:t>
            </w:r>
          </w:p>
        </w:tc>
        <w:tc>
          <w:tcPr>
            <w:tcW w:w="611" w:type="pct"/>
            <w:tcBorders>
              <w:top w:val="nil"/>
              <w:left w:val="nil"/>
              <w:bottom w:val="single" w:sz="4" w:space="0" w:color="auto"/>
              <w:right w:val="single" w:sz="4" w:space="0" w:color="auto"/>
            </w:tcBorders>
            <w:noWrap/>
            <w:vAlign w:val="bottom"/>
            <w:hideMark/>
          </w:tcPr>
          <w:p w14:paraId="507EB0C6"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2.23</w:t>
            </w:r>
          </w:p>
        </w:tc>
      </w:tr>
      <w:tr w:rsidR="00350FBE" w:rsidRPr="00667E36" w14:paraId="189D1105" w14:textId="77777777" w:rsidTr="00175863">
        <w:trPr>
          <w:trHeight w:val="255"/>
        </w:trPr>
        <w:tc>
          <w:tcPr>
            <w:tcW w:w="2843" w:type="pct"/>
            <w:tcBorders>
              <w:top w:val="nil"/>
              <w:left w:val="single" w:sz="4" w:space="0" w:color="auto"/>
              <w:bottom w:val="single" w:sz="4" w:space="0" w:color="auto"/>
              <w:right w:val="single" w:sz="4" w:space="0" w:color="auto"/>
            </w:tcBorders>
            <w:noWrap/>
            <w:vAlign w:val="bottom"/>
            <w:hideMark/>
          </w:tcPr>
          <w:p w14:paraId="552A5395" w14:textId="282EF0A8" w:rsidR="001F3F40" w:rsidRPr="00667E36" w:rsidRDefault="001F3F40" w:rsidP="00EC15A4">
            <w:pPr>
              <w:spacing w:before="0" w:after="0" w:line="240" w:lineRule="auto"/>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Cost</w:t>
            </w:r>
            <w:r>
              <w:rPr>
                <w:rFonts w:ascii="Arial Narrow" w:eastAsia="Times New Roman" w:hAnsi="Arial Narrow" w:cs="Calibri"/>
                <w:color w:val="000000"/>
                <w:sz w:val="20"/>
                <w:szCs w:val="20"/>
                <w:lang w:eastAsia="en-AU"/>
              </w:rPr>
              <w:t xml:space="preserve"> associated with </w:t>
            </w:r>
            <w:r w:rsidR="00F858A6">
              <w:rPr>
                <w:rFonts w:ascii="Arial Narrow" w:eastAsia="Times New Roman" w:hAnsi="Arial Narrow" w:cs="Calibri"/>
                <w:color w:val="000000"/>
                <w:sz w:val="20"/>
                <w:szCs w:val="20"/>
                <w:lang w:eastAsia="en-AU"/>
              </w:rPr>
              <w:t>segregation</w:t>
            </w:r>
            <w:r>
              <w:rPr>
                <w:rFonts w:ascii="Arial Narrow" w:eastAsia="Times New Roman" w:hAnsi="Arial Narrow" w:cs="Calibri"/>
                <w:color w:val="000000"/>
                <w:sz w:val="20"/>
                <w:szCs w:val="20"/>
                <w:lang w:eastAsia="en-AU"/>
              </w:rPr>
              <w:t xml:space="preserve"> tests</w:t>
            </w:r>
          </w:p>
        </w:tc>
        <w:tc>
          <w:tcPr>
            <w:tcW w:w="797" w:type="pct"/>
            <w:tcBorders>
              <w:top w:val="nil"/>
              <w:left w:val="nil"/>
              <w:bottom w:val="single" w:sz="4" w:space="0" w:color="auto"/>
              <w:right w:val="single" w:sz="4" w:space="0" w:color="auto"/>
            </w:tcBorders>
            <w:noWrap/>
            <w:vAlign w:val="bottom"/>
            <w:hideMark/>
          </w:tcPr>
          <w:p w14:paraId="53D5599D"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$4,377</w:t>
            </w:r>
          </w:p>
        </w:tc>
        <w:tc>
          <w:tcPr>
            <w:tcW w:w="748" w:type="pct"/>
            <w:tcBorders>
              <w:top w:val="nil"/>
              <w:left w:val="nil"/>
              <w:bottom w:val="single" w:sz="4" w:space="0" w:color="auto"/>
              <w:right w:val="single" w:sz="4" w:space="0" w:color="auto"/>
            </w:tcBorders>
            <w:noWrap/>
            <w:vAlign w:val="bottom"/>
            <w:hideMark/>
          </w:tcPr>
          <w:p w14:paraId="3ADBB7BF"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$640</w:t>
            </w:r>
          </w:p>
        </w:tc>
        <w:tc>
          <w:tcPr>
            <w:tcW w:w="611" w:type="pct"/>
            <w:tcBorders>
              <w:top w:val="nil"/>
              <w:left w:val="nil"/>
              <w:bottom w:val="single" w:sz="4" w:space="0" w:color="auto"/>
              <w:right w:val="single" w:sz="4" w:space="0" w:color="auto"/>
            </w:tcBorders>
            <w:noWrap/>
            <w:vAlign w:val="bottom"/>
            <w:hideMark/>
          </w:tcPr>
          <w:p w14:paraId="1A2500D1" w14:textId="2F7097FC"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$3,737</w:t>
            </w:r>
          </w:p>
        </w:tc>
      </w:tr>
      <w:tr w:rsidR="00350FBE" w:rsidRPr="00667E36" w14:paraId="1F9E1BDC" w14:textId="77777777" w:rsidTr="00175863">
        <w:trPr>
          <w:trHeight w:val="255"/>
        </w:trPr>
        <w:tc>
          <w:tcPr>
            <w:tcW w:w="2843" w:type="pct"/>
            <w:tcBorders>
              <w:top w:val="nil"/>
              <w:left w:val="single" w:sz="4" w:space="0" w:color="auto"/>
              <w:bottom w:val="single" w:sz="4" w:space="0" w:color="auto"/>
              <w:right w:val="single" w:sz="4" w:space="0" w:color="auto"/>
            </w:tcBorders>
            <w:noWrap/>
            <w:vAlign w:val="bottom"/>
            <w:hideMark/>
          </w:tcPr>
          <w:p w14:paraId="5CA29E0B" w14:textId="77777777" w:rsidR="001F3F40" w:rsidRPr="00667E36" w:rsidRDefault="001F3F40" w:rsidP="00EC15A4">
            <w:pPr>
              <w:spacing w:before="0" w:after="0" w:line="240" w:lineRule="auto"/>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Number of cascade tests (siblings)</w:t>
            </w:r>
          </w:p>
        </w:tc>
        <w:tc>
          <w:tcPr>
            <w:tcW w:w="797" w:type="pct"/>
            <w:tcBorders>
              <w:top w:val="nil"/>
              <w:left w:val="nil"/>
              <w:bottom w:val="single" w:sz="4" w:space="0" w:color="auto"/>
              <w:right w:val="single" w:sz="4" w:space="0" w:color="auto"/>
            </w:tcBorders>
            <w:noWrap/>
            <w:vAlign w:val="bottom"/>
            <w:hideMark/>
          </w:tcPr>
          <w:p w14:paraId="6595F2CC"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3.48</w:t>
            </w:r>
          </w:p>
        </w:tc>
        <w:tc>
          <w:tcPr>
            <w:tcW w:w="748" w:type="pct"/>
            <w:tcBorders>
              <w:top w:val="nil"/>
              <w:left w:val="nil"/>
              <w:bottom w:val="single" w:sz="4" w:space="0" w:color="auto"/>
              <w:right w:val="single" w:sz="4" w:space="0" w:color="auto"/>
            </w:tcBorders>
            <w:noWrap/>
            <w:vAlign w:val="bottom"/>
            <w:hideMark/>
          </w:tcPr>
          <w:p w14:paraId="44905E0A"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3.48</w:t>
            </w:r>
          </w:p>
        </w:tc>
        <w:tc>
          <w:tcPr>
            <w:tcW w:w="611" w:type="pct"/>
            <w:tcBorders>
              <w:top w:val="nil"/>
              <w:left w:val="nil"/>
              <w:bottom w:val="single" w:sz="4" w:space="0" w:color="auto"/>
              <w:right w:val="single" w:sz="4" w:space="0" w:color="auto"/>
            </w:tcBorders>
            <w:noWrap/>
            <w:vAlign w:val="bottom"/>
            <w:hideMark/>
          </w:tcPr>
          <w:p w14:paraId="71748EFB"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0.00</w:t>
            </w:r>
          </w:p>
        </w:tc>
      </w:tr>
      <w:tr w:rsidR="00350FBE" w:rsidRPr="00667E36" w14:paraId="1A0DE25A" w14:textId="77777777" w:rsidTr="00175863">
        <w:trPr>
          <w:trHeight w:val="255"/>
        </w:trPr>
        <w:tc>
          <w:tcPr>
            <w:tcW w:w="2843" w:type="pct"/>
            <w:tcBorders>
              <w:top w:val="nil"/>
              <w:left w:val="single" w:sz="4" w:space="0" w:color="auto"/>
              <w:bottom w:val="single" w:sz="4" w:space="0" w:color="auto"/>
              <w:right w:val="single" w:sz="4" w:space="0" w:color="auto"/>
            </w:tcBorders>
            <w:noWrap/>
            <w:vAlign w:val="bottom"/>
            <w:hideMark/>
          </w:tcPr>
          <w:p w14:paraId="0F9F9753" w14:textId="77777777" w:rsidR="001F3F40" w:rsidRPr="00667E36" w:rsidRDefault="001F3F40" w:rsidP="00EC15A4">
            <w:pPr>
              <w:spacing w:before="0" w:after="0" w:line="240" w:lineRule="auto"/>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Cost</w:t>
            </w:r>
            <w:r>
              <w:rPr>
                <w:rFonts w:ascii="Arial Narrow" w:eastAsia="Times New Roman" w:hAnsi="Arial Narrow" w:cs="Calibri"/>
                <w:color w:val="000000"/>
                <w:sz w:val="20"/>
                <w:szCs w:val="20"/>
                <w:lang w:eastAsia="en-AU"/>
              </w:rPr>
              <w:t xml:space="preserve"> associated with cascade tests</w:t>
            </w:r>
          </w:p>
        </w:tc>
        <w:tc>
          <w:tcPr>
            <w:tcW w:w="797" w:type="pct"/>
            <w:tcBorders>
              <w:top w:val="nil"/>
              <w:left w:val="nil"/>
              <w:bottom w:val="single" w:sz="4" w:space="0" w:color="auto"/>
              <w:right w:val="single" w:sz="4" w:space="0" w:color="auto"/>
            </w:tcBorders>
            <w:noWrap/>
            <w:vAlign w:val="bottom"/>
            <w:hideMark/>
          </w:tcPr>
          <w:p w14:paraId="787CFACE"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$4,795</w:t>
            </w:r>
          </w:p>
        </w:tc>
        <w:tc>
          <w:tcPr>
            <w:tcW w:w="748" w:type="pct"/>
            <w:tcBorders>
              <w:top w:val="nil"/>
              <w:left w:val="nil"/>
              <w:bottom w:val="single" w:sz="4" w:space="0" w:color="auto"/>
              <w:right w:val="single" w:sz="4" w:space="0" w:color="auto"/>
            </w:tcBorders>
            <w:noWrap/>
            <w:vAlign w:val="bottom"/>
            <w:hideMark/>
          </w:tcPr>
          <w:p w14:paraId="6DAE9EC1"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$701</w:t>
            </w:r>
          </w:p>
        </w:tc>
        <w:tc>
          <w:tcPr>
            <w:tcW w:w="611" w:type="pct"/>
            <w:tcBorders>
              <w:top w:val="nil"/>
              <w:left w:val="nil"/>
              <w:bottom w:val="single" w:sz="4" w:space="0" w:color="auto"/>
              <w:right w:val="single" w:sz="4" w:space="0" w:color="auto"/>
            </w:tcBorders>
            <w:noWrap/>
            <w:vAlign w:val="bottom"/>
            <w:hideMark/>
          </w:tcPr>
          <w:p w14:paraId="5F0D3DEF"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$4,094</w:t>
            </w:r>
          </w:p>
        </w:tc>
      </w:tr>
      <w:tr w:rsidR="00350FBE" w:rsidRPr="00667E36" w14:paraId="1970FB0D" w14:textId="77777777" w:rsidTr="00175863">
        <w:trPr>
          <w:trHeight w:val="255"/>
        </w:trPr>
        <w:tc>
          <w:tcPr>
            <w:tcW w:w="2843" w:type="pct"/>
            <w:tcBorders>
              <w:top w:val="nil"/>
              <w:left w:val="single" w:sz="4" w:space="0" w:color="auto"/>
              <w:bottom w:val="single" w:sz="4" w:space="0" w:color="auto"/>
              <w:right w:val="single" w:sz="4" w:space="0" w:color="auto"/>
            </w:tcBorders>
            <w:noWrap/>
            <w:vAlign w:val="bottom"/>
            <w:hideMark/>
          </w:tcPr>
          <w:p w14:paraId="21B15915" w14:textId="77777777" w:rsidR="001F3F40" w:rsidRPr="00667E36" w:rsidRDefault="001F3F40" w:rsidP="00EC15A4">
            <w:pPr>
              <w:spacing w:before="0" w:after="0" w:line="240" w:lineRule="auto"/>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Total number of family members tested</w:t>
            </w:r>
          </w:p>
        </w:tc>
        <w:tc>
          <w:tcPr>
            <w:tcW w:w="797" w:type="pct"/>
            <w:tcBorders>
              <w:top w:val="nil"/>
              <w:left w:val="nil"/>
              <w:bottom w:val="single" w:sz="4" w:space="0" w:color="auto"/>
              <w:right w:val="single" w:sz="4" w:space="0" w:color="auto"/>
            </w:tcBorders>
            <w:noWrap/>
            <w:vAlign w:val="bottom"/>
            <w:hideMark/>
          </w:tcPr>
          <w:p w14:paraId="2BB351EC"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10.44</w:t>
            </w:r>
          </w:p>
        </w:tc>
        <w:tc>
          <w:tcPr>
            <w:tcW w:w="748" w:type="pct"/>
            <w:tcBorders>
              <w:top w:val="nil"/>
              <w:left w:val="nil"/>
              <w:bottom w:val="single" w:sz="4" w:space="0" w:color="auto"/>
              <w:right w:val="single" w:sz="4" w:space="0" w:color="auto"/>
            </w:tcBorders>
            <w:noWrap/>
            <w:vAlign w:val="bottom"/>
            <w:hideMark/>
          </w:tcPr>
          <w:p w14:paraId="195A95AA"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5.98</w:t>
            </w:r>
          </w:p>
        </w:tc>
        <w:tc>
          <w:tcPr>
            <w:tcW w:w="611" w:type="pct"/>
            <w:tcBorders>
              <w:top w:val="nil"/>
              <w:left w:val="nil"/>
              <w:bottom w:val="single" w:sz="4" w:space="0" w:color="auto"/>
              <w:right w:val="single" w:sz="4" w:space="0" w:color="auto"/>
            </w:tcBorders>
            <w:noWrap/>
            <w:vAlign w:val="bottom"/>
            <w:hideMark/>
          </w:tcPr>
          <w:p w14:paraId="432C66CF" w14:textId="77777777" w:rsidR="001F3F40" w:rsidRPr="00667E36" w:rsidRDefault="001F3F40" w:rsidP="00EC15A4">
            <w:pPr>
              <w:spacing w:before="0" w:after="0" w:line="240" w:lineRule="auto"/>
              <w:jc w:val="right"/>
              <w:rPr>
                <w:rFonts w:ascii="Arial Narrow" w:eastAsia="Times New Roman" w:hAnsi="Arial Narrow" w:cs="Calibri"/>
                <w:color w:val="000000"/>
                <w:sz w:val="20"/>
                <w:szCs w:val="20"/>
                <w:lang w:eastAsia="en-AU"/>
              </w:rPr>
            </w:pPr>
            <w:r w:rsidRPr="00667E36">
              <w:rPr>
                <w:rFonts w:ascii="Arial Narrow" w:eastAsia="Times New Roman" w:hAnsi="Arial Narrow" w:cs="Calibri"/>
                <w:color w:val="000000"/>
                <w:sz w:val="20"/>
                <w:szCs w:val="20"/>
                <w:lang w:eastAsia="en-AU"/>
              </w:rPr>
              <w:t>4.46</w:t>
            </w:r>
          </w:p>
        </w:tc>
      </w:tr>
      <w:tr w:rsidR="00AA36D8" w:rsidRPr="00667E36" w14:paraId="62799EC4" w14:textId="77777777" w:rsidTr="00175863">
        <w:trPr>
          <w:trHeight w:val="255"/>
        </w:trPr>
        <w:tc>
          <w:tcPr>
            <w:tcW w:w="2843" w:type="pct"/>
            <w:tcBorders>
              <w:top w:val="nil"/>
              <w:left w:val="single" w:sz="4" w:space="0" w:color="auto"/>
              <w:bottom w:val="single" w:sz="4" w:space="0" w:color="auto"/>
              <w:right w:val="single" w:sz="4" w:space="0" w:color="auto"/>
            </w:tcBorders>
            <w:noWrap/>
            <w:vAlign w:val="bottom"/>
            <w:hideMark/>
          </w:tcPr>
          <w:p w14:paraId="1E5BF220" w14:textId="2BD3154E" w:rsidR="00AA36D8" w:rsidRPr="00667E36" w:rsidRDefault="00AA36D8" w:rsidP="00AA36D8">
            <w:pPr>
              <w:spacing w:before="0" w:after="0" w:line="240" w:lineRule="auto"/>
              <w:rPr>
                <w:rFonts w:ascii="Arial Narrow" w:eastAsia="Times New Roman" w:hAnsi="Arial Narrow" w:cs="Calibri"/>
                <w:b/>
                <w:bCs/>
                <w:color w:val="000000"/>
                <w:sz w:val="20"/>
                <w:szCs w:val="20"/>
                <w:lang w:eastAsia="en-AU"/>
              </w:rPr>
            </w:pPr>
            <w:r w:rsidRPr="00667E36">
              <w:rPr>
                <w:rFonts w:ascii="Arial Narrow" w:eastAsia="Times New Roman" w:hAnsi="Arial Narrow" w:cs="Calibri"/>
                <w:b/>
                <w:bCs/>
                <w:color w:val="000000"/>
                <w:sz w:val="20"/>
                <w:szCs w:val="20"/>
                <w:lang w:eastAsia="en-AU"/>
              </w:rPr>
              <w:t>Total cost</w:t>
            </w:r>
            <w:r>
              <w:rPr>
                <w:rFonts w:ascii="Arial Narrow" w:eastAsia="Times New Roman" w:hAnsi="Arial Narrow" w:cs="Calibri"/>
                <w:b/>
                <w:bCs/>
                <w:color w:val="000000"/>
                <w:sz w:val="20"/>
                <w:szCs w:val="20"/>
                <w:lang w:eastAsia="en-AU"/>
              </w:rPr>
              <w:t xml:space="preserve">s of </w:t>
            </w:r>
            <w:r w:rsidR="00787890">
              <w:rPr>
                <w:rFonts w:ascii="Arial Narrow" w:eastAsia="Times New Roman" w:hAnsi="Arial Narrow" w:cs="Calibri"/>
                <w:b/>
                <w:bCs/>
                <w:color w:val="000000"/>
                <w:sz w:val="20"/>
                <w:szCs w:val="20"/>
                <w:lang w:eastAsia="en-AU"/>
              </w:rPr>
              <w:t>sibling</w:t>
            </w:r>
            <w:r w:rsidR="00F858A6">
              <w:rPr>
                <w:rFonts w:ascii="Arial Narrow" w:eastAsia="Times New Roman" w:hAnsi="Arial Narrow" w:cs="Calibri"/>
                <w:b/>
                <w:bCs/>
                <w:color w:val="000000"/>
                <w:sz w:val="20"/>
                <w:szCs w:val="20"/>
                <w:lang w:eastAsia="en-AU"/>
              </w:rPr>
              <w:t xml:space="preserve"> </w:t>
            </w:r>
            <w:r>
              <w:rPr>
                <w:rFonts w:ascii="Arial Narrow" w:eastAsia="Times New Roman" w:hAnsi="Arial Narrow" w:cs="Calibri"/>
                <w:b/>
                <w:bCs/>
                <w:color w:val="000000"/>
                <w:sz w:val="20"/>
                <w:szCs w:val="20"/>
                <w:lang w:eastAsia="en-AU"/>
              </w:rPr>
              <w:t>testing (PICO set 2)</w:t>
            </w:r>
          </w:p>
        </w:tc>
        <w:tc>
          <w:tcPr>
            <w:tcW w:w="797" w:type="pct"/>
            <w:tcBorders>
              <w:top w:val="nil"/>
              <w:left w:val="nil"/>
              <w:bottom w:val="single" w:sz="4" w:space="0" w:color="auto"/>
              <w:right w:val="single" w:sz="4" w:space="0" w:color="auto"/>
            </w:tcBorders>
            <w:noWrap/>
            <w:vAlign w:val="bottom"/>
            <w:hideMark/>
          </w:tcPr>
          <w:p w14:paraId="48646547" w14:textId="330E5988" w:rsidR="00AA36D8" w:rsidRPr="00667E36" w:rsidRDefault="00AA36D8" w:rsidP="00AA36D8">
            <w:pPr>
              <w:spacing w:before="0" w:after="0" w:line="240" w:lineRule="auto"/>
              <w:jc w:val="right"/>
              <w:rPr>
                <w:rFonts w:ascii="Arial Narrow" w:eastAsia="Times New Roman" w:hAnsi="Arial Narrow" w:cs="Calibri"/>
                <w:b/>
                <w:bCs/>
                <w:color w:val="000000"/>
                <w:sz w:val="20"/>
                <w:szCs w:val="20"/>
                <w:lang w:eastAsia="en-AU"/>
              </w:rPr>
            </w:pPr>
            <w:r w:rsidRPr="00667E36">
              <w:rPr>
                <w:rFonts w:ascii="Arial Narrow" w:eastAsia="Times New Roman" w:hAnsi="Arial Narrow" w:cs="Calibri"/>
                <w:b/>
                <w:bCs/>
                <w:color w:val="000000"/>
                <w:sz w:val="20"/>
                <w:szCs w:val="20"/>
                <w:lang w:eastAsia="en-AU"/>
              </w:rPr>
              <w:t>$9,172</w:t>
            </w:r>
          </w:p>
        </w:tc>
        <w:tc>
          <w:tcPr>
            <w:tcW w:w="748" w:type="pct"/>
            <w:tcBorders>
              <w:top w:val="nil"/>
              <w:left w:val="nil"/>
              <w:bottom w:val="single" w:sz="4" w:space="0" w:color="auto"/>
              <w:right w:val="single" w:sz="4" w:space="0" w:color="auto"/>
            </w:tcBorders>
            <w:noWrap/>
            <w:vAlign w:val="bottom"/>
            <w:hideMark/>
          </w:tcPr>
          <w:p w14:paraId="4E8E42B6" w14:textId="7A061C81" w:rsidR="00AA36D8" w:rsidRPr="00667E36" w:rsidRDefault="00AA36D8" w:rsidP="00AA36D8">
            <w:pPr>
              <w:spacing w:before="0" w:after="0" w:line="240" w:lineRule="auto"/>
              <w:jc w:val="right"/>
              <w:rPr>
                <w:rFonts w:ascii="Arial Narrow" w:eastAsia="Times New Roman" w:hAnsi="Arial Narrow" w:cs="Calibri"/>
                <w:b/>
                <w:bCs/>
                <w:color w:val="000000"/>
                <w:sz w:val="20"/>
                <w:szCs w:val="20"/>
                <w:lang w:eastAsia="en-AU"/>
              </w:rPr>
            </w:pPr>
            <w:r w:rsidRPr="00667E36">
              <w:rPr>
                <w:rFonts w:ascii="Arial Narrow" w:eastAsia="Times New Roman" w:hAnsi="Arial Narrow" w:cs="Calibri"/>
                <w:b/>
                <w:bCs/>
                <w:color w:val="000000"/>
                <w:sz w:val="20"/>
                <w:szCs w:val="20"/>
                <w:lang w:eastAsia="en-AU"/>
              </w:rPr>
              <w:t>$1,341</w:t>
            </w:r>
          </w:p>
        </w:tc>
        <w:tc>
          <w:tcPr>
            <w:tcW w:w="611" w:type="pct"/>
            <w:tcBorders>
              <w:top w:val="nil"/>
              <w:left w:val="nil"/>
              <w:bottom w:val="single" w:sz="4" w:space="0" w:color="auto"/>
              <w:right w:val="single" w:sz="4" w:space="0" w:color="auto"/>
            </w:tcBorders>
            <w:noWrap/>
            <w:vAlign w:val="bottom"/>
            <w:hideMark/>
          </w:tcPr>
          <w:p w14:paraId="42A22BDD" w14:textId="785A158B" w:rsidR="00AA36D8" w:rsidRPr="00667E36" w:rsidRDefault="00AA36D8" w:rsidP="00AA36D8">
            <w:pPr>
              <w:spacing w:before="0" w:after="0" w:line="240" w:lineRule="auto"/>
              <w:jc w:val="right"/>
              <w:rPr>
                <w:rFonts w:ascii="Arial Narrow" w:eastAsia="Times New Roman" w:hAnsi="Arial Narrow" w:cs="Calibri"/>
                <w:b/>
                <w:bCs/>
                <w:color w:val="000000"/>
                <w:sz w:val="20"/>
                <w:szCs w:val="20"/>
                <w:lang w:eastAsia="en-AU"/>
              </w:rPr>
            </w:pPr>
            <w:r w:rsidRPr="00667E36">
              <w:rPr>
                <w:rFonts w:ascii="Arial Narrow" w:eastAsia="Times New Roman" w:hAnsi="Arial Narrow" w:cs="Calibri"/>
                <w:b/>
                <w:bCs/>
                <w:color w:val="000000"/>
                <w:sz w:val="20"/>
                <w:szCs w:val="20"/>
                <w:lang w:eastAsia="en-AU"/>
              </w:rPr>
              <w:t>$7,831</w:t>
            </w:r>
          </w:p>
        </w:tc>
      </w:tr>
      <w:tr w:rsidR="00AA36D8" w:rsidRPr="00667E36" w14:paraId="0C838C62" w14:textId="77777777" w:rsidTr="00175863">
        <w:trPr>
          <w:trHeight w:val="255"/>
        </w:trPr>
        <w:tc>
          <w:tcPr>
            <w:tcW w:w="2843" w:type="pct"/>
            <w:tcBorders>
              <w:top w:val="nil"/>
              <w:left w:val="single" w:sz="4" w:space="0" w:color="auto"/>
              <w:bottom w:val="single" w:sz="4" w:space="0" w:color="auto"/>
              <w:right w:val="single" w:sz="4" w:space="0" w:color="auto"/>
            </w:tcBorders>
            <w:noWrap/>
            <w:vAlign w:val="bottom"/>
          </w:tcPr>
          <w:p w14:paraId="14B7D723" w14:textId="24C0E166" w:rsidR="00AA36D8" w:rsidRPr="00294AAD" w:rsidRDefault="00AA36D8" w:rsidP="00AA36D8">
            <w:pPr>
              <w:spacing w:before="0" w:after="0" w:line="240" w:lineRule="auto"/>
              <w:rPr>
                <w:rFonts w:ascii="Arial Narrow" w:eastAsia="Times New Roman" w:hAnsi="Arial Narrow" w:cs="Calibri"/>
                <w:color w:val="000000"/>
                <w:sz w:val="20"/>
                <w:szCs w:val="20"/>
                <w:lang w:eastAsia="en-AU"/>
              </w:rPr>
            </w:pPr>
            <w:r w:rsidRPr="00C9564E">
              <w:rPr>
                <w:rFonts w:ascii="Arial Narrow" w:eastAsia="Times New Roman" w:hAnsi="Arial Narrow" w:cs="Calibri"/>
                <w:color w:val="000000"/>
                <w:sz w:val="20"/>
                <w:szCs w:val="20"/>
                <w:lang w:eastAsia="en-AU"/>
              </w:rPr>
              <w:t>Total costs (average, per 100,000 persons)</w:t>
            </w:r>
            <w:r>
              <w:rPr>
                <w:rFonts w:ascii="Arial Narrow" w:eastAsia="Times New Roman" w:hAnsi="Arial Narrow" w:cs="Calibri"/>
                <w:color w:val="000000"/>
                <w:sz w:val="20"/>
                <w:szCs w:val="20"/>
                <w:lang w:eastAsia="en-AU"/>
              </w:rPr>
              <w:t xml:space="preserve"> (PICO set 1)</w:t>
            </w:r>
          </w:p>
        </w:tc>
        <w:tc>
          <w:tcPr>
            <w:tcW w:w="797" w:type="pct"/>
            <w:tcBorders>
              <w:top w:val="nil"/>
              <w:left w:val="nil"/>
              <w:bottom w:val="single" w:sz="4" w:space="0" w:color="auto"/>
              <w:right w:val="single" w:sz="4" w:space="0" w:color="auto"/>
            </w:tcBorders>
            <w:noWrap/>
            <w:vAlign w:val="bottom"/>
          </w:tcPr>
          <w:p w14:paraId="6BC5217E" w14:textId="2558BC0F" w:rsidR="00AA36D8" w:rsidRPr="00294AAD" w:rsidRDefault="008854B8" w:rsidP="00AA36D8">
            <w:pPr>
              <w:spacing w:before="0" w:after="0" w:line="240" w:lineRule="auto"/>
              <w:jc w:val="right"/>
              <w:rPr>
                <w:rFonts w:ascii="Arial Narrow" w:eastAsia="Times New Roman" w:hAnsi="Arial Narrow" w:cs="Calibri"/>
                <w:color w:val="000000"/>
                <w:sz w:val="20"/>
                <w:szCs w:val="20"/>
                <w:lang w:eastAsia="en-AU"/>
              </w:rPr>
            </w:pPr>
            <w:bookmarkStart w:id="56" w:name="_Hlk207351104"/>
            <w:r w:rsidRPr="00DC3ADE">
              <w:rPr>
                <w:rFonts w:ascii="Arial Narrow" w:hAnsi="Arial Narrow" w:cs="Calibri"/>
                <w:b/>
                <w:bCs/>
                <w:color w:val="000000"/>
                <w:sz w:val="20"/>
                <w:szCs w:val="20"/>
              </w:rPr>
              <w:t>$Redacted</w:t>
            </w:r>
            <w:bookmarkEnd w:id="56"/>
          </w:p>
        </w:tc>
        <w:tc>
          <w:tcPr>
            <w:tcW w:w="748" w:type="pct"/>
            <w:tcBorders>
              <w:top w:val="nil"/>
              <w:left w:val="nil"/>
              <w:bottom w:val="single" w:sz="4" w:space="0" w:color="auto"/>
              <w:right w:val="single" w:sz="4" w:space="0" w:color="auto"/>
            </w:tcBorders>
            <w:noWrap/>
            <w:vAlign w:val="bottom"/>
          </w:tcPr>
          <w:p w14:paraId="04A2DF6E" w14:textId="58334751" w:rsidR="00AA36D8" w:rsidRPr="00294AAD" w:rsidRDefault="008854B8" w:rsidP="00AA36D8">
            <w:pPr>
              <w:spacing w:before="0" w:after="0" w:line="240" w:lineRule="auto"/>
              <w:jc w:val="right"/>
              <w:rPr>
                <w:rFonts w:ascii="Arial Narrow" w:eastAsia="Times New Roman" w:hAnsi="Arial Narrow" w:cs="Calibri"/>
                <w:color w:val="000000"/>
                <w:sz w:val="20"/>
                <w:szCs w:val="20"/>
                <w:lang w:eastAsia="en-AU"/>
              </w:rPr>
            </w:pPr>
            <w:r w:rsidRPr="00881167">
              <w:rPr>
                <w:rFonts w:ascii="Arial Narrow" w:hAnsi="Arial Narrow" w:cs="Calibri"/>
                <w:b/>
                <w:bCs/>
                <w:color w:val="000000"/>
                <w:sz w:val="20"/>
                <w:szCs w:val="20"/>
              </w:rPr>
              <w:t>$Redacted</w:t>
            </w:r>
            <w:r w:rsidDel="008854B8">
              <w:rPr>
                <w:rFonts w:ascii="Arial Narrow" w:hAnsi="Arial Narrow" w:cs="Calibri"/>
                <w:color w:val="000000"/>
                <w:sz w:val="20"/>
                <w:szCs w:val="20"/>
              </w:rPr>
              <w:t xml:space="preserve"> </w:t>
            </w:r>
          </w:p>
        </w:tc>
        <w:tc>
          <w:tcPr>
            <w:tcW w:w="611" w:type="pct"/>
            <w:tcBorders>
              <w:top w:val="nil"/>
              <w:left w:val="nil"/>
              <w:bottom w:val="single" w:sz="4" w:space="0" w:color="auto"/>
              <w:right w:val="single" w:sz="4" w:space="0" w:color="auto"/>
            </w:tcBorders>
            <w:noWrap/>
            <w:vAlign w:val="bottom"/>
          </w:tcPr>
          <w:p w14:paraId="77622DCA" w14:textId="4243CD49" w:rsidR="00AA36D8" w:rsidRPr="00294AAD" w:rsidRDefault="008854B8" w:rsidP="00AA36D8">
            <w:pPr>
              <w:spacing w:before="0" w:after="0" w:line="240" w:lineRule="auto"/>
              <w:jc w:val="right"/>
              <w:rPr>
                <w:rFonts w:ascii="Arial Narrow" w:eastAsia="Times New Roman" w:hAnsi="Arial Narrow" w:cs="Calibri"/>
                <w:color w:val="000000"/>
                <w:sz w:val="20"/>
                <w:szCs w:val="20"/>
                <w:lang w:eastAsia="en-AU"/>
              </w:rPr>
            </w:pPr>
            <w:r w:rsidRPr="00881167">
              <w:rPr>
                <w:rFonts w:ascii="Arial Narrow" w:hAnsi="Arial Narrow" w:cs="Calibri"/>
                <w:b/>
                <w:bCs/>
                <w:color w:val="000000"/>
                <w:sz w:val="20"/>
                <w:szCs w:val="20"/>
              </w:rPr>
              <w:t>$Redacted</w:t>
            </w:r>
          </w:p>
        </w:tc>
      </w:tr>
      <w:tr w:rsidR="00AA36D8" w:rsidRPr="00667E36" w14:paraId="54FBBD95" w14:textId="77777777" w:rsidTr="00175863">
        <w:trPr>
          <w:trHeight w:val="255"/>
        </w:trPr>
        <w:tc>
          <w:tcPr>
            <w:tcW w:w="2843" w:type="pct"/>
            <w:tcBorders>
              <w:top w:val="nil"/>
              <w:left w:val="single" w:sz="4" w:space="0" w:color="auto"/>
              <w:bottom w:val="single" w:sz="4" w:space="0" w:color="auto"/>
              <w:right w:val="single" w:sz="4" w:space="0" w:color="auto"/>
            </w:tcBorders>
            <w:noWrap/>
            <w:vAlign w:val="bottom"/>
          </w:tcPr>
          <w:p w14:paraId="0DCDF2C9" w14:textId="5BE5149F" w:rsidR="00AA36D8" w:rsidRDefault="00AA36D8" w:rsidP="00AA36D8">
            <w:pPr>
              <w:spacing w:before="0" w:after="0" w:line="240" w:lineRule="auto"/>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Total costs per 100,000 persons and tests in family members of proband</w:t>
            </w:r>
          </w:p>
        </w:tc>
        <w:tc>
          <w:tcPr>
            <w:tcW w:w="797" w:type="pct"/>
            <w:tcBorders>
              <w:top w:val="nil"/>
              <w:left w:val="nil"/>
              <w:bottom w:val="single" w:sz="4" w:space="0" w:color="auto"/>
              <w:right w:val="single" w:sz="4" w:space="0" w:color="auto"/>
            </w:tcBorders>
            <w:noWrap/>
            <w:vAlign w:val="center"/>
          </w:tcPr>
          <w:p w14:paraId="30E7AF02" w14:textId="3E2741B6" w:rsidR="00AA36D8" w:rsidRDefault="008854B8" w:rsidP="00AA36D8">
            <w:pPr>
              <w:spacing w:before="0" w:after="0" w:line="240" w:lineRule="auto"/>
              <w:jc w:val="right"/>
              <w:rPr>
                <w:rFonts w:ascii="Arial Narrow" w:hAnsi="Arial Narrow" w:cs="Calibri"/>
                <w:color w:val="000000"/>
                <w:sz w:val="20"/>
                <w:szCs w:val="20"/>
              </w:rPr>
            </w:pPr>
            <w:r w:rsidRPr="00881167">
              <w:rPr>
                <w:rFonts w:ascii="Arial Narrow" w:hAnsi="Arial Narrow" w:cs="Calibri"/>
                <w:b/>
                <w:bCs/>
                <w:color w:val="000000"/>
                <w:sz w:val="20"/>
                <w:szCs w:val="20"/>
              </w:rPr>
              <w:t>$Redacted</w:t>
            </w:r>
          </w:p>
        </w:tc>
        <w:tc>
          <w:tcPr>
            <w:tcW w:w="748" w:type="pct"/>
            <w:tcBorders>
              <w:top w:val="nil"/>
              <w:left w:val="nil"/>
              <w:bottom w:val="single" w:sz="4" w:space="0" w:color="auto"/>
              <w:right w:val="single" w:sz="4" w:space="0" w:color="auto"/>
            </w:tcBorders>
            <w:noWrap/>
            <w:vAlign w:val="center"/>
          </w:tcPr>
          <w:p w14:paraId="4331BD16" w14:textId="0310B4F1" w:rsidR="00AA36D8" w:rsidRDefault="008854B8" w:rsidP="00AA36D8">
            <w:pPr>
              <w:spacing w:before="0" w:after="0" w:line="240" w:lineRule="auto"/>
              <w:jc w:val="right"/>
              <w:rPr>
                <w:rFonts w:ascii="Arial Narrow" w:hAnsi="Arial Narrow" w:cs="Calibri"/>
                <w:color w:val="000000"/>
                <w:sz w:val="20"/>
                <w:szCs w:val="20"/>
              </w:rPr>
            </w:pPr>
            <w:r w:rsidRPr="00881167">
              <w:rPr>
                <w:rFonts w:ascii="Arial Narrow" w:hAnsi="Arial Narrow" w:cs="Calibri"/>
                <w:b/>
                <w:bCs/>
                <w:color w:val="000000"/>
                <w:sz w:val="20"/>
                <w:szCs w:val="20"/>
              </w:rPr>
              <w:t>$Redacted</w:t>
            </w:r>
          </w:p>
        </w:tc>
        <w:tc>
          <w:tcPr>
            <w:tcW w:w="611" w:type="pct"/>
            <w:tcBorders>
              <w:top w:val="nil"/>
              <w:left w:val="nil"/>
              <w:bottom w:val="single" w:sz="4" w:space="0" w:color="auto"/>
              <w:right w:val="single" w:sz="4" w:space="0" w:color="auto"/>
            </w:tcBorders>
            <w:noWrap/>
            <w:vAlign w:val="center"/>
          </w:tcPr>
          <w:p w14:paraId="662FDB44" w14:textId="32FA4284" w:rsidR="00AA36D8" w:rsidRDefault="008854B8" w:rsidP="00AA36D8">
            <w:pPr>
              <w:spacing w:before="0" w:after="0" w:line="240" w:lineRule="auto"/>
              <w:jc w:val="right"/>
              <w:rPr>
                <w:rFonts w:ascii="Arial Narrow" w:hAnsi="Arial Narrow" w:cs="Calibri"/>
                <w:color w:val="000000"/>
                <w:sz w:val="20"/>
                <w:szCs w:val="20"/>
              </w:rPr>
            </w:pPr>
            <w:r w:rsidRPr="00881167">
              <w:rPr>
                <w:rFonts w:ascii="Arial Narrow" w:hAnsi="Arial Narrow" w:cs="Calibri"/>
                <w:b/>
                <w:bCs/>
                <w:color w:val="000000"/>
                <w:sz w:val="20"/>
                <w:szCs w:val="20"/>
              </w:rPr>
              <w:t>$Redacted</w:t>
            </w:r>
          </w:p>
        </w:tc>
      </w:tr>
    </w:tbl>
    <w:p w14:paraId="1F733E4C" w14:textId="68D322E1" w:rsidR="008B6BB7" w:rsidRPr="009B60A4" w:rsidRDefault="00F55D62" w:rsidP="00FA4515">
      <w:pPr>
        <w:pStyle w:val="Tablenotes"/>
      </w:pPr>
      <w:r>
        <w:t xml:space="preserve">PICO = Population/Intervention/Comparator/Outcomes; </w:t>
      </w:r>
      <w:r w:rsidR="001F3F40">
        <w:t>NBS = newborn bloodspot screening</w:t>
      </w:r>
    </w:p>
    <w:p w14:paraId="0DDD9C44" w14:textId="11712F5E" w:rsidR="001F3F40" w:rsidRPr="00350FBE" w:rsidRDefault="00AC7833" w:rsidP="00092CCC">
      <w:pPr>
        <w:spacing w:before="240"/>
        <w:rPr>
          <w:u w:val="single"/>
        </w:rPr>
      </w:pPr>
      <w:r w:rsidRPr="00350FBE">
        <w:rPr>
          <w:u w:val="single"/>
        </w:rPr>
        <w:t>Sensitivity analysis</w:t>
      </w:r>
    </w:p>
    <w:p w14:paraId="4C1AD429" w14:textId="67AC2FF0" w:rsidR="006632D3" w:rsidRDefault="004A68D4" w:rsidP="006632D3">
      <w:r>
        <w:t>Table 11</w:t>
      </w:r>
      <w:r w:rsidR="00DD02A3">
        <w:t xml:space="preserve"> </w:t>
      </w:r>
      <w:r w:rsidR="006632D3">
        <w:t xml:space="preserve">presents the sensitivity analysis around key parameters in the base case model. The results were sensitive to the cost of first-tier screening, discounting rate applied to costs </w:t>
      </w:r>
      <w:r w:rsidR="00B95F6A">
        <w:t xml:space="preserve">and outcomes </w:t>
      </w:r>
      <w:r w:rsidR="006632D3">
        <w:t xml:space="preserve">and prevalence of GSD II. </w:t>
      </w:r>
    </w:p>
    <w:p w14:paraId="3C4A0116" w14:textId="3649406F" w:rsidR="006632D3" w:rsidRDefault="006632D3" w:rsidP="006632D3">
      <w:pPr>
        <w:pStyle w:val="Caption"/>
      </w:pPr>
      <w:bookmarkStart w:id="57" w:name="_Ref184814117"/>
      <w:r>
        <w:t>Table</w:t>
      </w:r>
      <w:r w:rsidR="004A68D4">
        <w:t>11</w:t>
      </w:r>
      <w:bookmarkEnd w:id="57"/>
      <w:r>
        <w:tab/>
        <w:t>Sensitivity analysis for base case model (using two−tier screening protocol) for a cohort of 100,000 persons</w:t>
      </w:r>
    </w:p>
    <w:tbl>
      <w:tblPr>
        <w:tblStyle w:val="TableGrid"/>
        <w:tblW w:w="0" w:type="auto"/>
        <w:tblLook w:val="04A0" w:firstRow="1" w:lastRow="0" w:firstColumn="1" w:lastColumn="0" w:noHBand="0" w:noVBand="1"/>
      </w:tblPr>
      <w:tblGrid>
        <w:gridCol w:w="2376"/>
        <w:gridCol w:w="2048"/>
        <w:gridCol w:w="1254"/>
        <w:gridCol w:w="2048"/>
        <w:gridCol w:w="1290"/>
      </w:tblGrid>
      <w:tr w:rsidR="006632D3" w:rsidRPr="004A7FDE" w14:paraId="5C75D969" w14:textId="77777777" w:rsidTr="00B12AFD">
        <w:tc>
          <w:tcPr>
            <w:tcW w:w="2376" w:type="dxa"/>
          </w:tcPr>
          <w:p w14:paraId="7E187ACF" w14:textId="77777777" w:rsidR="006632D3" w:rsidRPr="004A7FDE" w:rsidRDefault="006632D3" w:rsidP="002739C5">
            <w:pPr>
              <w:pStyle w:val="Tabletext0"/>
              <w:spacing w:before="0" w:after="0"/>
              <w:rPr>
                <w:b/>
                <w:bCs/>
              </w:rPr>
            </w:pPr>
          </w:p>
        </w:tc>
        <w:tc>
          <w:tcPr>
            <w:tcW w:w="2048" w:type="dxa"/>
          </w:tcPr>
          <w:p w14:paraId="0C2C64E4" w14:textId="77777777" w:rsidR="006632D3" w:rsidRPr="004A7FDE" w:rsidRDefault="006632D3" w:rsidP="002739C5">
            <w:pPr>
              <w:pStyle w:val="Tabletext0"/>
              <w:spacing w:before="0" w:after="0"/>
              <w:jc w:val="left"/>
              <w:rPr>
                <w:b/>
                <w:bCs/>
              </w:rPr>
            </w:pPr>
            <w:r>
              <w:rPr>
                <w:b/>
                <w:bCs/>
              </w:rPr>
              <w:t>Increment in cost</w:t>
            </w:r>
          </w:p>
        </w:tc>
        <w:tc>
          <w:tcPr>
            <w:tcW w:w="1254" w:type="dxa"/>
          </w:tcPr>
          <w:p w14:paraId="1E2744E3" w14:textId="77777777" w:rsidR="006632D3" w:rsidRPr="004A7FDE" w:rsidRDefault="006632D3" w:rsidP="002739C5">
            <w:pPr>
              <w:pStyle w:val="Tabletext0"/>
              <w:spacing w:before="0" w:after="0"/>
              <w:jc w:val="left"/>
              <w:rPr>
                <w:b/>
                <w:bCs/>
              </w:rPr>
            </w:pPr>
            <w:r w:rsidRPr="02E2EE7D">
              <w:rPr>
                <w:b/>
                <w:bCs/>
              </w:rPr>
              <w:t xml:space="preserve">Increment in number of </w:t>
            </w:r>
            <w:proofErr w:type="gramStart"/>
            <w:r w:rsidRPr="02E2EE7D">
              <w:rPr>
                <w:b/>
                <w:bCs/>
              </w:rPr>
              <w:t>diagnosis</w:t>
            </w:r>
            <w:proofErr w:type="gramEnd"/>
          </w:p>
        </w:tc>
        <w:tc>
          <w:tcPr>
            <w:tcW w:w="2048" w:type="dxa"/>
          </w:tcPr>
          <w:p w14:paraId="638A8BEF" w14:textId="77777777" w:rsidR="006632D3" w:rsidRPr="004A7FDE" w:rsidRDefault="006632D3" w:rsidP="002739C5">
            <w:pPr>
              <w:pStyle w:val="Tabletext0"/>
              <w:spacing w:before="0" w:after="0"/>
              <w:jc w:val="left"/>
              <w:rPr>
                <w:b/>
                <w:bCs/>
              </w:rPr>
            </w:pPr>
            <w:r>
              <w:rPr>
                <w:b/>
                <w:bCs/>
              </w:rPr>
              <w:t>ICER/additional diagnosis</w:t>
            </w:r>
          </w:p>
        </w:tc>
        <w:tc>
          <w:tcPr>
            <w:tcW w:w="1290" w:type="dxa"/>
          </w:tcPr>
          <w:p w14:paraId="55273700" w14:textId="77777777" w:rsidR="006632D3" w:rsidRDefault="006632D3" w:rsidP="002739C5">
            <w:pPr>
              <w:pStyle w:val="Tabletext0"/>
              <w:spacing w:before="0" w:after="0"/>
              <w:jc w:val="left"/>
              <w:rPr>
                <w:b/>
                <w:bCs/>
              </w:rPr>
            </w:pPr>
            <w:r>
              <w:rPr>
                <w:b/>
                <w:bCs/>
              </w:rPr>
              <w:t>Percent change in ICER</w:t>
            </w:r>
          </w:p>
        </w:tc>
      </w:tr>
      <w:tr w:rsidR="006632D3" w:rsidRPr="00C160B1" w14:paraId="2BE84AAA" w14:textId="77777777" w:rsidTr="00B12AFD">
        <w:tc>
          <w:tcPr>
            <w:tcW w:w="2376" w:type="dxa"/>
          </w:tcPr>
          <w:p w14:paraId="302265E4" w14:textId="77777777" w:rsidR="006632D3" w:rsidRPr="00492AB6" w:rsidRDefault="006632D3" w:rsidP="002739C5">
            <w:pPr>
              <w:pStyle w:val="Tabletext0"/>
              <w:spacing w:before="0" w:after="0"/>
              <w:rPr>
                <w:b/>
                <w:bCs/>
              </w:rPr>
            </w:pPr>
            <w:r w:rsidRPr="00492AB6">
              <w:rPr>
                <w:b/>
                <w:bCs/>
              </w:rPr>
              <w:t>Base case analysis</w:t>
            </w:r>
          </w:p>
        </w:tc>
        <w:tc>
          <w:tcPr>
            <w:tcW w:w="2048" w:type="dxa"/>
            <w:vAlign w:val="bottom"/>
          </w:tcPr>
          <w:p w14:paraId="32ABA004" w14:textId="67456311" w:rsidR="006632D3" w:rsidRPr="00492AB6" w:rsidRDefault="00B12AFD" w:rsidP="002739C5">
            <w:pPr>
              <w:pStyle w:val="Tabletext0"/>
              <w:spacing w:before="0" w:after="0"/>
              <w:jc w:val="right"/>
              <w:rPr>
                <w:b/>
                <w:bCs/>
              </w:rPr>
            </w:pPr>
            <w:r w:rsidRPr="009B60A4">
              <w:rPr>
                <w:rFonts w:cs="Calibri"/>
                <w:color w:val="000000"/>
              </w:rPr>
              <w:t>$</w:t>
            </w:r>
            <w:r>
              <w:rPr>
                <w:rFonts w:cs="Calibri"/>
                <w:b/>
                <w:bCs/>
                <w:color w:val="000000"/>
              </w:rPr>
              <w:t>Redacted</w:t>
            </w:r>
          </w:p>
        </w:tc>
        <w:tc>
          <w:tcPr>
            <w:tcW w:w="1254" w:type="dxa"/>
            <w:vAlign w:val="bottom"/>
          </w:tcPr>
          <w:p w14:paraId="7D26782A" w14:textId="77777777" w:rsidR="006632D3" w:rsidRPr="00492AB6" w:rsidRDefault="006632D3" w:rsidP="002739C5">
            <w:pPr>
              <w:pStyle w:val="Tabletext0"/>
              <w:spacing w:before="0" w:after="0"/>
              <w:jc w:val="right"/>
              <w:rPr>
                <w:b/>
                <w:bCs/>
              </w:rPr>
            </w:pPr>
            <w:r>
              <w:rPr>
                <w:rFonts w:cs="Calibri"/>
                <w:color w:val="000000"/>
              </w:rPr>
              <w:t>1.2896</w:t>
            </w:r>
          </w:p>
        </w:tc>
        <w:tc>
          <w:tcPr>
            <w:tcW w:w="2048" w:type="dxa"/>
            <w:vAlign w:val="bottom"/>
          </w:tcPr>
          <w:p w14:paraId="47DCE4BC" w14:textId="65979168" w:rsidR="006632D3" w:rsidRPr="00492AB6" w:rsidRDefault="00B12AFD" w:rsidP="002739C5">
            <w:pPr>
              <w:pStyle w:val="Tabletext0"/>
              <w:spacing w:before="0" w:after="0"/>
              <w:jc w:val="right"/>
              <w:rPr>
                <w:b/>
                <w:bCs/>
              </w:rPr>
            </w:pPr>
            <w:r w:rsidRPr="009B60A4">
              <w:rPr>
                <w:rFonts w:cs="Calibri"/>
                <w:color w:val="000000"/>
              </w:rPr>
              <w:t>$</w:t>
            </w:r>
            <w:r>
              <w:rPr>
                <w:rFonts w:cs="Calibri"/>
                <w:b/>
                <w:bCs/>
                <w:color w:val="000000"/>
              </w:rPr>
              <w:t>Redacted</w:t>
            </w:r>
          </w:p>
        </w:tc>
        <w:tc>
          <w:tcPr>
            <w:tcW w:w="1290" w:type="dxa"/>
            <w:vAlign w:val="bottom"/>
          </w:tcPr>
          <w:p w14:paraId="003FD558" w14:textId="77777777" w:rsidR="006632D3" w:rsidRPr="00C160B1" w:rsidRDefault="006632D3" w:rsidP="002739C5">
            <w:pPr>
              <w:pStyle w:val="Tabletext0"/>
              <w:spacing w:before="0" w:after="0"/>
              <w:jc w:val="right"/>
              <w:rPr>
                <w:rFonts w:cs="Calibri"/>
                <w:b/>
                <w:bCs/>
                <w:color w:val="000000"/>
              </w:rPr>
            </w:pPr>
            <w:r>
              <w:rPr>
                <w:rFonts w:cs="Calibri"/>
                <w:color w:val="000000"/>
              </w:rPr>
              <w:t>−</w:t>
            </w:r>
          </w:p>
        </w:tc>
      </w:tr>
      <w:tr w:rsidR="006632D3" w:rsidRPr="000F6B35" w14:paraId="559CD7B1" w14:textId="77777777" w:rsidTr="00175863">
        <w:tc>
          <w:tcPr>
            <w:tcW w:w="9016" w:type="dxa"/>
            <w:gridSpan w:val="5"/>
          </w:tcPr>
          <w:p w14:paraId="0985305B" w14:textId="5FDAEF9B" w:rsidR="006632D3" w:rsidRPr="002D46B1" w:rsidRDefault="006632D3" w:rsidP="002739C5">
            <w:pPr>
              <w:pStyle w:val="Tabletext0"/>
              <w:spacing w:before="0" w:after="0"/>
              <w:rPr>
                <w:i/>
                <w:iCs/>
              </w:rPr>
            </w:pPr>
            <w:r w:rsidRPr="02E2EE7D">
              <w:rPr>
                <w:i/>
                <w:iCs/>
              </w:rPr>
              <w:t>Cost of 1</w:t>
            </w:r>
            <w:r w:rsidRPr="02E2EE7D">
              <w:rPr>
                <w:i/>
                <w:iCs/>
                <w:vertAlign w:val="superscript"/>
              </w:rPr>
              <w:t>st</w:t>
            </w:r>
            <w:r w:rsidRPr="02E2EE7D">
              <w:rPr>
                <w:i/>
                <w:iCs/>
              </w:rPr>
              <w:t xml:space="preserve"> tier screening (base case: </w:t>
            </w:r>
            <w:r w:rsidR="00B12AFD" w:rsidRPr="007229D6">
              <w:rPr>
                <w:rFonts w:cs="Calibri"/>
                <w:i/>
                <w:iCs/>
                <w:color w:val="000000"/>
              </w:rPr>
              <w:t>$</w:t>
            </w:r>
            <w:r w:rsidR="00B12AFD" w:rsidRPr="007229D6">
              <w:rPr>
                <w:rFonts w:cs="Calibri"/>
                <w:b/>
                <w:bCs/>
                <w:i/>
                <w:iCs/>
                <w:color w:val="000000"/>
              </w:rPr>
              <w:t>Redacted</w:t>
            </w:r>
            <w:r w:rsidR="00B12AFD" w:rsidRPr="02E2EE7D" w:rsidDel="00B12AFD">
              <w:rPr>
                <w:i/>
                <w:iCs/>
              </w:rPr>
              <w:t xml:space="preserve"> </w:t>
            </w:r>
            <w:r w:rsidRPr="02E2EE7D">
              <w:rPr>
                <w:i/>
                <w:iCs/>
              </w:rPr>
              <w:t xml:space="preserve">for </w:t>
            </w:r>
            <w:proofErr w:type="spellStart"/>
            <w:r w:rsidRPr="02E2EE7D">
              <w:rPr>
                <w:i/>
                <w:iCs/>
              </w:rPr>
              <w:t>GelbChem</w:t>
            </w:r>
            <w:proofErr w:type="spellEnd"/>
            <w:r w:rsidRPr="02E2EE7D">
              <w:rPr>
                <w:i/>
                <w:iCs/>
              </w:rPr>
              <w:t xml:space="preserve"> kit)</w:t>
            </w:r>
          </w:p>
        </w:tc>
      </w:tr>
      <w:tr w:rsidR="006632D3" w:rsidRPr="000F6B35" w14:paraId="5ACCFF37" w14:textId="77777777" w:rsidTr="00B12AFD">
        <w:tc>
          <w:tcPr>
            <w:tcW w:w="2376" w:type="dxa"/>
          </w:tcPr>
          <w:p w14:paraId="7D0B89D3" w14:textId="6D26E5F0" w:rsidR="006632D3" w:rsidRPr="004744F4" w:rsidRDefault="006632D3" w:rsidP="002739C5">
            <w:pPr>
              <w:pStyle w:val="Tabletext0"/>
              <w:spacing w:before="0" w:after="0"/>
              <w:rPr>
                <w:highlight w:val="yellow"/>
              </w:rPr>
            </w:pPr>
            <w:proofErr w:type="spellStart"/>
            <w:r w:rsidRPr="02E2EE7D">
              <w:t>Revvity</w:t>
            </w:r>
            <w:proofErr w:type="spellEnd"/>
            <w:r w:rsidRPr="02E2EE7D">
              <w:t xml:space="preserve"> </w:t>
            </w:r>
            <w:proofErr w:type="spellStart"/>
            <w:r w:rsidRPr="02E2EE7D">
              <w:t>NeoLSD</w:t>
            </w:r>
            <w:proofErr w:type="spellEnd"/>
            <w:r w:rsidR="006404F8" w:rsidRPr="006404F8">
              <w:t>™</w:t>
            </w:r>
            <w:r w:rsidRPr="02E2EE7D">
              <w:t xml:space="preserve"> MS/MS kit: </w:t>
            </w:r>
            <w:r w:rsidR="00B12AFD">
              <w:rPr>
                <w:rFonts w:cs="Calibri"/>
                <w:b/>
                <w:bCs/>
                <w:color w:val="000000"/>
              </w:rPr>
              <w:t>Redacted</w:t>
            </w:r>
          </w:p>
        </w:tc>
        <w:tc>
          <w:tcPr>
            <w:tcW w:w="2048" w:type="dxa"/>
            <w:vAlign w:val="bottom"/>
          </w:tcPr>
          <w:p w14:paraId="3EB34C67" w14:textId="577EAF1A" w:rsidR="006632D3" w:rsidRPr="001C533B" w:rsidRDefault="007229D6" w:rsidP="002739C5">
            <w:pPr>
              <w:pStyle w:val="Tabletext0"/>
              <w:spacing w:before="0" w:after="0"/>
              <w:jc w:val="right"/>
              <w:rPr>
                <w:highlight w:val="yellow"/>
              </w:rPr>
            </w:pPr>
            <w:r>
              <w:rPr>
                <w:rFonts w:cs="Calibri"/>
                <w:b/>
                <w:bCs/>
                <w:color w:val="000000"/>
              </w:rPr>
              <w:t>$</w:t>
            </w:r>
            <w:r w:rsidR="00B12AFD">
              <w:rPr>
                <w:rFonts w:cs="Calibri"/>
                <w:b/>
                <w:bCs/>
                <w:color w:val="000000"/>
              </w:rPr>
              <w:t>Redacted</w:t>
            </w:r>
          </w:p>
        </w:tc>
        <w:tc>
          <w:tcPr>
            <w:tcW w:w="1254" w:type="dxa"/>
            <w:vAlign w:val="bottom"/>
          </w:tcPr>
          <w:p w14:paraId="7F86E2DB" w14:textId="77777777" w:rsidR="006632D3" w:rsidRPr="000F6B35" w:rsidRDefault="006632D3" w:rsidP="002739C5">
            <w:pPr>
              <w:pStyle w:val="Tabletext0"/>
              <w:spacing w:before="0" w:after="0"/>
              <w:jc w:val="right"/>
            </w:pPr>
            <w:r>
              <w:rPr>
                <w:rFonts w:cs="Calibri"/>
                <w:color w:val="000000"/>
              </w:rPr>
              <w:t>1.2896</w:t>
            </w:r>
          </w:p>
        </w:tc>
        <w:tc>
          <w:tcPr>
            <w:tcW w:w="2048" w:type="dxa"/>
            <w:vAlign w:val="bottom"/>
          </w:tcPr>
          <w:p w14:paraId="74B9EAC9" w14:textId="7A543A1A" w:rsidR="006632D3" w:rsidRPr="00C160B1" w:rsidRDefault="00B12AFD" w:rsidP="002739C5">
            <w:pPr>
              <w:pStyle w:val="Tabletext0"/>
              <w:spacing w:before="0" w:after="0"/>
              <w:jc w:val="right"/>
            </w:pPr>
            <w:r w:rsidRPr="009B60A4">
              <w:rPr>
                <w:rFonts w:cs="Calibri"/>
                <w:color w:val="000000"/>
              </w:rPr>
              <w:t>$</w:t>
            </w:r>
            <w:r>
              <w:rPr>
                <w:rFonts w:cs="Calibri"/>
                <w:b/>
                <w:bCs/>
                <w:color w:val="000000"/>
              </w:rPr>
              <w:t>Redacted</w:t>
            </w:r>
          </w:p>
        </w:tc>
        <w:tc>
          <w:tcPr>
            <w:tcW w:w="1290" w:type="dxa"/>
            <w:vAlign w:val="bottom"/>
          </w:tcPr>
          <w:p w14:paraId="1B710B58" w14:textId="77777777" w:rsidR="006632D3" w:rsidRDefault="006632D3" w:rsidP="002739C5">
            <w:pPr>
              <w:pStyle w:val="Tabletext0"/>
              <w:spacing w:before="0" w:after="0"/>
              <w:jc w:val="right"/>
              <w:rPr>
                <w:rFonts w:cs="Calibri"/>
                <w:b/>
                <w:bCs/>
                <w:color w:val="000000"/>
              </w:rPr>
            </w:pPr>
            <w:r>
              <w:rPr>
                <w:rFonts w:cs="Calibri"/>
                <w:color w:val="000000"/>
              </w:rPr>
              <w:t>30%</w:t>
            </w:r>
          </w:p>
        </w:tc>
      </w:tr>
      <w:tr w:rsidR="00B12AFD" w:rsidRPr="000F6B35" w14:paraId="1E2C00B1" w14:textId="77777777" w:rsidTr="007229D6">
        <w:tc>
          <w:tcPr>
            <w:tcW w:w="2376" w:type="dxa"/>
          </w:tcPr>
          <w:p w14:paraId="0567CF6E" w14:textId="0C45F39B" w:rsidR="00B12AFD" w:rsidRPr="004744F4" w:rsidRDefault="00B12AFD" w:rsidP="002739C5">
            <w:pPr>
              <w:pStyle w:val="Tabletext0"/>
              <w:spacing w:before="0" w:after="0"/>
              <w:rPr>
                <w:highlight w:val="yellow"/>
              </w:rPr>
            </w:pPr>
            <w:proofErr w:type="spellStart"/>
            <w:r w:rsidRPr="02E2EE7D">
              <w:t>Revvity</w:t>
            </w:r>
            <w:proofErr w:type="spellEnd"/>
            <w:r w:rsidRPr="02E2EE7D">
              <w:t xml:space="preserve"> kit multiplexed for MPS I and GSD II: </w:t>
            </w:r>
            <w:r>
              <w:rPr>
                <w:rFonts w:cs="Calibri"/>
                <w:b/>
                <w:bCs/>
                <w:color w:val="000000"/>
              </w:rPr>
              <w:t>Redacted</w:t>
            </w:r>
          </w:p>
        </w:tc>
        <w:tc>
          <w:tcPr>
            <w:tcW w:w="2048" w:type="dxa"/>
            <w:vAlign w:val="bottom"/>
          </w:tcPr>
          <w:p w14:paraId="7A8D5865" w14:textId="479EB0DF" w:rsidR="00B12AFD" w:rsidRPr="001C533B" w:rsidRDefault="007229D6" w:rsidP="002739C5">
            <w:pPr>
              <w:pStyle w:val="Tabletext0"/>
              <w:spacing w:before="0" w:after="0"/>
              <w:jc w:val="right"/>
              <w:rPr>
                <w:rFonts w:cs="Calibri"/>
                <w:color w:val="000000"/>
                <w:highlight w:val="yellow"/>
              </w:rPr>
            </w:pPr>
            <w:r>
              <w:rPr>
                <w:rFonts w:cs="Calibri"/>
                <w:b/>
                <w:bCs/>
                <w:color w:val="000000"/>
              </w:rPr>
              <w:t>$</w:t>
            </w:r>
            <w:r w:rsidR="00B12AFD">
              <w:rPr>
                <w:rFonts w:cs="Calibri"/>
                <w:b/>
                <w:bCs/>
                <w:color w:val="000000"/>
              </w:rPr>
              <w:t>Redacted</w:t>
            </w:r>
          </w:p>
        </w:tc>
        <w:tc>
          <w:tcPr>
            <w:tcW w:w="1254" w:type="dxa"/>
            <w:vAlign w:val="bottom"/>
          </w:tcPr>
          <w:p w14:paraId="1B8505B1" w14:textId="77777777" w:rsidR="00B12AFD" w:rsidRDefault="00B12AFD" w:rsidP="002739C5">
            <w:pPr>
              <w:pStyle w:val="Tabletext0"/>
              <w:spacing w:before="0" w:after="0"/>
              <w:jc w:val="right"/>
              <w:rPr>
                <w:rFonts w:cs="Calibri"/>
                <w:color w:val="000000"/>
              </w:rPr>
            </w:pPr>
            <w:r>
              <w:rPr>
                <w:rFonts w:cs="Calibri"/>
                <w:color w:val="000000"/>
              </w:rPr>
              <w:t>1.2896</w:t>
            </w:r>
          </w:p>
        </w:tc>
        <w:tc>
          <w:tcPr>
            <w:tcW w:w="2048" w:type="dxa"/>
          </w:tcPr>
          <w:p w14:paraId="59381976" w14:textId="2F2ED37A" w:rsidR="00B12AFD" w:rsidRPr="00C160B1" w:rsidRDefault="00B12AFD" w:rsidP="002739C5">
            <w:pPr>
              <w:pStyle w:val="Tabletext0"/>
              <w:spacing w:before="0" w:after="0"/>
              <w:jc w:val="right"/>
              <w:rPr>
                <w:rFonts w:cs="Calibri"/>
                <w:color w:val="000000"/>
              </w:rPr>
            </w:pPr>
            <w:r w:rsidRPr="009F46BB">
              <w:rPr>
                <w:rFonts w:cs="Calibri"/>
                <w:color w:val="000000"/>
              </w:rPr>
              <w:t>$</w:t>
            </w:r>
            <w:r w:rsidRPr="009F46BB">
              <w:rPr>
                <w:rFonts w:cs="Calibri"/>
                <w:b/>
                <w:bCs/>
                <w:color w:val="000000"/>
              </w:rPr>
              <w:t>Redacted</w:t>
            </w:r>
          </w:p>
        </w:tc>
        <w:tc>
          <w:tcPr>
            <w:tcW w:w="1290" w:type="dxa"/>
            <w:vAlign w:val="bottom"/>
          </w:tcPr>
          <w:p w14:paraId="5835AC9E" w14:textId="77777777" w:rsidR="00B12AFD" w:rsidRDefault="00B12AFD" w:rsidP="002739C5">
            <w:pPr>
              <w:pStyle w:val="Tabletext0"/>
              <w:spacing w:before="0" w:after="0"/>
              <w:jc w:val="right"/>
              <w:rPr>
                <w:rFonts w:cs="Calibri"/>
                <w:b/>
                <w:bCs/>
                <w:color w:val="000000"/>
              </w:rPr>
            </w:pPr>
            <w:r>
              <w:rPr>
                <w:rFonts w:cs="Calibri"/>
                <w:color w:val="000000"/>
              </w:rPr>
              <w:t>−10%</w:t>
            </w:r>
          </w:p>
        </w:tc>
      </w:tr>
      <w:tr w:rsidR="00B12AFD" w:rsidRPr="000F6B35" w14:paraId="2F3D37BC" w14:textId="77777777" w:rsidTr="007229D6">
        <w:tc>
          <w:tcPr>
            <w:tcW w:w="2376" w:type="dxa"/>
          </w:tcPr>
          <w:p w14:paraId="1923513B" w14:textId="177B2235" w:rsidR="00B12AFD" w:rsidRPr="00F076FA" w:rsidRDefault="00606312" w:rsidP="002739C5">
            <w:pPr>
              <w:pStyle w:val="Tabletext0"/>
              <w:spacing w:before="0" w:after="0"/>
              <w:rPr>
                <w:vertAlign w:val="superscript"/>
              </w:rPr>
            </w:pPr>
            <w:r>
              <w:rPr>
                <w:rFonts w:cs="Calibri"/>
                <w:b/>
                <w:bCs/>
                <w:color w:val="000000"/>
              </w:rPr>
              <w:t>Redacted</w:t>
            </w:r>
            <w:r w:rsidR="00B12AFD" w:rsidRPr="00F076FA">
              <w:t xml:space="preserve"> kit</w:t>
            </w:r>
            <w:r w:rsidR="00B12AFD" w:rsidRPr="002D2FA9">
              <w:t xml:space="preserve"> multiplexed: </w:t>
            </w:r>
            <w:r w:rsidR="00B12AFD">
              <w:rPr>
                <w:rFonts w:cs="Calibri"/>
                <w:b/>
                <w:bCs/>
                <w:color w:val="000000"/>
              </w:rPr>
              <w:t>Redacted</w:t>
            </w:r>
            <w:r w:rsidR="00B12AFD" w:rsidRPr="002D2FA9">
              <w:t xml:space="preserve"> </w:t>
            </w:r>
            <w:r w:rsidR="00B12AFD" w:rsidRPr="002D2FA9">
              <w:rPr>
                <w:vertAlign w:val="superscript"/>
              </w:rPr>
              <w:t>a</w:t>
            </w:r>
          </w:p>
        </w:tc>
        <w:tc>
          <w:tcPr>
            <w:tcW w:w="2048" w:type="dxa"/>
            <w:vAlign w:val="bottom"/>
          </w:tcPr>
          <w:p w14:paraId="7AF0107C" w14:textId="41BE5188" w:rsidR="00B12AFD" w:rsidRPr="00D407B7" w:rsidRDefault="007229D6" w:rsidP="002739C5">
            <w:pPr>
              <w:pStyle w:val="Tabletext0"/>
              <w:spacing w:before="0" w:after="0"/>
              <w:jc w:val="right"/>
              <w:rPr>
                <w:rFonts w:cs="Calibri"/>
                <w:color w:val="000000"/>
                <w:highlight w:val="yellow"/>
              </w:rPr>
            </w:pPr>
            <w:r>
              <w:rPr>
                <w:rFonts w:cs="Calibri"/>
                <w:b/>
                <w:bCs/>
                <w:color w:val="000000"/>
              </w:rPr>
              <w:t>$</w:t>
            </w:r>
            <w:r w:rsidR="00B12AFD">
              <w:rPr>
                <w:rFonts w:cs="Calibri"/>
                <w:b/>
                <w:bCs/>
                <w:color w:val="000000"/>
              </w:rPr>
              <w:t>Redacted</w:t>
            </w:r>
          </w:p>
        </w:tc>
        <w:tc>
          <w:tcPr>
            <w:tcW w:w="1254" w:type="dxa"/>
            <w:vAlign w:val="bottom"/>
          </w:tcPr>
          <w:p w14:paraId="66B54CE5" w14:textId="77777777" w:rsidR="00B12AFD" w:rsidRDefault="00B12AFD" w:rsidP="002739C5">
            <w:pPr>
              <w:pStyle w:val="Tabletext0"/>
              <w:spacing w:before="0" w:after="0"/>
              <w:jc w:val="right"/>
              <w:rPr>
                <w:rFonts w:cs="Calibri"/>
                <w:color w:val="000000"/>
              </w:rPr>
            </w:pPr>
            <w:r>
              <w:rPr>
                <w:rFonts w:cs="Calibri"/>
                <w:color w:val="000000"/>
              </w:rPr>
              <w:t>1.2896</w:t>
            </w:r>
          </w:p>
        </w:tc>
        <w:tc>
          <w:tcPr>
            <w:tcW w:w="2048" w:type="dxa"/>
          </w:tcPr>
          <w:p w14:paraId="5453E41A" w14:textId="2DEF5C55" w:rsidR="00B12AFD" w:rsidRPr="00501CD9" w:rsidRDefault="00B12AFD" w:rsidP="002739C5">
            <w:pPr>
              <w:pStyle w:val="Tabletext0"/>
              <w:spacing w:before="0" w:after="0"/>
              <w:jc w:val="right"/>
              <w:rPr>
                <w:rFonts w:cs="Calibri"/>
                <w:color w:val="000000"/>
              </w:rPr>
            </w:pPr>
            <w:r w:rsidRPr="009F46BB">
              <w:rPr>
                <w:rFonts w:cs="Calibri"/>
                <w:color w:val="000000"/>
              </w:rPr>
              <w:t>$</w:t>
            </w:r>
            <w:r w:rsidRPr="009F46BB">
              <w:rPr>
                <w:rFonts w:cs="Calibri"/>
                <w:b/>
                <w:bCs/>
                <w:color w:val="000000"/>
              </w:rPr>
              <w:t>Redacted</w:t>
            </w:r>
          </w:p>
        </w:tc>
        <w:tc>
          <w:tcPr>
            <w:tcW w:w="1290" w:type="dxa"/>
            <w:vAlign w:val="bottom"/>
          </w:tcPr>
          <w:p w14:paraId="31629D67" w14:textId="77777777" w:rsidR="00B12AFD" w:rsidRDefault="00B12AFD" w:rsidP="002739C5">
            <w:pPr>
              <w:pStyle w:val="Tabletext0"/>
              <w:spacing w:before="0" w:after="0"/>
              <w:jc w:val="right"/>
              <w:rPr>
                <w:rFonts w:cs="Calibri"/>
                <w:color w:val="000000"/>
              </w:rPr>
            </w:pPr>
            <w:r>
              <w:rPr>
                <w:rFonts w:cs="Calibri"/>
                <w:color w:val="000000"/>
              </w:rPr>
              <w:t>−34%</w:t>
            </w:r>
          </w:p>
        </w:tc>
      </w:tr>
      <w:tr w:rsidR="006632D3" w:rsidRPr="000F6B35" w14:paraId="73A99A49" w14:textId="77777777" w:rsidTr="00175863">
        <w:tc>
          <w:tcPr>
            <w:tcW w:w="9016" w:type="dxa"/>
            <w:gridSpan w:val="5"/>
          </w:tcPr>
          <w:p w14:paraId="51D857B5" w14:textId="77777777" w:rsidR="006632D3" w:rsidRPr="00C160B1" w:rsidRDefault="006632D3" w:rsidP="002739C5">
            <w:pPr>
              <w:pStyle w:val="Tabletext0"/>
              <w:spacing w:before="0" w:after="0"/>
              <w:rPr>
                <w:i/>
                <w:iCs/>
              </w:rPr>
            </w:pPr>
            <w:r w:rsidRPr="00C160B1">
              <w:rPr>
                <w:i/>
                <w:iCs/>
              </w:rPr>
              <w:t>Discounting rate</w:t>
            </w:r>
            <w:r>
              <w:rPr>
                <w:i/>
                <w:iCs/>
              </w:rPr>
              <w:t xml:space="preserve"> for costs</w:t>
            </w:r>
            <w:r w:rsidRPr="00C160B1">
              <w:rPr>
                <w:i/>
                <w:iCs/>
              </w:rPr>
              <w:t xml:space="preserve"> (base case: 5% per annum)</w:t>
            </w:r>
          </w:p>
        </w:tc>
      </w:tr>
      <w:tr w:rsidR="00B12AFD" w:rsidRPr="000F6B35" w14:paraId="070D995A" w14:textId="77777777" w:rsidTr="007229D6">
        <w:tc>
          <w:tcPr>
            <w:tcW w:w="2376" w:type="dxa"/>
          </w:tcPr>
          <w:p w14:paraId="4C90D310" w14:textId="77777777" w:rsidR="00B12AFD" w:rsidRPr="000F6B35" w:rsidRDefault="00B12AFD" w:rsidP="002739C5">
            <w:pPr>
              <w:pStyle w:val="Tabletext0"/>
              <w:spacing w:before="0" w:after="0"/>
            </w:pPr>
            <w:r>
              <w:t>0%</w:t>
            </w:r>
          </w:p>
        </w:tc>
        <w:tc>
          <w:tcPr>
            <w:tcW w:w="2048" w:type="dxa"/>
          </w:tcPr>
          <w:p w14:paraId="6AFDE00E" w14:textId="2B28C34D" w:rsidR="00B12AFD" w:rsidRPr="000F6B35" w:rsidRDefault="00B12AFD" w:rsidP="002739C5">
            <w:pPr>
              <w:pStyle w:val="Tabletext0"/>
              <w:spacing w:before="0" w:after="0"/>
              <w:jc w:val="right"/>
            </w:pPr>
            <w:r w:rsidRPr="00AF309C">
              <w:rPr>
                <w:rFonts w:cs="Calibri"/>
                <w:color w:val="000000"/>
              </w:rPr>
              <w:t>$</w:t>
            </w:r>
            <w:r w:rsidRPr="00AF309C">
              <w:rPr>
                <w:rFonts w:cs="Calibri"/>
                <w:b/>
                <w:bCs/>
                <w:color w:val="000000"/>
              </w:rPr>
              <w:t>Redacted</w:t>
            </w:r>
          </w:p>
        </w:tc>
        <w:tc>
          <w:tcPr>
            <w:tcW w:w="1254" w:type="dxa"/>
            <w:vAlign w:val="bottom"/>
          </w:tcPr>
          <w:p w14:paraId="288971B9" w14:textId="77777777" w:rsidR="00B12AFD" w:rsidRPr="000F6B35" w:rsidRDefault="00B12AFD" w:rsidP="002739C5">
            <w:pPr>
              <w:pStyle w:val="Tabletext0"/>
              <w:spacing w:before="0" w:after="0"/>
              <w:jc w:val="right"/>
            </w:pPr>
            <w:r>
              <w:rPr>
                <w:rFonts w:cs="Calibri"/>
                <w:color w:val="000000"/>
              </w:rPr>
              <w:t>1.2896</w:t>
            </w:r>
          </w:p>
        </w:tc>
        <w:tc>
          <w:tcPr>
            <w:tcW w:w="2048" w:type="dxa"/>
          </w:tcPr>
          <w:p w14:paraId="3BDC8AC4" w14:textId="097B71B2" w:rsidR="00B12AFD" w:rsidRPr="00C160B1" w:rsidRDefault="00B12AFD" w:rsidP="002739C5">
            <w:pPr>
              <w:pStyle w:val="Tabletext0"/>
              <w:spacing w:before="0" w:after="0"/>
              <w:jc w:val="right"/>
            </w:pPr>
            <w:r w:rsidRPr="001829E7">
              <w:rPr>
                <w:rFonts w:cs="Calibri"/>
                <w:color w:val="000000"/>
              </w:rPr>
              <w:t>$</w:t>
            </w:r>
            <w:r w:rsidRPr="001829E7">
              <w:rPr>
                <w:rFonts w:cs="Calibri"/>
                <w:b/>
                <w:bCs/>
                <w:color w:val="000000"/>
              </w:rPr>
              <w:t>Redacted</w:t>
            </w:r>
          </w:p>
        </w:tc>
        <w:tc>
          <w:tcPr>
            <w:tcW w:w="1290" w:type="dxa"/>
            <w:vAlign w:val="bottom"/>
          </w:tcPr>
          <w:p w14:paraId="16C462C3" w14:textId="77777777" w:rsidR="00B12AFD" w:rsidRPr="00492AB6" w:rsidRDefault="00B12AFD" w:rsidP="002739C5">
            <w:pPr>
              <w:pStyle w:val="Tabletext0"/>
              <w:spacing w:before="0" w:after="0"/>
              <w:jc w:val="right"/>
              <w:rPr>
                <w:rFonts w:cs="Calibri"/>
                <w:color w:val="000000"/>
              </w:rPr>
            </w:pPr>
            <w:r>
              <w:rPr>
                <w:rFonts w:cs="Calibri"/>
                <w:color w:val="000000"/>
              </w:rPr>
              <w:t>219%</w:t>
            </w:r>
          </w:p>
        </w:tc>
      </w:tr>
      <w:tr w:rsidR="00B12AFD" w:rsidRPr="000F6B35" w14:paraId="4BF29D63" w14:textId="77777777" w:rsidTr="007229D6">
        <w:tc>
          <w:tcPr>
            <w:tcW w:w="2376" w:type="dxa"/>
          </w:tcPr>
          <w:p w14:paraId="2FC0C240" w14:textId="77777777" w:rsidR="00B12AFD" w:rsidRDefault="00B12AFD" w:rsidP="002739C5">
            <w:pPr>
              <w:pStyle w:val="Tabletext0"/>
              <w:spacing w:before="0" w:after="0"/>
            </w:pPr>
            <w:r>
              <w:t>3.5%</w:t>
            </w:r>
          </w:p>
        </w:tc>
        <w:tc>
          <w:tcPr>
            <w:tcW w:w="2048" w:type="dxa"/>
          </w:tcPr>
          <w:p w14:paraId="10E8DFB4" w14:textId="3423EDD0" w:rsidR="00B12AFD" w:rsidRDefault="00B12AFD" w:rsidP="002739C5">
            <w:pPr>
              <w:pStyle w:val="Tabletext0"/>
              <w:spacing w:before="0" w:after="0"/>
              <w:jc w:val="right"/>
              <w:rPr>
                <w:rFonts w:cs="Calibri"/>
                <w:color w:val="000000"/>
              </w:rPr>
            </w:pPr>
            <w:r w:rsidRPr="00AF309C">
              <w:rPr>
                <w:rFonts w:cs="Calibri"/>
                <w:color w:val="000000"/>
              </w:rPr>
              <w:t>$</w:t>
            </w:r>
            <w:r w:rsidRPr="00AF309C">
              <w:rPr>
                <w:rFonts w:cs="Calibri"/>
                <w:b/>
                <w:bCs/>
                <w:color w:val="000000"/>
              </w:rPr>
              <w:t>Redacted</w:t>
            </w:r>
          </w:p>
        </w:tc>
        <w:tc>
          <w:tcPr>
            <w:tcW w:w="1254" w:type="dxa"/>
            <w:vAlign w:val="bottom"/>
          </w:tcPr>
          <w:p w14:paraId="50DAB6AF" w14:textId="77777777" w:rsidR="00B12AFD" w:rsidRDefault="00B12AFD" w:rsidP="002739C5">
            <w:pPr>
              <w:pStyle w:val="Tabletext0"/>
              <w:spacing w:before="0" w:after="0"/>
              <w:jc w:val="right"/>
              <w:rPr>
                <w:rFonts w:cs="Calibri"/>
                <w:color w:val="000000"/>
              </w:rPr>
            </w:pPr>
            <w:r>
              <w:rPr>
                <w:rFonts w:cs="Calibri"/>
                <w:color w:val="000000"/>
              </w:rPr>
              <w:t>1.2896</w:t>
            </w:r>
          </w:p>
        </w:tc>
        <w:tc>
          <w:tcPr>
            <w:tcW w:w="2048" w:type="dxa"/>
          </w:tcPr>
          <w:p w14:paraId="719F3D8D" w14:textId="48713058" w:rsidR="00B12AFD" w:rsidRDefault="00B12AFD" w:rsidP="002739C5">
            <w:pPr>
              <w:pStyle w:val="Tabletext0"/>
              <w:spacing w:before="0" w:after="0"/>
              <w:jc w:val="right"/>
              <w:rPr>
                <w:rFonts w:cs="Calibri"/>
                <w:color w:val="000000"/>
              </w:rPr>
            </w:pPr>
            <w:r w:rsidRPr="001829E7">
              <w:rPr>
                <w:rFonts w:cs="Calibri"/>
                <w:color w:val="000000"/>
              </w:rPr>
              <w:t>$</w:t>
            </w:r>
            <w:r w:rsidRPr="001829E7">
              <w:rPr>
                <w:rFonts w:cs="Calibri"/>
                <w:b/>
                <w:bCs/>
                <w:color w:val="000000"/>
              </w:rPr>
              <w:t>Redacted</w:t>
            </w:r>
          </w:p>
        </w:tc>
        <w:tc>
          <w:tcPr>
            <w:tcW w:w="1290" w:type="dxa"/>
            <w:vAlign w:val="bottom"/>
          </w:tcPr>
          <w:p w14:paraId="05092C3C" w14:textId="77777777" w:rsidR="00B12AFD" w:rsidRDefault="00B12AFD" w:rsidP="002739C5">
            <w:pPr>
              <w:pStyle w:val="Tabletext0"/>
              <w:spacing w:before="0" w:after="0"/>
              <w:jc w:val="right"/>
              <w:rPr>
                <w:rFonts w:cs="Calibri"/>
                <w:b/>
                <w:bCs/>
                <w:color w:val="000000"/>
              </w:rPr>
            </w:pPr>
            <w:r>
              <w:rPr>
                <w:rFonts w:cs="Calibri"/>
                <w:color w:val="000000"/>
              </w:rPr>
              <w:t>28%</w:t>
            </w:r>
          </w:p>
        </w:tc>
      </w:tr>
      <w:tr w:rsidR="006632D3" w:rsidRPr="000F6B35" w14:paraId="74359603" w14:textId="77777777" w:rsidTr="00175863">
        <w:tc>
          <w:tcPr>
            <w:tcW w:w="9016" w:type="dxa"/>
            <w:gridSpan w:val="5"/>
          </w:tcPr>
          <w:p w14:paraId="358CC385" w14:textId="77777777" w:rsidR="006632D3" w:rsidRPr="002D46B1" w:rsidRDefault="006632D3" w:rsidP="002739C5">
            <w:pPr>
              <w:pStyle w:val="Tabletext0"/>
              <w:spacing w:before="0" w:after="0"/>
              <w:rPr>
                <w:i/>
                <w:iCs/>
              </w:rPr>
            </w:pPr>
            <w:r w:rsidRPr="00573DDC">
              <w:rPr>
                <w:i/>
                <w:iCs/>
              </w:rPr>
              <w:t>Prevalence of GSD II per 100,000 (base case: no NBS: 2.19 and NBS: 3.48)</w:t>
            </w:r>
          </w:p>
        </w:tc>
      </w:tr>
      <w:tr w:rsidR="00B12AFD" w:rsidRPr="000F6B35" w14:paraId="7E47602D" w14:textId="77777777" w:rsidTr="007229D6">
        <w:tc>
          <w:tcPr>
            <w:tcW w:w="2376" w:type="dxa"/>
            <w:vAlign w:val="bottom"/>
          </w:tcPr>
          <w:p w14:paraId="46C8E2FB" w14:textId="77777777" w:rsidR="00B12AFD" w:rsidRPr="000F6B35" w:rsidRDefault="00B12AFD" w:rsidP="002739C5">
            <w:pPr>
              <w:pStyle w:val="Tabletext0"/>
              <w:spacing w:before="0" w:after="0"/>
            </w:pPr>
            <w:r>
              <w:rPr>
                <w:rFonts w:cs="Calibri"/>
                <w:color w:val="000000"/>
              </w:rPr>
              <w:t>Low (no NBS: 2.00, NBS: 2.19)</w:t>
            </w:r>
          </w:p>
        </w:tc>
        <w:tc>
          <w:tcPr>
            <w:tcW w:w="2048" w:type="dxa"/>
          </w:tcPr>
          <w:p w14:paraId="23B8949F" w14:textId="13BE5AEF" w:rsidR="00B12AFD" w:rsidRPr="000F6B35" w:rsidRDefault="00B12AFD" w:rsidP="002739C5">
            <w:pPr>
              <w:pStyle w:val="Tabletext0"/>
              <w:spacing w:before="0" w:after="0"/>
              <w:jc w:val="right"/>
            </w:pPr>
            <w:r w:rsidRPr="00C03F57">
              <w:rPr>
                <w:rFonts w:cs="Calibri"/>
                <w:color w:val="000000"/>
              </w:rPr>
              <w:t>$</w:t>
            </w:r>
            <w:r w:rsidRPr="00C03F57">
              <w:rPr>
                <w:rFonts w:cs="Calibri"/>
                <w:b/>
                <w:bCs/>
                <w:color w:val="000000"/>
              </w:rPr>
              <w:t>Redacted</w:t>
            </w:r>
          </w:p>
        </w:tc>
        <w:tc>
          <w:tcPr>
            <w:tcW w:w="1254" w:type="dxa"/>
            <w:vAlign w:val="bottom"/>
          </w:tcPr>
          <w:p w14:paraId="7B2A5EA4" w14:textId="77777777" w:rsidR="00B12AFD" w:rsidRPr="000F6B35" w:rsidRDefault="00B12AFD" w:rsidP="002739C5">
            <w:pPr>
              <w:pStyle w:val="Tabletext0"/>
              <w:spacing w:before="0" w:after="0"/>
              <w:jc w:val="right"/>
            </w:pPr>
            <w:r>
              <w:rPr>
                <w:rFonts w:cs="Calibri"/>
                <w:color w:val="000000"/>
              </w:rPr>
              <w:t>0.1900</w:t>
            </w:r>
          </w:p>
        </w:tc>
        <w:tc>
          <w:tcPr>
            <w:tcW w:w="2048" w:type="dxa"/>
          </w:tcPr>
          <w:p w14:paraId="237DB357" w14:textId="5DBB5F34" w:rsidR="00B12AFD" w:rsidRPr="000F6B35" w:rsidRDefault="00B12AFD" w:rsidP="002739C5">
            <w:pPr>
              <w:pStyle w:val="Tabletext0"/>
              <w:spacing w:before="0" w:after="0"/>
              <w:jc w:val="right"/>
            </w:pPr>
            <w:r w:rsidRPr="009A2DBF">
              <w:rPr>
                <w:rFonts w:cs="Calibri"/>
                <w:color w:val="000000"/>
              </w:rPr>
              <w:t>$</w:t>
            </w:r>
            <w:r w:rsidRPr="009A2DBF">
              <w:rPr>
                <w:rFonts w:cs="Calibri"/>
                <w:b/>
                <w:bCs/>
                <w:color w:val="000000"/>
              </w:rPr>
              <w:t>Redacted</w:t>
            </w:r>
          </w:p>
        </w:tc>
        <w:tc>
          <w:tcPr>
            <w:tcW w:w="1290" w:type="dxa"/>
            <w:vAlign w:val="bottom"/>
          </w:tcPr>
          <w:p w14:paraId="2855CA87" w14:textId="77777777" w:rsidR="00B12AFD" w:rsidRDefault="00B12AFD" w:rsidP="002739C5">
            <w:pPr>
              <w:pStyle w:val="Tabletext0"/>
              <w:spacing w:before="0" w:after="0"/>
              <w:jc w:val="right"/>
              <w:rPr>
                <w:rFonts w:cs="Calibri"/>
                <w:b/>
                <w:bCs/>
                <w:color w:val="000000"/>
              </w:rPr>
            </w:pPr>
            <w:r>
              <w:rPr>
                <w:rFonts w:cs="Calibri"/>
                <w:color w:val="000000"/>
              </w:rPr>
              <w:t>451%</w:t>
            </w:r>
          </w:p>
        </w:tc>
      </w:tr>
      <w:tr w:rsidR="00B12AFD" w:rsidRPr="000F6B35" w14:paraId="45E0ACE2" w14:textId="77777777" w:rsidTr="007229D6">
        <w:tc>
          <w:tcPr>
            <w:tcW w:w="2376" w:type="dxa"/>
            <w:vAlign w:val="bottom"/>
          </w:tcPr>
          <w:p w14:paraId="134194F6" w14:textId="77777777" w:rsidR="00B12AFD" w:rsidRDefault="00B12AFD" w:rsidP="002739C5">
            <w:pPr>
              <w:pStyle w:val="Tabletext0"/>
              <w:spacing w:before="0" w:after="0"/>
            </w:pPr>
            <w:r>
              <w:rPr>
                <w:rFonts w:cs="Calibri"/>
                <w:color w:val="000000"/>
              </w:rPr>
              <w:t>High (no NBS: 2.19, NBS: 5.56)</w:t>
            </w:r>
          </w:p>
        </w:tc>
        <w:tc>
          <w:tcPr>
            <w:tcW w:w="2048" w:type="dxa"/>
          </w:tcPr>
          <w:p w14:paraId="55FC6986" w14:textId="53BEFA62" w:rsidR="00B12AFD" w:rsidRDefault="00B12AFD" w:rsidP="002739C5">
            <w:pPr>
              <w:pStyle w:val="Tabletext0"/>
              <w:spacing w:before="0" w:after="0"/>
              <w:jc w:val="right"/>
              <w:rPr>
                <w:rFonts w:cs="Calibri"/>
                <w:color w:val="000000"/>
              </w:rPr>
            </w:pPr>
            <w:r w:rsidRPr="00C03F57">
              <w:rPr>
                <w:rFonts w:cs="Calibri"/>
                <w:color w:val="000000"/>
              </w:rPr>
              <w:t>$</w:t>
            </w:r>
            <w:r w:rsidRPr="00C03F57">
              <w:rPr>
                <w:rFonts w:cs="Calibri"/>
                <w:b/>
                <w:bCs/>
                <w:color w:val="000000"/>
              </w:rPr>
              <w:t>Redacted</w:t>
            </w:r>
          </w:p>
        </w:tc>
        <w:tc>
          <w:tcPr>
            <w:tcW w:w="1254" w:type="dxa"/>
            <w:vAlign w:val="bottom"/>
          </w:tcPr>
          <w:p w14:paraId="4F691072" w14:textId="77777777" w:rsidR="00B12AFD" w:rsidRDefault="00B12AFD" w:rsidP="002739C5">
            <w:pPr>
              <w:pStyle w:val="Tabletext0"/>
              <w:spacing w:before="0" w:after="0"/>
              <w:jc w:val="right"/>
              <w:rPr>
                <w:rFonts w:cs="Calibri"/>
                <w:color w:val="000000"/>
              </w:rPr>
            </w:pPr>
            <w:r>
              <w:rPr>
                <w:rFonts w:cs="Calibri"/>
                <w:color w:val="000000"/>
              </w:rPr>
              <w:t>3.3700</w:t>
            </w:r>
          </w:p>
        </w:tc>
        <w:tc>
          <w:tcPr>
            <w:tcW w:w="2048" w:type="dxa"/>
          </w:tcPr>
          <w:p w14:paraId="0CA8CC4B" w14:textId="5351692F" w:rsidR="00B12AFD" w:rsidRDefault="00B12AFD" w:rsidP="002739C5">
            <w:pPr>
              <w:pStyle w:val="Tabletext0"/>
              <w:spacing w:before="0" w:after="0"/>
              <w:jc w:val="right"/>
              <w:rPr>
                <w:rFonts w:cs="Calibri"/>
                <w:color w:val="000000"/>
              </w:rPr>
            </w:pPr>
            <w:r w:rsidRPr="009A2DBF">
              <w:rPr>
                <w:rFonts w:cs="Calibri"/>
                <w:color w:val="000000"/>
              </w:rPr>
              <w:t>$</w:t>
            </w:r>
            <w:r w:rsidRPr="009A2DBF">
              <w:rPr>
                <w:rFonts w:cs="Calibri"/>
                <w:b/>
                <w:bCs/>
                <w:color w:val="000000"/>
              </w:rPr>
              <w:t>Redacted</w:t>
            </w:r>
          </w:p>
        </w:tc>
        <w:tc>
          <w:tcPr>
            <w:tcW w:w="1290" w:type="dxa"/>
            <w:vAlign w:val="bottom"/>
          </w:tcPr>
          <w:p w14:paraId="42B21BC8" w14:textId="77777777" w:rsidR="00B12AFD" w:rsidRDefault="00B12AFD" w:rsidP="002739C5">
            <w:pPr>
              <w:pStyle w:val="Tabletext0"/>
              <w:spacing w:before="0" w:after="0"/>
              <w:jc w:val="right"/>
              <w:rPr>
                <w:rFonts w:cs="Calibri"/>
                <w:b/>
                <w:bCs/>
                <w:color w:val="000000"/>
              </w:rPr>
            </w:pPr>
            <w:r>
              <w:rPr>
                <w:rFonts w:cs="Calibri"/>
                <w:color w:val="000000"/>
              </w:rPr>
              <w:t>−50%</w:t>
            </w:r>
          </w:p>
        </w:tc>
      </w:tr>
    </w:tbl>
    <w:p w14:paraId="57554326" w14:textId="5045EDC0" w:rsidR="006632D3" w:rsidRDefault="006632D3" w:rsidP="006632D3">
      <w:pPr>
        <w:pStyle w:val="Tablenotes"/>
      </w:pPr>
      <w:r>
        <w:t xml:space="preserve">GSD II = glycogen storage </w:t>
      </w:r>
      <w:r w:rsidR="00677B2F">
        <w:t xml:space="preserve">disease </w:t>
      </w:r>
      <w:r>
        <w:t>type II; ICER = incremental cost-effectiveness ratio; MPS I = mucopolysaccharidosis Type I; MS/MS = tandem mass spectrometry; NBS = newborn bloodspot screening</w:t>
      </w:r>
    </w:p>
    <w:p w14:paraId="7CFDFBF7" w14:textId="69DC0938" w:rsidR="006632D3" w:rsidRPr="00325BC4" w:rsidRDefault="006632D3" w:rsidP="006632D3">
      <w:pPr>
        <w:pStyle w:val="Tablenotes"/>
      </w:pPr>
      <w:r w:rsidRPr="02E2EE7D">
        <w:rPr>
          <w:vertAlign w:val="superscript"/>
        </w:rPr>
        <w:t>a</w:t>
      </w:r>
      <w:r w:rsidRPr="02E2EE7D">
        <w:t xml:space="preserve"> From October 2024 </w:t>
      </w:r>
      <w:r w:rsidR="00606312">
        <w:rPr>
          <w:rFonts w:cs="Calibri"/>
          <w:b/>
          <w:bCs/>
          <w:color w:val="000000"/>
        </w:rPr>
        <w:t>Redacted</w:t>
      </w:r>
      <w:r w:rsidRPr="02E2EE7D">
        <w:t xml:space="preserve"> </w:t>
      </w:r>
      <w:r w:rsidRPr="02E2EE7D">
        <w:rPr>
          <w:sz w:val="20"/>
        </w:rPr>
        <w:t>kit</w:t>
      </w:r>
      <w:r w:rsidRPr="02E2EE7D">
        <w:t xml:space="preserve"> </w:t>
      </w:r>
      <w:r w:rsidR="00DC52E5">
        <w:t>is available</w:t>
      </w:r>
      <w:r w:rsidRPr="02E2EE7D">
        <w:t xml:space="preserve"> to multiplex MS/MS enzymatic assays for MPS I, MPS II and GSD II which are currently under MSAC consideration for NBS panel extension. If these tests are multiplexed, the screening cost per sample attributed to MPS I detection will be one-third as the running cost (all the operational costs, equipment costs and kit costs) would remain same but will perform detection of three disorders at the same time. </w:t>
      </w:r>
    </w:p>
    <w:p w14:paraId="36B839E7" w14:textId="77777777" w:rsidR="006632D3" w:rsidRDefault="006632D3" w:rsidP="006632D3">
      <w:pPr>
        <w:pStyle w:val="Heading4"/>
      </w:pPr>
      <w:r>
        <w:t xml:space="preserve">Sensitivity analysis: extended model </w:t>
      </w:r>
    </w:p>
    <w:p w14:paraId="54922078" w14:textId="026DC193" w:rsidR="006632D3" w:rsidRDefault="004A68D4" w:rsidP="006632D3">
      <w:r>
        <w:t>Table 12</w:t>
      </w:r>
      <w:r w:rsidR="00DD02A3">
        <w:t xml:space="preserve"> </w:t>
      </w:r>
      <w:r w:rsidR="006632D3" w:rsidRPr="02E2EE7D">
        <w:t>presents the summary results for sensitivity analysis of exploratory economic evaluation using “upper” and lower” bounds for infantile onset survival (</w:t>
      </w:r>
      <w:proofErr w:type="spellStart"/>
      <w:r w:rsidR="006632D3" w:rsidRPr="02E2EE7D">
        <w:t>VFSi</w:t>
      </w:r>
      <w:proofErr w:type="spellEnd"/>
      <w:r w:rsidR="006632D3" w:rsidRPr="02E2EE7D">
        <w:t xml:space="preserve"> and OS) estimates for NBS strategy (per cohort of 100,000 newborns) depicting the impact on ICER per QALY gained of varying parameter values for key uncertain parameters. The key drivers in the exploratory analysis were cost of first tier screening, prevalence of GSD II, cost of ERT and discounting rate applied to future costs and outcomes. </w:t>
      </w:r>
    </w:p>
    <w:p w14:paraId="04F4755D" w14:textId="7447E27F" w:rsidR="006632D3" w:rsidRDefault="006632D3" w:rsidP="006632D3">
      <w:pPr>
        <w:pStyle w:val="Caption"/>
      </w:pPr>
      <w:bookmarkStart w:id="58" w:name="_Ref184814134"/>
      <w:r>
        <w:t>Table</w:t>
      </w:r>
      <w:r w:rsidR="00DD02A3">
        <w:t xml:space="preserve"> </w:t>
      </w:r>
      <w:r w:rsidR="004A68D4">
        <w:t>12</w:t>
      </w:r>
      <w:bookmarkEnd w:id="58"/>
      <w:r>
        <w:tab/>
        <w:t xml:space="preserve">Sensitivity analysis of exploratory economic evaluation using “upper” and lower” bounds for IO survival estimates for NBS strategy </w:t>
      </w:r>
      <w:r w:rsidRPr="004B7AB5">
        <w:t>(per cohort of 100,000 newborns)</w:t>
      </w:r>
    </w:p>
    <w:tbl>
      <w:tblPr>
        <w:tblStyle w:val="TableGrid"/>
        <w:tblW w:w="0" w:type="auto"/>
        <w:tblLook w:val="04A0" w:firstRow="1" w:lastRow="0" w:firstColumn="1" w:lastColumn="0" w:noHBand="0" w:noVBand="1"/>
      </w:tblPr>
      <w:tblGrid>
        <w:gridCol w:w="2830"/>
        <w:gridCol w:w="2048"/>
        <w:gridCol w:w="1064"/>
        <w:gridCol w:w="2048"/>
        <w:gridCol w:w="1026"/>
      </w:tblGrid>
      <w:tr w:rsidR="006632D3" w:rsidRPr="004A7FDE" w14:paraId="4DE6FFF3" w14:textId="77777777" w:rsidTr="00B12AFD">
        <w:trPr>
          <w:tblHeader/>
        </w:trPr>
        <w:tc>
          <w:tcPr>
            <w:tcW w:w="2830" w:type="dxa"/>
          </w:tcPr>
          <w:p w14:paraId="31471520" w14:textId="77777777" w:rsidR="006632D3" w:rsidRPr="004A7FDE" w:rsidRDefault="006632D3" w:rsidP="008F4921">
            <w:pPr>
              <w:pStyle w:val="Tabletext0"/>
              <w:rPr>
                <w:b/>
                <w:bCs/>
              </w:rPr>
            </w:pPr>
          </w:p>
        </w:tc>
        <w:tc>
          <w:tcPr>
            <w:tcW w:w="3112" w:type="dxa"/>
            <w:gridSpan w:val="2"/>
          </w:tcPr>
          <w:p w14:paraId="0F024A24" w14:textId="77777777" w:rsidR="006632D3" w:rsidRPr="004A7FDE" w:rsidRDefault="006632D3" w:rsidP="008F4921">
            <w:pPr>
              <w:pStyle w:val="Tabletext0"/>
              <w:jc w:val="center"/>
              <w:rPr>
                <w:b/>
                <w:bCs/>
              </w:rPr>
            </w:pPr>
            <w:r>
              <w:rPr>
                <w:b/>
                <w:bCs/>
              </w:rPr>
              <w:t>Using upper bound for IO survival effectiveness</w:t>
            </w:r>
          </w:p>
        </w:tc>
        <w:tc>
          <w:tcPr>
            <w:tcW w:w="3074" w:type="dxa"/>
            <w:gridSpan w:val="2"/>
          </w:tcPr>
          <w:p w14:paraId="65E2EE90" w14:textId="77777777" w:rsidR="006632D3" w:rsidRDefault="006632D3" w:rsidP="008F4921">
            <w:pPr>
              <w:pStyle w:val="Tabletext0"/>
              <w:jc w:val="center"/>
              <w:rPr>
                <w:b/>
                <w:bCs/>
              </w:rPr>
            </w:pPr>
            <w:r>
              <w:rPr>
                <w:b/>
                <w:bCs/>
              </w:rPr>
              <w:t>Using lower bound for IO survival</w:t>
            </w:r>
          </w:p>
        </w:tc>
      </w:tr>
      <w:tr w:rsidR="006632D3" w:rsidRPr="004A7FDE" w14:paraId="5C14796E" w14:textId="77777777" w:rsidTr="00B12AFD">
        <w:trPr>
          <w:tblHeader/>
        </w:trPr>
        <w:tc>
          <w:tcPr>
            <w:tcW w:w="2830" w:type="dxa"/>
          </w:tcPr>
          <w:p w14:paraId="31F5EDDC" w14:textId="77777777" w:rsidR="006632D3" w:rsidRPr="004A7FDE" w:rsidRDefault="006632D3" w:rsidP="008F4921">
            <w:pPr>
              <w:pStyle w:val="Tabletext0"/>
              <w:rPr>
                <w:b/>
                <w:bCs/>
              </w:rPr>
            </w:pPr>
          </w:p>
        </w:tc>
        <w:tc>
          <w:tcPr>
            <w:tcW w:w="2048" w:type="dxa"/>
          </w:tcPr>
          <w:p w14:paraId="42B2EFEE" w14:textId="77777777" w:rsidR="006632D3" w:rsidRDefault="006632D3" w:rsidP="008F4921">
            <w:pPr>
              <w:pStyle w:val="Tabletext0"/>
              <w:jc w:val="left"/>
              <w:rPr>
                <w:b/>
                <w:bCs/>
              </w:rPr>
            </w:pPr>
            <w:r>
              <w:rPr>
                <w:b/>
                <w:bCs/>
              </w:rPr>
              <w:t>ICER/QALY</w:t>
            </w:r>
          </w:p>
        </w:tc>
        <w:tc>
          <w:tcPr>
            <w:tcW w:w="1064" w:type="dxa"/>
          </w:tcPr>
          <w:p w14:paraId="65AB6396" w14:textId="77777777" w:rsidR="006632D3" w:rsidRDefault="006632D3" w:rsidP="008F4921">
            <w:pPr>
              <w:pStyle w:val="Tabletext0"/>
              <w:jc w:val="left"/>
              <w:rPr>
                <w:b/>
                <w:bCs/>
              </w:rPr>
            </w:pPr>
            <w:r>
              <w:rPr>
                <w:b/>
                <w:bCs/>
              </w:rPr>
              <w:t>Percent change</w:t>
            </w:r>
          </w:p>
        </w:tc>
        <w:tc>
          <w:tcPr>
            <w:tcW w:w="2048" w:type="dxa"/>
          </w:tcPr>
          <w:p w14:paraId="7B18616F" w14:textId="77777777" w:rsidR="006632D3" w:rsidRDefault="006632D3" w:rsidP="008F4921">
            <w:pPr>
              <w:pStyle w:val="Tabletext0"/>
              <w:jc w:val="left"/>
              <w:rPr>
                <w:b/>
                <w:bCs/>
              </w:rPr>
            </w:pPr>
            <w:r>
              <w:rPr>
                <w:b/>
                <w:bCs/>
              </w:rPr>
              <w:t>ICER/QALY</w:t>
            </w:r>
          </w:p>
        </w:tc>
        <w:tc>
          <w:tcPr>
            <w:tcW w:w="1026" w:type="dxa"/>
          </w:tcPr>
          <w:p w14:paraId="715EC766" w14:textId="77777777" w:rsidR="006632D3" w:rsidRDefault="006632D3" w:rsidP="008F4921">
            <w:pPr>
              <w:pStyle w:val="Tabletext0"/>
              <w:jc w:val="left"/>
              <w:rPr>
                <w:b/>
                <w:bCs/>
              </w:rPr>
            </w:pPr>
            <w:r>
              <w:rPr>
                <w:b/>
                <w:bCs/>
              </w:rPr>
              <w:t>Percent change</w:t>
            </w:r>
          </w:p>
        </w:tc>
      </w:tr>
      <w:tr w:rsidR="006632D3" w:rsidRPr="00C160B1" w14:paraId="29F6AE4E" w14:textId="77777777" w:rsidTr="00B12AFD">
        <w:trPr>
          <w:tblHeader/>
        </w:trPr>
        <w:tc>
          <w:tcPr>
            <w:tcW w:w="2830" w:type="dxa"/>
          </w:tcPr>
          <w:p w14:paraId="18836806" w14:textId="77777777" w:rsidR="006632D3" w:rsidRPr="00492AB6" w:rsidRDefault="006632D3" w:rsidP="008F4921">
            <w:pPr>
              <w:pStyle w:val="Tabletext0"/>
              <w:rPr>
                <w:b/>
                <w:bCs/>
              </w:rPr>
            </w:pPr>
            <w:r w:rsidRPr="00492AB6">
              <w:rPr>
                <w:b/>
                <w:bCs/>
              </w:rPr>
              <w:t>Base case analysis</w:t>
            </w:r>
          </w:p>
        </w:tc>
        <w:tc>
          <w:tcPr>
            <w:tcW w:w="2048" w:type="dxa"/>
            <w:vAlign w:val="bottom"/>
          </w:tcPr>
          <w:p w14:paraId="043A79B6" w14:textId="418FA93B" w:rsidR="006632D3" w:rsidRPr="00FC7715" w:rsidRDefault="00B12AFD" w:rsidP="008F4921">
            <w:pPr>
              <w:pStyle w:val="Tabletext0"/>
              <w:jc w:val="right"/>
              <w:rPr>
                <w:b/>
                <w:bCs/>
              </w:rPr>
            </w:pPr>
            <w:r w:rsidRPr="009B60A4">
              <w:rPr>
                <w:rFonts w:cs="Calibri"/>
                <w:color w:val="000000"/>
              </w:rPr>
              <w:t>$</w:t>
            </w:r>
            <w:r>
              <w:rPr>
                <w:rFonts w:cs="Calibri"/>
                <w:b/>
                <w:bCs/>
                <w:color w:val="000000"/>
              </w:rPr>
              <w:t>Redacted</w:t>
            </w:r>
          </w:p>
        </w:tc>
        <w:tc>
          <w:tcPr>
            <w:tcW w:w="1064" w:type="dxa"/>
            <w:vAlign w:val="bottom"/>
          </w:tcPr>
          <w:p w14:paraId="525BF230" w14:textId="77777777" w:rsidR="006632D3" w:rsidRPr="00FC7715" w:rsidRDefault="006632D3" w:rsidP="008F4921">
            <w:pPr>
              <w:pStyle w:val="Tabletext0"/>
              <w:jc w:val="right"/>
              <w:rPr>
                <w:b/>
                <w:bCs/>
              </w:rPr>
            </w:pPr>
            <w:r w:rsidRPr="003C55B0">
              <w:rPr>
                <w:rFonts w:cs="Calibri"/>
                <w:b/>
                <w:bCs/>
                <w:color w:val="000000"/>
              </w:rPr>
              <w:t>−</w:t>
            </w:r>
          </w:p>
        </w:tc>
        <w:tc>
          <w:tcPr>
            <w:tcW w:w="2048" w:type="dxa"/>
            <w:vAlign w:val="bottom"/>
          </w:tcPr>
          <w:p w14:paraId="2C6708AF" w14:textId="4C6D3A7A" w:rsidR="006632D3" w:rsidRPr="00FC7715" w:rsidRDefault="00B12AFD" w:rsidP="008F4921">
            <w:pPr>
              <w:pStyle w:val="Tabletext0"/>
              <w:jc w:val="right"/>
              <w:rPr>
                <w:b/>
                <w:bCs/>
              </w:rPr>
            </w:pPr>
            <w:r w:rsidRPr="009B60A4">
              <w:rPr>
                <w:rFonts w:cs="Calibri"/>
                <w:color w:val="000000"/>
              </w:rPr>
              <w:t>$</w:t>
            </w:r>
            <w:r>
              <w:rPr>
                <w:rFonts w:cs="Calibri"/>
                <w:b/>
                <w:bCs/>
                <w:color w:val="000000"/>
              </w:rPr>
              <w:t>Redacted</w:t>
            </w:r>
          </w:p>
        </w:tc>
        <w:tc>
          <w:tcPr>
            <w:tcW w:w="1026" w:type="dxa"/>
            <w:vAlign w:val="bottom"/>
          </w:tcPr>
          <w:p w14:paraId="07C4F4F9" w14:textId="77777777" w:rsidR="006632D3" w:rsidRPr="00FC7715" w:rsidRDefault="006632D3" w:rsidP="008F4921">
            <w:pPr>
              <w:pStyle w:val="Tabletext0"/>
              <w:jc w:val="right"/>
              <w:rPr>
                <w:rFonts w:cs="Calibri"/>
                <w:b/>
                <w:bCs/>
                <w:color w:val="000000"/>
              </w:rPr>
            </w:pPr>
            <w:r w:rsidRPr="003C55B0">
              <w:rPr>
                <w:rFonts w:cs="Calibri"/>
                <w:b/>
                <w:bCs/>
                <w:color w:val="000000"/>
              </w:rPr>
              <w:t>−</w:t>
            </w:r>
          </w:p>
        </w:tc>
      </w:tr>
      <w:tr w:rsidR="006632D3" w:rsidRPr="000F6B35" w14:paraId="762C033B" w14:textId="77777777" w:rsidTr="00175863">
        <w:tc>
          <w:tcPr>
            <w:tcW w:w="9016" w:type="dxa"/>
            <w:gridSpan w:val="5"/>
          </w:tcPr>
          <w:p w14:paraId="7789A280" w14:textId="7C0CF67C" w:rsidR="006632D3" w:rsidRPr="002D46B1" w:rsidRDefault="006632D3" w:rsidP="02E2EE7D">
            <w:pPr>
              <w:pStyle w:val="Tabletext0"/>
              <w:rPr>
                <w:i/>
                <w:iCs/>
              </w:rPr>
            </w:pPr>
            <w:r w:rsidRPr="02E2EE7D">
              <w:rPr>
                <w:i/>
                <w:iCs/>
              </w:rPr>
              <w:t>Cost of 1</w:t>
            </w:r>
            <w:r w:rsidRPr="02E2EE7D">
              <w:rPr>
                <w:i/>
                <w:iCs/>
                <w:vertAlign w:val="superscript"/>
              </w:rPr>
              <w:t>st</w:t>
            </w:r>
            <w:r w:rsidRPr="02E2EE7D">
              <w:rPr>
                <w:i/>
                <w:iCs/>
              </w:rPr>
              <w:t xml:space="preserve"> tier screening (base case: </w:t>
            </w:r>
            <w:r w:rsidR="007229D6" w:rsidRPr="007229D6">
              <w:rPr>
                <w:rFonts w:cs="Calibri"/>
                <w:i/>
                <w:iCs/>
                <w:color w:val="000000"/>
              </w:rPr>
              <w:t>$</w:t>
            </w:r>
            <w:r w:rsidR="007229D6" w:rsidRPr="007229D6">
              <w:rPr>
                <w:rFonts w:cs="Calibri"/>
                <w:b/>
                <w:bCs/>
                <w:i/>
                <w:iCs/>
                <w:color w:val="000000"/>
              </w:rPr>
              <w:t>Redacted</w:t>
            </w:r>
            <w:r w:rsidR="007229D6" w:rsidRPr="02E2EE7D" w:rsidDel="007229D6">
              <w:rPr>
                <w:i/>
                <w:iCs/>
              </w:rPr>
              <w:t xml:space="preserve"> </w:t>
            </w:r>
            <w:r w:rsidRPr="02E2EE7D">
              <w:rPr>
                <w:i/>
                <w:iCs/>
              </w:rPr>
              <w:t xml:space="preserve">for </w:t>
            </w:r>
            <w:proofErr w:type="spellStart"/>
            <w:r w:rsidRPr="02E2EE7D">
              <w:rPr>
                <w:i/>
                <w:iCs/>
              </w:rPr>
              <w:t>GelbChem</w:t>
            </w:r>
            <w:proofErr w:type="spellEnd"/>
            <w:r w:rsidRPr="02E2EE7D">
              <w:rPr>
                <w:i/>
                <w:iCs/>
              </w:rPr>
              <w:t xml:space="preserve"> kit)</w:t>
            </w:r>
          </w:p>
        </w:tc>
      </w:tr>
      <w:tr w:rsidR="006632D3" w:rsidRPr="000F6B35" w14:paraId="7138B3BA" w14:textId="77777777" w:rsidTr="00B12AFD">
        <w:tc>
          <w:tcPr>
            <w:tcW w:w="2830" w:type="dxa"/>
          </w:tcPr>
          <w:p w14:paraId="1184DCA8" w14:textId="30689A90" w:rsidR="006632D3" w:rsidRPr="004744F4" w:rsidRDefault="006632D3" w:rsidP="02E2EE7D">
            <w:pPr>
              <w:pStyle w:val="Tabletext0"/>
              <w:rPr>
                <w:highlight w:val="yellow"/>
              </w:rPr>
            </w:pPr>
            <w:proofErr w:type="spellStart"/>
            <w:r w:rsidRPr="02E2EE7D">
              <w:t>Revvity</w:t>
            </w:r>
            <w:proofErr w:type="spellEnd"/>
            <w:r w:rsidRPr="02E2EE7D">
              <w:t xml:space="preserve"> </w:t>
            </w:r>
            <w:proofErr w:type="spellStart"/>
            <w:r w:rsidRPr="02E2EE7D">
              <w:t>NeoLSD</w:t>
            </w:r>
            <w:proofErr w:type="spellEnd"/>
            <w:r w:rsidR="006404F8" w:rsidRPr="006404F8">
              <w:t>™</w:t>
            </w:r>
            <w:r w:rsidRPr="02E2EE7D">
              <w:t xml:space="preserve"> MS/MS kit: </w:t>
            </w:r>
            <w:r w:rsidR="00807D60">
              <w:t>$</w:t>
            </w:r>
            <w:r w:rsidR="00B12AFD">
              <w:rPr>
                <w:rFonts w:cs="Calibri"/>
                <w:b/>
                <w:bCs/>
                <w:color w:val="000000"/>
              </w:rPr>
              <w:t>Redacted</w:t>
            </w:r>
          </w:p>
        </w:tc>
        <w:tc>
          <w:tcPr>
            <w:tcW w:w="2048" w:type="dxa"/>
            <w:vAlign w:val="center"/>
          </w:tcPr>
          <w:p w14:paraId="3111D400" w14:textId="66679250" w:rsidR="006632D3" w:rsidRPr="004744F4" w:rsidRDefault="007229D6" w:rsidP="008F4921">
            <w:pPr>
              <w:pStyle w:val="Tabletext0"/>
              <w:jc w:val="right"/>
              <w:rPr>
                <w:highlight w:val="yellow"/>
              </w:rPr>
            </w:pPr>
            <w:r>
              <w:rPr>
                <w:rFonts w:cs="Calibri"/>
                <w:b/>
                <w:bCs/>
                <w:color w:val="000000"/>
              </w:rPr>
              <w:t>$</w:t>
            </w:r>
            <w:r w:rsidR="00B12AFD">
              <w:rPr>
                <w:rFonts w:cs="Calibri"/>
                <w:b/>
                <w:bCs/>
                <w:color w:val="000000"/>
              </w:rPr>
              <w:t>Redacted</w:t>
            </w:r>
          </w:p>
        </w:tc>
        <w:tc>
          <w:tcPr>
            <w:tcW w:w="1064" w:type="dxa"/>
            <w:vAlign w:val="center"/>
          </w:tcPr>
          <w:p w14:paraId="13FEDBF8" w14:textId="77777777" w:rsidR="006632D3" w:rsidRPr="000F6B35" w:rsidRDefault="006632D3" w:rsidP="008F4921">
            <w:pPr>
              <w:pStyle w:val="Tabletext0"/>
              <w:jc w:val="right"/>
            </w:pPr>
            <w:r>
              <w:rPr>
                <w:rFonts w:cs="Calibri"/>
                <w:color w:val="000000"/>
              </w:rPr>
              <w:t>15%</w:t>
            </w:r>
          </w:p>
        </w:tc>
        <w:tc>
          <w:tcPr>
            <w:tcW w:w="2048" w:type="dxa"/>
            <w:vAlign w:val="center"/>
          </w:tcPr>
          <w:p w14:paraId="33497603" w14:textId="49119E57" w:rsidR="006632D3" w:rsidRPr="00C160B1" w:rsidRDefault="00B12AFD" w:rsidP="008F4921">
            <w:pPr>
              <w:pStyle w:val="Tabletext0"/>
              <w:jc w:val="right"/>
            </w:pPr>
            <w:r w:rsidRPr="009B60A4">
              <w:rPr>
                <w:rFonts w:cs="Calibri"/>
                <w:color w:val="000000"/>
              </w:rPr>
              <w:t>$</w:t>
            </w:r>
            <w:r>
              <w:rPr>
                <w:rFonts w:cs="Calibri"/>
                <w:b/>
                <w:bCs/>
                <w:color w:val="000000"/>
              </w:rPr>
              <w:t>Redacted</w:t>
            </w:r>
          </w:p>
        </w:tc>
        <w:tc>
          <w:tcPr>
            <w:tcW w:w="1026" w:type="dxa"/>
            <w:vAlign w:val="center"/>
          </w:tcPr>
          <w:p w14:paraId="24411E6B" w14:textId="77777777" w:rsidR="006632D3" w:rsidRDefault="006632D3" w:rsidP="008F4921">
            <w:pPr>
              <w:pStyle w:val="Tabletext0"/>
              <w:jc w:val="right"/>
              <w:rPr>
                <w:rFonts w:cs="Calibri"/>
                <w:b/>
                <w:bCs/>
                <w:color w:val="000000"/>
              </w:rPr>
            </w:pPr>
            <w:r>
              <w:rPr>
                <w:rFonts w:cs="Calibri"/>
                <w:color w:val="000000"/>
              </w:rPr>
              <w:t>18%</w:t>
            </w:r>
          </w:p>
        </w:tc>
      </w:tr>
      <w:tr w:rsidR="006632D3" w:rsidRPr="000F6B35" w14:paraId="1A900583" w14:textId="77777777" w:rsidTr="00B12AFD">
        <w:tc>
          <w:tcPr>
            <w:tcW w:w="2830" w:type="dxa"/>
          </w:tcPr>
          <w:p w14:paraId="2753E401" w14:textId="226961D2" w:rsidR="006632D3" w:rsidRPr="004744F4" w:rsidRDefault="006632D3" w:rsidP="02E2EE7D">
            <w:pPr>
              <w:pStyle w:val="Tabletext0"/>
              <w:rPr>
                <w:highlight w:val="yellow"/>
              </w:rPr>
            </w:pPr>
            <w:proofErr w:type="spellStart"/>
            <w:r w:rsidRPr="02E2EE7D">
              <w:t>Revvity</w:t>
            </w:r>
            <w:proofErr w:type="spellEnd"/>
            <w:r w:rsidRPr="02E2EE7D">
              <w:t xml:space="preserve"> kit multiplexed for MPS I and GSD </w:t>
            </w:r>
            <w:proofErr w:type="gramStart"/>
            <w:r w:rsidRPr="02E2EE7D">
              <w:t>II:</w:t>
            </w:r>
            <w:r w:rsidR="00807D60">
              <w:t>$</w:t>
            </w:r>
            <w:proofErr w:type="gramEnd"/>
            <w:r w:rsidRPr="02E2EE7D">
              <w:t xml:space="preserve"> </w:t>
            </w:r>
            <w:r w:rsidR="00B12AFD">
              <w:rPr>
                <w:rFonts w:cs="Calibri"/>
                <w:b/>
                <w:bCs/>
                <w:color w:val="000000"/>
              </w:rPr>
              <w:t>Redacted</w:t>
            </w:r>
          </w:p>
        </w:tc>
        <w:tc>
          <w:tcPr>
            <w:tcW w:w="2048" w:type="dxa"/>
            <w:vAlign w:val="center"/>
          </w:tcPr>
          <w:p w14:paraId="585EB089" w14:textId="5A9B6103" w:rsidR="006632D3" w:rsidRPr="004744F4" w:rsidRDefault="007229D6" w:rsidP="008F4921">
            <w:pPr>
              <w:pStyle w:val="Tabletext0"/>
              <w:jc w:val="right"/>
              <w:rPr>
                <w:rFonts w:cs="Calibri"/>
                <w:color w:val="000000"/>
                <w:highlight w:val="yellow"/>
              </w:rPr>
            </w:pPr>
            <w:r>
              <w:rPr>
                <w:rFonts w:cs="Calibri"/>
                <w:b/>
                <w:bCs/>
                <w:color w:val="000000"/>
              </w:rPr>
              <w:t>$</w:t>
            </w:r>
            <w:r w:rsidR="00B12AFD">
              <w:rPr>
                <w:rFonts w:cs="Calibri"/>
                <w:b/>
                <w:bCs/>
                <w:color w:val="000000"/>
              </w:rPr>
              <w:t>Redacted</w:t>
            </w:r>
          </w:p>
        </w:tc>
        <w:tc>
          <w:tcPr>
            <w:tcW w:w="1064" w:type="dxa"/>
            <w:vAlign w:val="center"/>
          </w:tcPr>
          <w:p w14:paraId="43A75E1F" w14:textId="77777777" w:rsidR="006632D3" w:rsidRDefault="006632D3" w:rsidP="008F4921">
            <w:pPr>
              <w:pStyle w:val="Tabletext0"/>
              <w:jc w:val="right"/>
              <w:rPr>
                <w:rFonts w:cs="Calibri"/>
                <w:color w:val="000000"/>
              </w:rPr>
            </w:pPr>
            <w:r>
              <w:rPr>
                <w:rFonts w:cs="Calibri"/>
                <w:color w:val="000000"/>
              </w:rPr>
              <w:t>−5%</w:t>
            </w:r>
          </w:p>
        </w:tc>
        <w:tc>
          <w:tcPr>
            <w:tcW w:w="2048" w:type="dxa"/>
            <w:vAlign w:val="center"/>
          </w:tcPr>
          <w:p w14:paraId="06D2A9C0" w14:textId="2AF7F791" w:rsidR="006632D3" w:rsidRPr="00C160B1" w:rsidRDefault="00B12AFD" w:rsidP="008F4921">
            <w:pPr>
              <w:pStyle w:val="Tabletext0"/>
              <w:jc w:val="right"/>
              <w:rPr>
                <w:rFonts w:cs="Calibri"/>
                <w:color w:val="000000"/>
              </w:rPr>
            </w:pPr>
            <w:r w:rsidRPr="009B60A4">
              <w:rPr>
                <w:rFonts w:cs="Calibri"/>
                <w:color w:val="000000"/>
              </w:rPr>
              <w:t>$</w:t>
            </w:r>
            <w:r>
              <w:rPr>
                <w:rFonts w:cs="Calibri"/>
                <w:b/>
                <w:bCs/>
                <w:color w:val="000000"/>
              </w:rPr>
              <w:t>Redacted</w:t>
            </w:r>
          </w:p>
        </w:tc>
        <w:tc>
          <w:tcPr>
            <w:tcW w:w="1026" w:type="dxa"/>
            <w:vAlign w:val="center"/>
          </w:tcPr>
          <w:p w14:paraId="5AC6E019" w14:textId="77777777" w:rsidR="006632D3" w:rsidRDefault="006632D3" w:rsidP="008F4921">
            <w:pPr>
              <w:pStyle w:val="Tabletext0"/>
              <w:jc w:val="right"/>
              <w:rPr>
                <w:rFonts w:cs="Calibri"/>
                <w:b/>
                <w:bCs/>
                <w:color w:val="000000"/>
              </w:rPr>
            </w:pPr>
            <w:r>
              <w:rPr>
                <w:rFonts w:cs="Calibri"/>
                <w:color w:val="000000"/>
              </w:rPr>
              <w:t>−6%</w:t>
            </w:r>
          </w:p>
        </w:tc>
      </w:tr>
      <w:tr w:rsidR="006632D3" w:rsidRPr="000F6B35" w14:paraId="665C313D" w14:textId="77777777" w:rsidTr="00B12AFD">
        <w:tc>
          <w:tcPr>
            <w:tcW w:w="2830" w:type="dxa"/>
          </w:tcPr>
          <w:p w14:paraId="223031AE" w14:textId="395A8B80" w:rsidR="006632D3" w:rsidRPr="00F3121A" w:rsidRDefault="00606312" w:rsidP="02E2EE7D">
            <w:pPr>
              <w:pStyle w:val="Tabletext0"/>
              <w:rPr>
                <w:highlight w:val="yellow"/>
                <w:vertAlign w:val="superscript"/>
              </w:rPr>
            </w:pPr>
            <w:r>
              <w:rPr>
                <w:rFonts w:cs="Calibri"/>
                <w:b/>
                <w:bCs/>
                <w:color w:val="000000"/>
              </w:rPr>
              <w:t>Redacted</w:t>
            </w:r>
            <w:r w:rsidR="006632D3" w:rsidRPr="02E2EE7D">
              <w:t xml:space="preserve"> kit multiplexed: </w:t>
            </w:r>
            <w:r w:rsidR="00807D60">
              <w:t xml:space="preserve">$ </w:t>
            </w:r>
            <w:r w:rsidR="00B12AFD">
              <w:rPr>
                <w:rFonts w:cs="Calibri"/>
                <w:b/>
                <w:bCs/>
                <w:color w:val="000000"/>
              </w:rPr>
              <w:t>Redacted</w:t>
            </w:r>
            <w:r w:rsidR="006632D3" w:rsidRPr="02E2EE7D">
              <w:t xml:space="preserve"> </w:t>
            </w:r>
            <w:r w:rsidR="006632D3" w:rsidRPr="02E2EE7D">
              <w:rPr>
                <w:vertAlign w:val="superscript"/>
              </w:rPr>
              <w:t>a</w:t>
            </w:r>
          </w:p>
        </w:tc>
        <w:tc>
          <w:tcPr>
            <w:tcW w:w="2048" w:type="dxa"/>
            <w:vAlign w:val="center"/>
          </w:tcPr>
          <w:p w14:paraId="2DEEB7CE" w14:textId="2CE068F1" w:rsidR="006632D3" w:rsidRPr="00B30FA0" w:rsidRDefault="007229D6" w:rsidP="008F4921">
            <w:pPr>
              <w:pStyle w:val="Tabletext0"/>
              <w:jc w:val="right"/>
              <w:rPr>
                <w:rFonts w:cs="Calibri"/>
                <w:color w:val="000000"/>
              </w:rPr>
            </w:pPr>
            <w:r>
              <w:rPr>
                <w:rFonts w:cs="Calibri"/>
                <w:b/>
                <w:bCs/>
                <w:color w:val="000000"/>
              </w:rPr>
              <w:t>$</w:t>
            </w:r>
            <w:r w:rsidR="00B12AFD">
              <w:rPr>
                <w:rFonts w:cs="Calibri"/>
                <w:b/>
                <w:bCs/>
                <w:color w:val="000000"/>
              </w:rPr>
              <w:t>Redacted</w:t>
            </w:r>
          </w:p>
        </w:tc>
        <w:tc>
          <w:tcPr>
            <w:tcW w:w="1064" w:type="dxa"/>
            <w:vAlign w:val="center"/>
          </w:tcPr>
          <w:p w14:paraId="3A0E1A46" w14:textId="77777777" w:rsidR="006632D3" w:rsidRDefault="006632D3" w:rsidP="008F4921">
            <w:pPr>
              <w:pStyle w:val="Tabletext0"/>
              <w:jc w:val="right"/>
              <w:rPr>
                <w:rFonts w:cs="Calibri"/>
                <w:color w:val="000000"/>
              </w:rPr>
            </w:pPr>
            <w:r>
              <w:rPr>
                <w:rFonts w:cs="Calibri"/>
                <w:color w:val="000000"/>
              </w:rPr>
              <w:t>−17%</w:t>
            </w:r>
          </w:p>
        </w:tc>
        <w:tc>
          <w:tcPr>
            <w:tcW w:w="2048" w:type="dxa"/>
            <w:vAlign w:val="center"/>
          </w:tcPr>
          <w:p w14:paraId="4A12D15C" w14:textId="6FD3360F" w:rsidR="006632D3" w:rsidRPr="00501CD9" w:rsidRDefault="00B12AFD" w:rsidP="008F4921">
            <w:pPr>
              <w:pStyle w:val="Tabletext0"/>
              <w:jc w:val="right"/>
              <w:rPr>
                <w:rFonts w:cs="Calibri"/>
                <w:color w:val="000000"/>
              </w:rPr>
            </w:pPr>
            <w:r w:rsidRPr="009B60A4">
              <w:rPr>
                <w:rFonts w:cs="Calibri"/>
                <w:color w:val="000000"/>
              </w:rPr>
              <w:t>$</w:t>
            </w:r>
            <w:r>
              <w:rPr>
                <w:rFonts w:cs="Calibri"/>
                <w:b/>
                <w:bCs/>
                <w:color w:val="000000"/>
              </w:rPr>
              <w:t>Redacted</w:t>
            </w:r>
          </w:p>
        </w:tc>
        <w:tc>
          <w:tcPr>
            <w:tcW w:w="1026" w:type="dxa"/>
            <w:vAlign w:val="center"/>
          </w:tcPr>
          <w:p w14:paraId="4EF69FC5" w14:textId="77777777" w:rsidR="006632D3" w:rsidRDefault="006632D3" w:rsidP="008F4921">
            <w:pPr>
              <w:pStyle w:val="Tabletext0"/>
              <w:jc w:val="right"/>
              <w:rPr>
                <w:rFonts w:cs="Calibri"/>
                <w:color w:val="000000"/>
              </w:rPr>
            </w:pPr>
            <w:r>
              <w:rPr>
                <w:rFonts w:cs="Calibri"/>
                <w:color w:val="000000"/>
              </w:rPr>
              <w:t>−21%</w:t>
            </w:r>
          </w:p>
        </w:tc>
      </w:tr>
      <w:tr w:rsidR="006632D3" w:rsidRPr="000F6B35" w14:paraId="37A03EE2" w14:textId="77777777" w:rsidTr="00175863">
        <w:tc>
          <w:tcPr>
            <w:tcW w:w="9016" w:type="dxa"/>
            <w:gridSpan w:val="5"/>
          </w:tcPr>
          <w:p w14:paraId="79D9E7D8" w14:textId="77777777" w:rsidR="006632D3" w:rsidRPr="00C160B1" w:rsidRDefault="006632D3" w:rsidP="008F4921">
            <w:pPr>
              <w:pStyle w:val="Tabletext0"/>
              <w:rPr>
                <w:i/>
                <w:iCs/>
              </w:rPr>
            </w:pPr>
            <w:r>
              <w:rPr>
                <w:i/>
                <w:iCs/>
              </w:rPr>
              <w:t>Annual surveillance cost</w:t>
            </w:r>
            <w:r w:rsidRPr="00C160B1">
              <w:rPr>
                <w:i/>
                <w:iCs/>
              </w:rPr>
              <w:t xml:space="preserve"> (base case: </w:t>
            </w:r>
            <w:r>
              <w:rPr>
                <w:i/>
                <w:iCs/>
              </w:rPr>
              <w:t>$3,035</w:t>
            </w:r>
            <w:r w:rsidRPr="00C160B1">
              <w:rPr>
                <w:i/>
                <w:iCs/>
              </w:rPr>
              <w:t>)</w:t>
            </w:r>
          </w:p>
        </w:tc>
      </w:tr>
      <w:tr w:rsidR="006632D3" w:rsidRPr="000F6B35" w14:paraId="396C3DB6" w14:textId="77777777" w:rsidTr="00B12AFD">
        <w:tc>
          <w:tcPr>
            <w:tcW w:w="2830" w:type="dxa"/>
          </w:tcPr>
          <w:p w14:paraId="19992FDB" w14:textId="77777777" w:rsidR="006632D3" w:rsidRPr="000F6B35" w:rsidRDefault="006632D3" w:rsidP="008F4921">
            <w:pPr>
              <w:pStyle w:val="Tabletext0"/>
            </w:pPr>
            <w:r>
              <w:t>Doubled ($6,069)</w:t>
            </w:r>
          </w:p>
        </w:tc>
        <w:tc>
          <w:tcPr>
            <w:tcW w:w="2048" w:type="dxa"/>
            <w:vAlign w:val="center"/>
          </w:tcPr>
          <w:p w14:paraId="24CDB08A" w14:textId="38D7002D" w:rsidR="006632D3" w:rsidRPr="000F6B35" w:rsidRDefault="00B12AFD" w:rsidP="008F4921">
            <w:pPr>
              <w:pStyle w:val="Tabletext0"/>
              <w:jc w:val="right"/>
            </w:pPr>
            <w:r w:rsidRPr="009B60A4">
              <w:rPr>
                <w:rFonts w:cs="Calibri"/>
                <w:color w:val="000000"/>
              </w:rPr>
              <w:t>$</w:t>
            </w:r>
            <w:r>
              <w:rPr>
                <w:rFonts w:cs="Calibri"/>
                <w:b/>
                <w:bCs/>
                <w:color w:val="000000"/>
              </w:rPr>
              <w:t>Redacted</w:t>
            </w:r>
          </w:p>
        </w:tc>
        <w:tc>
          <w:tcPr>
            <w:tcW w:w="1064" w:type="dxa"/>
            <w:vAlign w:val="center"/>
          </w:tcPr>
          <w:p w14:paraId="01FA58A8" w14:textId="77777777" w:rsidR="006632D3" w:rsidRPr="000F6B35" w:rsidRDefault="006632D3" w:rsidP="008F4921">
            <w:pPr>
              <w:pStyle w:val="Tabletext0"/>
              <w:jc w:val="right"/>
            </w:pPr>
            <w:r>
              <w:rPr>
                <w:rFonts w:cs="Calibri"/>
                <w:color w:val="000000"/>
              </w:rPr>
              <w:t>7%</w:t>
            </w:r>
          </w:p>
        </w:tc>
        <w:tc>
          <w:tcPr>
            <w:tcW w:w="2048" w:type="dxa"/>
            <w:vAlign w:val="center"/>
          </w:tcPr>
          <w:p w14:paraId="7C27D32F" w14:textId="35B0D9B0" w:rsidR="006632D3" w:rsidRPr="00C160B1" w:rsidRDefault="00B12AFD" w:rsidP="008F4921">
            <w:pPr>
              <w:pStyle w:val="Tabletext0"/>
              <w:jc w:val="right"/>
            </w:pPr>
            <w:r w:rsidRPr="009B60A4">
              <w:rPr>
                <w:rFonts w:cs="Calibri"/>
                <w:color w:val="000000"/>
              </w:rPr>
              <w:t>$</w:t>
            </w:r>
            <w:r>
              <w:rPr>
                <w:rFonts w:cs="Calibri"/>
                <w:b/>
                <w:bCs/>
                <w:color w:val="000000"/>
              </w:rPr>
              <w:t>Redacted</w:t>
            </w:r>
          </w:p>
        </w:tc>
        <w:tc>
          <w:tcPr>
            <w:tcW w:w="1026" w:type="dxa"/>
            <w:vAlign w:val="center"/>
          </w:tcPr>
          <w:p w14:paraId="1EDDAE16" w14:textId="77777777" w:rsidR="006632D3" w:rsidRPr="00492AB6" w:rsidRDefault="006632D3" w:rsidP="008F4921">
            <w:pPr>
              <w:pStyle w:val="Tabletext0"/>
              <w:jc w:val="right"/>
              <w:rPr>
                <w:rFonts w:cs="Calibri"/>
                <w:color w:val="000000"/>
              </w:rPr>
            </w:pPr>
            <w:r>
              <w:rPr>
                <w:rFonts w:cs="Calibri"/>
                <w:color w:val="000000"/>
              </w:rPr>
              <w:t>8%</w:t>
            </w:r>
          </w:p>
        </w:tc>
      </w:tr>
      <w:tr w:rsidR="006632D3" w:rsidRPr="000F6B35" w14:paraId="6E0DA010" w14:textId="77777777" w:rsidTr="00175863">
        <w:tc>
          <w:tcPr>
            <w:tcW w:w="9016" w:type="dxa"/>
            <w:gridSpan w:val="5"/>
          </w:tcPr>
          <w:p w14:paraId="0888400B" w14:textId="7E54F5F1" w:rsidR="006632D3" w:rsidRPr="00C160B1" w:rsidRDefault="006632D3" w:rsidP="008F4921">
            <w:pPr>
              <w:pStyle w:val="Tabletext0"/>
              <w:rPr>
                <w:i/>
                <w:iCs/>
              </w:rPr>
            </w:pPr>
            <w:r>
              <w:rPr>
                <w:i/>
                <w:iCs/>
              </w:rPr>
              <w:t xml:space="preserve">Annual cost associated with diagnostic </w:t>
            </w:r>
            <w:r w:rsidR="00F858A6">
              <w:rPr>
                <w:i/>
                <w:iCs/>
              </w:rPr>
              <w:t>delay</w:t>
            </w:r>
            <w:r w:rsidRPr="00C160B1">
              <w:rPr>
                <w:i/>
                <w:iCs/>
              </w:rPr>
              <w:t xml:space="preserve"> (base case: </w:t>
            </w:r>
            <w:r>
              <w:rPr>
                <w:i/>
                <w:iCs/>
              </w:rPr>
              <w:t>$12,827</w:t>
            </w:r>
            <w:r w:rsidRPr="00C160B1">
              <w:rPr>
                <w:i/>
                <w:iCs/>
              </w:rPr>
              <w:t>)</w:t>
            </w:r>
          </w:p>
        </w:tc>
      </w:tr>
      <w:tr w:rsidR="00B12AFD" w:rsidRPr="000F6B35" w14:paraId="7C1A1164" w14:textId="77777777" w:rsidTr="007229D6">
        <w:tc>
          <w:tcPr>
            <w:tcW w:w="2830" w:type="dxa"/>
          </w:tcPr>
          <w:p w14:paraId="1BC27D40" w14:textId="77777777" w:rsidR="00B12AFD" w:rsidRPr="000F6B35" w:rsidRDefault="00B12AFD" w:rsidP="00B12AFD">
            <w:pPr>
              <w:pStyle w:val="Tabletext0"/>
            </w:pPr>
            <w:r>
              <w:t>Halved ($6,413)</w:t>
            </w:r>
          </w:p>
        </w:tc>
        <w:tc>
          <w:tcPr>
            <w:tcW w:w="2048" w:type="dxa"/>
          </w:tcPr>
          <w:p w14:paraId="0F4BC869" w14:textId="68D326C4" w:rsidR="00B12AFD" w:rsidRPr="000F6B35" w:rsidRDefault="00B12AFD" w:rsidP="00B12AFD">
            <w:pPr>
              <w:pStyle w:val="Tabletext0"/>
              <w:jc w:val="right"/>
            </w:pPr>
            <w:r w:rsidRPr="00B44535">
              <w:rPr>
                <w:rFonts w:cs="Calibri"/>
                <w:color w:val="000000"/>
              </w:rPr>
              <w:t>$</w:t>
            </w:r>
            <w:r w:rsidRPr="00B44535">
              <w:rPr>
                <w:rFonts w:cs="Calibri"/>
                <w:b/>
                <w:bCs/>
                <w:color w:val="000000"/>
              </w:rPr>
              <w:t>Redacted</w:t>
            </w:r>
          </w:p>
        </w:tc>
        <w:tc>
          <w:tcPr>
            <w:tcW w:w="1064" w:type="dxa"/>
            <w:vAlign w:val="center"/>
          </w:tcPr>
          <w:p w14:paraId="6954148C" w14:textId="77777777" w:rsidR="00B12AFD" w:rsidRPr="000F6B35" w:rsidRDefault="00B12AFD" w:rsidP="00B12AFD">
            <w:pPr>
              <w:pStyle w:val="Tabletext0"/>
              <w:jc w:val="right"/>
            </w:pPr>
            <w:r>
              <w:rPr>
                <w:rFonts w:cs="Calibri"/>
                <w:color w:val="000000"/>
              </w:rPr>
              <w:t>1%</w:t>
            </w:r>
          </w:p>
        </w:tc>
        <w:tc>
          <w:tcPr>
            <w:tcW w:w="2048" w:type="dxa"/>
          </w:tcPr>
          <w:p w14:paraId="59A525BC" w14:textId="4C46F96A" w:rsidR="00B12AFD" w:rsidRPr="00C160B1" w:rsidRDefault="00B12AFD" w:rsidP="00B12AFD">
            <w:pPr>
              <w:pStyle w:val="Tabletext0"/>
              <w:jc w:val="right"/>
            </w:pPr>
            <w:r w:rsidRPr="006F6382">
              <w:rPr>
                <w:rFonts w:cs="Calibri"/>
                <w:color w:val="000000"/>
              </w:rPr>
              <w:t>$</w:t>
            </w:r>
            <w:r w:rsidRPr="006F6382">
              <w:rPr>
                <w:rFonts w:cs="Calibri"/>
                <w:b/>
                <w:bCs/>
                <w:color w:val="000000"/>
              </w:rPr>
              <w:t>Redacted</w:t>
            </w:r>
          </w:p>
        </w:tc>
        <w:tc>
          <w:tcPr>
            <w:tcW w:w="1026" w:type="dxa"/>
            <w:vAlign w:val="center"/>
          </w:tcPr>
          <w:p w14:paraId="2FA58633" w14:textId="77777777" w:rsidR="00B12AFD" w:rsidRPr="00492AB6" w:rsidRDefault="00B12AFD" w:rsidP="00B12AFD">
            <w:pPr>
              <w:pStyle w:val="Tabletext0"/>
              <w:jc w:val="right"/>
              <w:rPr>
                <w:rFonts w:cs="Calibri"/>
                <w:color w:val="000000"/>
              </w:rPr>
            </w:pPr>
            <w:r>
              <w:rPr>
                <w:rFonts w:cs="Calibri"/>
                <w:color w:val="000000"/>
              </w:rPr>
              <w:t>1%</w:t>
            </w:r>
          </w:p>
        </w:tc>
      </w:tr>
      <w:tr w:rsidR="00B12AFD" w:rsidRPr="000F6B35" w14:paraId="57E40857" w14:textId="77777777" w:rsidTr="007229D6">
        <w:tc>
          <w:tcPr>
            <w:tcW w:w="2830" w:type="dxa"/>
          </w:tcPr>
          <w:p w14:paraId="0F1A1262" w14:textId="77777777" w:rsidR="00B12AFD" w:rsidRDefault="00B12AFD" w:rsidP="00B12AFD">
            <w:pPr>
              <w:pStyle w:val="Tabletext0"/>
            </w:pPr>
            <w:r>
              <w:t>Doubled ($25,653)</w:t>
            </w:r>
          </w:p>
        </w:tc>
        <w:tc>
          <w:tcPr>
            <w:tcW w:w="2048" w:type="dxa"/>
          </w:tcPr>
          <w:p w14:paraId="763FE030" w14:textId="4765E77F" w:rsidR="00B12AFD" w:rsidRPr="000F6B35" w:rsidRDefault="00B12AFD" w:rsidP="00B12AFD">
            <w:pPr>
              <w:pStyle w:val="Tabletext0"/>
              <w:jc w:val="right"/>
            </w:pPr>
            <w:r w:rsidRPr="00B44535">
              <w:rPr>
                <w:rFonts w:cs="Calibri"/>
                <w:color w:val="000000"/>
              </w:rPr>
              <w:t>$</w:t>
            </w:r>
            <w:r w:rsidRPr="00B44535">
              <w:rPr>
                <w:rFonts w:cs="Calibri"/>
                <w:b/>
                <w:bCs/>
                <w:color w:val="000000"/>
              </w:rPr>
              <w:t>Redacted</w:t>
            </w:r>
          </w:p>
        </w:tc>
        <w:tc>
          <w:tcPr>
            <w:tcW w:w="1064" w:type="dxa"/>
            <w:vAlign w:val="center"/>
          </w:tcPr>
          <w:p w14:paraId="0B88802F" w14:textId="77777777" w:rsidR="00B12AFD" w:rsidRPr="000F6B35" w:rsidRDefault="00B12AFD" w:rsidP="00B12AFD">
            <w:pPr>
              <w:pStyle w:val="Tabletext0"/>
              <w:jc w:val="right"/>
            </w:pPr>
            <w:r>
              <w:rPr>
                <w:rFonts w:cs="Calibri"/>
                <w:color w:val="000000"/>
              </w:rPr>
              <w:t>−1%</w:t>
            </w:r>
          </w:p>
        </w:tc>
        <w:tc>
          <w:tcPr>
            <w:tcW w:w="2048" w:type="dxa"/>
          </w:tcPr>
          <w:p w14:paraId="0EAA5089" w14:textId="56BCED57" w:rsidR="00B12AFD" w:rsidRPr="00C160B1" w:rsidRDefault="00B12AFD" w:rsidP="00B12AFD">
            <w:pPr>
              <w:pStyle w:val="Tabletext0"/>
              <w:jc w:val="right"/>
            </w:pPr>
            <w:r w:rsidRPr="006F6382">
              <w:rPr>
                <w:rFonts w:cs="Calibri"/>
                <w:color w:val="000000"/>
              </w:rPr>
              <w:t>$</w:t>
            </w:r>
            <w:r w:rsidRPr="006F6382">
              <w:rPr>
                <w:rFonts w:cs="Calibri"/>
                <w:b/>
                <w:bCs/>
                <w:color w:val="000000"/>
              </w:rPr>
              <w:t>Redacted</w:t>
            </w:r>
          </w:p>
        </w:tc>
        <w:tc>
          <w:tcPr>
            <w:tcW w:w="1026" w:type="dxa"/>
            <w:vAlign w:val="center"/>
          </w:tcPr>
          <w:p w14:paraId="36E059DB" w14:textId="77777777" w:rsidR="00B12AFD" w:rsidRPr="00492AB6" w:rsidRDefault="00B12AFD" w:rsidP="00B12AFD">
            <w:pPr>
              <w:pStyle w:val="Tabletext0"/>
              <w:jc w:val="right"/>
              <w:rPr>
                <w:rFonts w:cs="Calibri"/>
                <w:color w:val="000000"/>
              </w:rPr>
            </w:pPr>
            <w:r>
              <w:rPr>
                <w:rFonts w:cs="Calibri"/>
                <w:color w:val="000000"/>
              </w:rPr>
              <w:t>−1%</w:t>
            </w:r>
          </w:p>
        </w:tc>
      </w:tr>
      <w:tr w:rsidR="006632D3" w:rsidRPr="000F6B35" w14:paraId="1F66035F" w14:textId="77777777" w:rsidTr="00175863">
        <w:tc>
          <w:tcPr>
            <w:tcW w:w="9016" w:type="dxa"/>
            <w:gridSpan w:val="5"/>
          </w:tcPr>
          <w:p w14:paraId="6220CD04" w14:textId="34AFDC4C" w:rsidR="006632D3" w:rsidRPr="00C160B1" w:rsidRDefault="006632D3" w:rsidP="02E2EE7D">
            <w:pPr>
              <w:pStyle w:val="Tabletext0"/>
              <w:rPr>
                <w:i/>
                <w:iCs/>
              </w:rPr>
            </w:pPr>
            <w:r w:rsidRPr="02E2EE7D">
              <w:rPr>
                <w:i/>
                <w:iCs/>
              </w:rPr>
              <w:t>Cost of ERT (weight based for IOGSD II and fixed monthly cost for LOGSD II)</w:t>
            </w:r>
          </w:p>
        </w:tc>
      </w:tr>
      <w:tr w:rsidR="006632D3" w:rsidRPr="000F6B35" w14:paraId="28B23B4B" w14:textId="77777777" w:rsidTr="00B12AFD">
        <w:tc>
          <w:tcPr>
            <w:tcW w:w="2830" w:type="dxa"/>
          </w:tcPr>
          <w:p w14:paraId="279C2316" w14:textId="77777777" w:rsidR="006632D3" w:rsidRPr="003C55B0" w:rsidRDefault="006632D3" w:rsidP="008F4921">
            <w:pPr>
              <w:spacing w:before="0"/>
              <w:jc w:val="both"/>
              <w:rPr>
                <w:rFonts w:cs="Calibri"/>
                <w:color w:val="000000"/>
              </w:rPr>
            </w:pPr>
            <w:r>
              <w:rPr>
                <w:rFonts w:ascii="Arial Narrow" w:hAnsi="Arial Narrow" w:cs="Calibri"/>
                <w:color w:val="000000"/>
                <w:sz w:val="20"/>
                <w:szCs w:val="20"/>
              </w:rPr>
              <w:t>Halved (multiply cost per vial for IO and ERT cost per month for LO by 0.5)</w:t>
            </w:r>
          </w:p>
        </w:tc>
        <w:tc>
          <w:tcPr>
            <w:tcW w:w="2048" w:type="dxa"/>
            <w:vAlign w:val="center"/>
          </w:tcPr>
          <w:p w14:paraId="2BFAD916" w14:textId="37E4A0C7" w:rsidR="006632D3" w:rsidRPr="000F6B35" w:rsidRDefault="00B12AFD" w:rsidP="008F4921">
            <w:pPr>
              <w:pStyle w:val="Tabletext0"/>
              <w:jc w:val="right"/>
            </w:pPr>
            <w:r w:rsidRPr="009B60A4">
              <w:rPr>
                <w:rFonts w:cs="Calibri"/>
                <w:color w:val="000000"/>
              </w:rPr>
              <w:t>$</w:t>
            </w:r>
            <w:r>
              <w:rPr>
                <w:rFonts w:cs="Calibri"/>
                <w:b/>
                <w:bCs/>
                <w:color w:val="000000"/>
              </w:rPr>
              <w:t>Redacted</w:t>
            </w:r>
          </w:p>
        </w:tc>
        <w:tc>
          <w:tcPr>
            <w:tcW w:w="1064" w:type="dxa"/>
            <w:vAlign w:val="center"/>
          </w:tcPr>
          <w:p w14:paraId="5166EF84" w14:textId="77777777" w:rsidR="006632D3" w:rsidRPr="000F6B35" w:rsidRDefault="006632D3" w:rsidP="008F4921">
            <w:pPr>
              <w:pStyle w:val="Tabletext0"/>
              <w:jc w:val="right"/>
            </w:pPr>
            <w:r>
              <w:rPr>
                <w:rFonts w:cs="Calibri"/>
                <w:color w:val="000000"/>
              </w:rPr>
              <w:t>−35%</w:t>
            </w:r>
          </w:p>
        </w:tc>
        <w:tc>
          <w:tcPr>
            <w:tcW w:w="2048" w:type="dxa"/>
            <w:vAlign w:val="center"/>
          </w:tcPr>
          <w:p w14:paraId="74FF8293" w14:textId="5CE418B4" w:rsidR="006632D3" w:rsidRPr="00C160B1" w:rsidRDefault="00B12AFD" w:rsidP="008F4921">
            <w:pPr>
              <w:pStyle w:val="Tabletext0"/>
              <w:jc w:val="right"/>
            </w:pPr>
            <w:r w:rsidRPr="009B60A4">
              <w:rPr>
                <w:rFonts w:cs="Calibri"/>
                <w:color w:val="000000"/>
              </w:rPr>
              <w:t>$</w:t>
            </w:r>
            <w:r>
              <w:rPr>
                <w:rFonts w:cs="Calibri"/>
                <w:b/>
                <w:bCs/>
                <w:color w:val="000000"/>
              </w:rPr>
              <w:t>Redacted</w:t>
            </w:r>
          </w:p>
        </w:tc>
        <w:tc>
          <w:tcPr>
            <w:tcW w:w="1026" w:type="dxa"/>
            <w:vAlign w:val="center"/>
          </w:tcPr>
          <w:p w14:paraId="094149A0" w14:textId="77777777" w:rsidR="006632D3" w:rsidRPr="00492AB6" w:rsidRDefault="006632D3" w:rsidP="008F4921">
            <w:pPr>
              <w:pStyle w:val="Tabletext0"/>
              <w:jc w:val="right"/>
              <w:rPr>
                <w:rFonts w:cs="Calibri"/>
                <w:color w:val="000000"/>
              </w:rPr>
            </w:pPr>
            <w:r>
              <w:rPr>
                <w:rFonts w:cs="Calibri"/>
                <w:color w:val="000000"/>
              </w:rPr>
              <w:t>−31%</w:t>
            </w:r>
          </w:p>
        </w:tc>
      </w:tr>
      <w:tr w:rsidR="006632D3" w:rsidRPr="000F6B35" w14:paraId="13E7F51C" w14:textId="77777777" w:rsidTr="00175863">
        <w:tc>
          <w:tcPr>
            <w:tcW w:w="9016" w:type="dxa"/>
            <w:gridSpan w:val="5"/>
          </w:tcPr>
          <w:p w14:paraId="5899809D" w14:textId="77777777" w:rsidR="006632D3" w:rsidRPr="00C160B1" w:rsidRDefault="006632D3" w:rsidP="008F4921">
            <w:pPr>
              <w:pStyle w:val="Tabletext0"/>
              <w:rPr>
                <w:i/>
                <w:iCs/>
              </w:rPr>
            </w:pPr>
            <w:r w:rsidRPr="00C160B1">
              <w:rPr>
                <w:i/>
                <w:iCs/>
              </w:rPr>
              <w:t>Discounting rate</w:t>
            </w:r>
            <w:r>
              <w:rPr>
                <w:i/>
                <w:iCs/>
              </w:rPr>
              <w:t xml:space="preserve"> for costs and outcomes</w:t>
            </w:r>
            <w:r w:rsidRPr="00C160B1">
              <w:rPr>
                <w:i/>
                <w:iCs/>
              </w:rPr>
              <w:t xml:space="preserve"> (base case: 5% per annum)</w:t>
            </w:r>
          </w:p>
        </w:tc>
      </w:tr>
      <w:tr w:rsidR="00B12AFD" w:rsidRPr="000F6B35" w14:paraId="2870A7D3" w14:textId="77777777" w:rsidTr="007229D6">
        <w:tc>
          <w:tcPr>
            <w:tcW w:w="2830" w:type="dxa"/>
          </w:tcPr>
          <w:p w14:paraId="44B2E021" w14:textId="77777777" w:rsidR="00B12AFD" w:rsidRPr="000F6B35" w:rsidRDefault="00B12AFD" w:rsidP="00B12AFD">
            <w:pPr>
              <w:pStyle w:val="Tabletext0"/>
            </w:pPr>
            <w:r>
              <w:t>0%</w:t>
            </w:r>
          </w:p>
        </w:tc>
        <w:tc>
          <w:tcPr>
            <w:tcW w:w="2048" w:type="dxa"/>
          </w:tcPr>
          <w:p w14:paraId="1D4D2B3B" w14:textId="1E3E0D27" w:rsidR="00B12AFD" w:rsidRPr="000F6B35" w:rsidRDefault="00B12AFD" w:rsidP="00B12AFD">
            <w:pPr>
              <w:pStyle w:val="Tabletext0"/>
              <w:jc w:val="right"/>
            </w:pPr>
            <w:r w:rsidRPr="00E52B60">
              <w:rPr>
                <w:rFonts w:cs="Calibri"/>
                <w:color w:val="000000"/>
              </w:rPr>
              <w:t>$</w:t>
            </w:r>
            <w:r w:rsidRPr="00E52B60">
              <w:rPr>
                <w:rFonts w:cs="Calibri"/>
                <w:b/>
                <w:bCs/>
                <w:color w:val="000000"/>
              </w:rPr>
              <w:t>Redacted</w:t>
            </w:r>
          </w:p>
        </w:tc>
        <w:tc>
          <w:tcPr>
            <w:tcW w:w="1064" w:type="dxa"/>
            <w:vAlign w:val="center"/>
          </w:tcPr>
          <w:p w14:paraId="348036B9" w14:textId="77777777" w:rsidR="00B12AFD" w:rsidRPr="000F6B35" w:rsidRDefault="00B12AFD" w:rsidP="00B12AFD">
            <w:pPr>
              <w:pStyle w:val="Tabletext0"/>
              <w:jc w:val="right"/>
            </w:pPr>
            <w:r>
              <w:rPr>
                <w:rFonts w:cs="Calibri"/>
                <w:color w:val="000000"/>
              </w:rPr>
              <w:t>8%</w:t>
            </w:r>
          </w:p>
        </w:tc>
        <w:tc>
          <w:tcPr>
            <w:tcW w:w="2048" w:type="dxa"/>
          </w:tcPr>
          <w:p w14:paraId="35C02B34" w14:textId="73DAD3D7" w:rsidR="00B12AFD" w:rsidRPr="00C160B1" w:rsidRDefault="00B12AFD" w:rsidP="00B12AFD">
            <w:pPr>
              <w:pStyle w:val="Tabletext0"/>
              <w:jc w:val="right"/>
            </w:pPr>
            <w:r w:rsidRPr="00012E8B">
              <w:rPr>
                <w:rFonts w:cs="Calibri"/>
                <w:color w:val="000000"/>
              </w:rPr>
              <w:t>$</w:t>
            </w:r>
            <w:r w:rsidRPr="00012E8B">
              <w:rPr>
                <w:rFonts w:cs="Calibri"/>
                <w:b/>
                <w:bCs/>
                <w:color w:val="000000"/>
              </w:rPr>
              <w:t>Redacted</w:t>
            </w:r>
          </w:p>
        </w:tc>
        <w:tc>
          <w:tcPr>
            <w:tcW w:w="1026" w:type="dxa"/>
            <w:vAlign w:val="center"/>
          </w:tcPr>
          <w:p w14:paraId="2846351F" w14:textId="77777777" w:rsidR="00B12AFD" w:rsidRPr="00492AB6" w:rsidRDefault="00B12AFD" w:rsidP="00B12AFD">
            <w:pPr>
              <w:pStyle w:val="Tabletext0"/>
              <w:jc w:val="right"/>
              <w:rPr>
                <w:rFonts w:cs="Calibri"/>
                <w:color w:val="000000"/>
              </w:rPr>
            </w:pPr>
            <w:r>
              <w:rPr>
                <w:rFonts w:cs="Calibri"/>
                <w:color w:val="000000"/>
              </w:rPr>
              <w:t>34%</w:t>
            </w:r>
          </w:p>
        </w:tc>
      </w:tr>
      <w:tr w:rsidR="00B12AFD" w:rsidRPr="000F6B35" w14:paraId="7A29B8BD" w14:textId="77777777" w:rsidTr="007229D6">
        <w:tc>
          <w:tcPr>
            <w:tcW w:w="2830" w:type="dxa"/>
          </w:tcPr>
          <w:p w14:paraId="04E32106" w14:textId="77777777" w:rsidR="00B12AFD" w:rsidRDefault="00B12AFD" w:rsidP="00B12AFD">
            <w:pPr>
              <w:pStyle w:val="Tabletext0"/>
            </w:pPr>
            <w:r>
              <w:t>3.5%</w:t>
            </w:r>
          </w:p>
        </w:tc>
        <w:tc>
          <w:tcPr>
            <w:tcW w:w="2048" w:type="dxa"/>
          </w:tcPr>
          <w:p w14:paraId="18768EB7" w14:textId="23A5FD47" w:rsidR="00B12AFD" w:rsidRDefault="00B12AFD" w:rsidP="00B12AFD">
            <w:pPr>
              <w:pStyle w:val="Tabletext0"/>
              <w:jc w:val="right"/>
              <w:rPr>
                <w:rFonts w:cs="Calibri"/>
                <w:color w:val="000000"/>
              </w:rPr>
            </w:pPr>
            <w:r w:rsidRPr="00E52B60">
              <w:rPr>
                <w:rFonts w:cs="Calibri"/>
                <w:color w:val="000000"/>
              </w:rPr>
              <w:t>$</w:t>
            </w:r>
            <w:r w:rsidRPr="00E52B60">
              <w:rPr>
                <w:rFonts w:cs="Calibri"/>
                <w:b/>
                <w:bCs/>
                <w:color w:val="000000"/>
              </w:rPr>
              <w:t>Redacted</w:t>
            </w:r>
          </w:p>
        </w:tc>
        <w:tc>
          <w:tcPr>
            <w:tcW w:w="1064" w:type="dxa"/>
            <w:vAlign w:val="center"/>
          </w:tcPr>
          <w:p w14:paraId="174DCA6A" w14:textId="77777777" w:rsidR="00B12AFD" w:rsidRDefault="00B12AFD" w:rsidP="00B12AFD">
            <w:pPr>
              <w:pStyle w:val="Tabletext0"/>
              <w:jc w:val="right"/>
              <w:rPr>
                <w:rFonts w:cs="Calibri"/>
                <w:color w:val="000000"/>
              </w:rPr>
            </w:pPr>
            <w:r>
              <w:rPr>
                <w:rFonts w:cs="Calibri"/>
                <w:color w:val="000000"/>
              </w:rPr>
              <w:t>0%</w:t>
            </w:r>
          </w:p>
        </w:tc>
        <w:tc>
          <w:tcPr>
            <w:tcW w:w="2048" w:type="dxa"/>
          </w:tcPr>
          <w:p w14:paraId="1E5B065F" w14:textId="3733763F" w:rsidR="00B12AFD" w:rsidRDefault="00B12AFD" w:rsidP="00B12AFD">
            <w:pPr>
              <w:pStyle w:val="Tabletext0"/>
              <w:jc w:val="right"/>
              <w:rPr>
                <w:rFonts w:cs="Calibri"/>
                <w:color w:val="000000"/>
              </w:rPr>
            </w:pPr>
            <w:r w:rsidRPr="00012E8B">
              <w:rPr>
                <w:rFonts w:cs="Calibri"/>
                <w:color w:val="000000"/>
              </w:rPr>
              <w:t>$</w:t>
            </w:r>
            <w:r w:rsidRPr="00012E8B">
              <w:rPr>
                <w:rFonts w:cs="Calibri"/>
                <w:b/>
                <w:bCs/>
                <w:color w:val="000000"/>
              </w:rPr>
              <w:t>Redacted</w:t>
            </w:r>
          </w:p>
        </w:tc>
        <w:tc>
          <w:tcPr>
            <w:tcW w:w="1026" w:type="dxa"/>
            <w:vAlign w:val="center"/>
          </w:tcPr>
          <w:p w14:paraId="25103764" w14:textId="77777777" w:rsidR="00B12AFD" w:rsidRDefault="00B12AFD" w:rsidP="00B12AFD">
            <w:pPr>
              <w:pStyle w:val="Tabletext0"/>
              <w:jc w:val="right"/>
              <w:rPr>
                <w:rFonts w:cs="Calibri"/>
                <w:b/>
                <w:bCs/>
                <w:color w:val="000000"/>
              </w:rPr>
            </w:pPr>
            <w:r>
              <w:rPr>
                <w:rFonts w:cs="Calibri"/>
                <w:color w:val="000000"/>
              </w:rPr>
              <w:t>5%</w:t>
            </w:r>
          </w:p>
        </w:tc>
      </w:tr>
      <w:tr w:rsidR="006632D3" w:rsidRPr="000F6B35" w14:paraId="1880AE48" w14:textId="77777777" w:rsidTr="00175863">
        <w:tc>
          <w:tcPr>
            <w:tcW w:w="9016" w:type="dxa"/>
            <w:gridSpan w:val="5"/>
          </w:tcPr>
          <w:p w14:paraId="2DA11A74" w14:textId="77777777" w:rsidR="006632D3" w:rsidRPr="002D46B1" w:rsidRDefault="006632D3" w:rsidP="008F4921">
            <w:pPr>
              <w:pStyle w:val="Tabletext0"/>
              <w:rPr>
                <w:i/>
                <w:iCs/>
              </w:rPr>
            </w:pPr>
            <w:r w:rsidRPr="00573DDC">
              <w:rPr>
                <w:i/>
                <w:iCs/>
              </w:rPr>
              <w:t>Prevalence of GSD II per 100,000 (base case: no NBS: 2.19 and NBS: 3.48)</w:t>
            </w:r>
          </w:p>
        </w:tc>
      </w:tr>
      <w:tr w:rsidR="006632D3" w:rsidRPr="000F6B35" w14:paraId="74EC6EAB" w14:textId="77777777" w:rsidTr="00B12AFD">
        <w:tc>
          <w:tcPr>
            <w:tcW w:w="2830" w:type="dxa"/>
            <w:vAlign w:val="bottom"/>
          </w:tcPr>
          <w:p w14:paraId="1BAAC757" w14:textId="77777777" w:rsidR="006632D3" w:rsidRPr="000F6B35" w:rsidRDefault="006632D3" w:rsidP="008F4921">
            <w:pPr>
              <w:pStyle w:val="Tabletext0"/>
            </w:pPr>
            <w:r>
              <w:rPr>
                <w:rFonts w:cs="Calibri"/>
                <w:color w:val="000000"/>
              </w:rPr>
              <w:t>Low (no NBS: 2.00, NBS: 2.19)</w:t>
            </w:r>
          </w:p>
        </w:tc>
        <w:tc>
          <w:tcPr>
            <w:tcW w:w="2048" w:type="dxa"/>
            <w:vAlign w:val="center"/>
          </w:tcPr>
          <w:p w14:paraId="01AE1D84" w14:textId="1E9E31F2" w:rsidR="006632D3" w:rsidRPr="000F6B35" w:rsidRDefault="00B12AFD" w:rsidP="008F4921">
            <w:pPr>
              <w:pStyle w:val="Tabletext0"/>
              <w:jc w:val="right"/>
            </w:pPr>
            <w:r w:rsidRPr="009B60A4">
              <w:rPr>
                <w:rFonts w:cs="Calibri"/>
                <w:color w:val="000000"/>
              </w:rPr>
              <w:t>$</w:t>
            </w:r>
            <w:r>
              <w:rPr>
                <w:rFonts w:cs="Calibri"/>
                <w:b/>
                <w:bCs/>
                <w:color w:val="000000"/>
              </w:rPr>
              <w:t>Redacted</w:t>
            </w:r>
          </w:p>
        </w:tc>
        <w:tc>
          <w:tcPr>
            <w:tcW w:w="1064" w:type="dxa"/>
            <w:vAlign w:val="center"/>
          </w:tcPr>
          <w:p w14:paraId="0FAEFA51" w14:textId="77777777" w:rsidR="006632D3" w:rsidRPr="000F6B35" w:rsidRDefault="006632D3" w:rsidP="008F4921">
            <w:pPr>
              <w:pStyle w:val="Tabletext0"/>
              <w:jc w:val="right"/>
            </w:pPr>
            <w:r>
              <w:rPr>
                <w:rFonts w:cs="Calibri"/>
                <w:color w:val="000000"/>
              </w:rPr>
              <w:t>−14%</w:t>
            </w:r>
          </w:p>
        </w:tc>
        <w:tc>
          <w:tcPr>
            <w:tcW w:w="2048" w:type="dxa"/>
            <w:vAlign w:val="center"/>
          </w:tcPr>
          <w:p w14:paraId="46C5B318" w14:textId="26D98082" w:rsidR="006632D3" w:rsidRPr="000F6B35" w:rsidRDefault="00B12AFD" w:rsidP="008F4921">
            <w:pPr>
              <w:pStyle w:val="Tabletext0"/>
              <w:jc w:val="right"/>
            </w:pPr>
            <w:r w:rsidRPr="009B60A4">
              <w:rPr>
                <w:rFonts w:cs="Calibri"/>
                <w:color w:val="000000"/>
              </w:rPr>
              <w:t>$</w:t>
            </w:r>
            <w:r>
              <w:rPr>
                <w:rFonts w:cs="Calibri"/>
                <w:b/>
                <w:bCs/>
                <w:color w:val="000000"/>
              </w:rPr>
              <w:t>Redacted</w:t>
            </w:r>
          </w:p>
        </w:tc>
        <w:tc>
          <w:tcPr>
            <w:tcW w:w="1026" w:type="dxa"/>
            <w:vAlign w:val="center"/>
          </w:tcPr>
          <w:p w14:paraId="29747D02" w14:textId="77777777" w:rsidR="006632D3" w:rsidRDefault="006632D3" w:rsidP="008F4921">
            <w:pPr>
              <w:pStyle w:val="Tabletext0"/>
              <w:jc w:val="right"/>
              <w:rPr>
                <w:rFonts w:cs="Calibri"/>
                <w:b/>
                <w:bCs/>
                <w:color w:val="000000"/>
              </w:rPr>
            </w:pPr>
            <w:r>
              <w:rPr>
                <w:rFonts w:cs="Calibri"/>
                <w:color w:val="000000"/>
              </w:rPr>
              <w:t>−17%</w:t>
            </w:r>
          </w:p>
        </w:tc>
      </w:tr>
      <w:tr w:rsidR="006632D3" w:rsidRPr="000F6B35" w14:paraId="63F330F7" w14:textId="77777777" w:rsidTr="00B12AFD">
        <w:tc>
          <w:tcPr>
            <w:tcW w:w="2830" w:type="dxa"/>
            <w:vAlign w:val="bottom"/>
          </w:tcPr>
          <w:p w14:paraId="2D5E9820" w14:textId="77777777" w:rsidR="006632D3" w:rsidRDefault="006632D3" w:rsidP="008F4921">
            <w:pPr>
              <w:pStyle w:val="Tabletext0"/>
            </w:pPr>
            <w:r>
              <w:rPr>
                <w:rFonts w:cs="Calibri"/>
                <w:color w:val="000000"/>
              </w:rPr>
              <w:t>High (no NBS: 2.19, NBS: 5.56)</w:t>
            </w:r>
          </w:p>
        </w:tc>
        <w:tc>
          <w:tcPr>
            <w:tcW w:w="2048" w:type="dxa"/>
            <w:vAlign w:val="center"/>
          </w:tcPr>
          <w:p w14:paraId="20FEBCCC" w14:textId="51E65612" w:rsidR="006632D3" w:rsidRDefault="00B12AFD" w:rsidP="008F4921">
            <w:pPr>
              <w:pStyle w:val="Tabletext0"/>
              <w:jc w:val="right"/>
              <w:rPr>
                <w:rFonts w:cs="Calibri"/>
                <w:color w:val="000000"/>
              </w:rPr>
            </w:pPr>
            <w:r w:rsidRPr="009B60A4">
              <w:rPr>
                <w:rFonts w:cs="Calibri"/>
                <w:color w:val="000000"/>
              </w:rPr>
              <w:t>$</w:t>
            </w:r>
            <w:r>
              <w:rPr>
                <w:rFonts w:cs="Calibri"/>
                <w:b/>
                <w:bCs/>
                <w:color w:val="000000"/>
              </w:rPr>
              <w:t>Redacted</w:t>
            </w:r>
          </w:p>
        </w:tc>
        <w:tc>
          <w:tcPr>
            <w:tcW w:w="1064" w:type="dxa"/>
            <w:vAlign w:val="center"/>
          </w:tcPr>
          <w:p w14:paraId="679DA849" w14:textId="77777777" w:rsidR="006632D3" w:rsidRDefault="006632D3" w:rsidP="008F4921">
            <w:pPr>
              <w:pStyle w:val="Tabletext0"/>
              <w:jc w:val="right"/>
              <w:rPr>
                <w:rFonts w:cs="Calibri"/>
                <w:color w:val="000000"/>
              </w:rPr>
            </w:pPr>
            <w:r>
              <w:rPr>
                <w:rFonts w:cs="Calibri"/>
                <w:color w:val="000000"/>
              </w:rPr>
              <w:t>31%</w:t>
            </w:r>
          </w:p>
        </w:tc>
        <w:tc>
          <w:tcPr>
            <w:tcW w:w="2048" w:type="dxa"/>
            <w:vAlign w:val="center"/>
          </w:tcPr>
          <w:p w14:paraId="264DF1FB" w14:textId="430EF1D1" w:rsidR="006632D3" w:rsidRDefault="00B12AFD" w:rsidP="008F4921">
            <w:pPr>
              <w:pStyle w:val="Tabletext0"/>
              <w:jc w:val="right"/>
              <w:rPr>
                <w:rFonts w:cs="Calibri"/>
                <w:color w:val="000000"/>
              </w:rPr>
            </w:pPr>
            <w:r w:rsidRPr="009B60A4">
              <w:rPr>
                <w:rFonts w:cs="Calibri"/>
                <w:color w:val="000000"/>
              </w:rPr>
              <w:t>$</w:t>
            </w:r>
            <w:r>
              <w:rPr>
                <w:rFonts w:cs="Calibri"/>
                <w:b/>
                <w:bCs/>
                <w:color w:val="000000"/>
              </w:rPr>
              <w:t>Redacted</w:t>
            </w:r>
          </w:p>
        </w:tc>
        <w:tc>
          <w:tcPr>
            <w:tcW w:w="1026" w:type="dxa"/>
            <w:vAlign w:val="center"/>
          </w:tcPr>
          <w:p w14:paraId="1748EE85" w14:textId="77777777" w:rsidR="006632D3" w:rsidRDefault="006632D3" w:rsidP="008F4921">
            <w:pPr>
              <w:pStyle w:val="Tabletext0"/>
              <w:jc w:val="right"/>
              <w:rPr>
                <w:rFonts w:cs="Calibri"/>
                <w:b/>
                <w:bCs/>
                <w:color w:val="000000"/>
              </w:rPr>
            </w:pPr>
            <w:r>
              <w:rPr>
                <w:rFonts w:cs="Calibri"/>
                <w:color w:val="000000"/>
              </w:rPr>
              <w:t>35%</w:t>
            </w:r>
          </w:p>
        </w:tc>
      </w:tr>
      <w:tr w:rsidR="003558C2" w:rsidRPr="000F6B35" w14:paraId="362F2F76" w14:textId="77777777" w:rsidTr="00175863">
        <w:tc>
          <w:tcPr>
            <w:tcW w:w="9016" w:type="dxa"/>
            <w:gridSpan w:val="5"/>
            <w:vAlign w:val="bottom"/>
          </w:tcPr>
          <w:p w14:paraId="4957539B" w14:textId="5981F54A" w:rsidR="003558C2" w:rsidRPr="00AC37ED" w:rsidRDefault="003558C2" w:rsidP="008F4921">
            <w:pPr>
              <w:pStyle w:val="Tabletext0"/>
              <w:jc w:val="right"/>
              <w:rPr>
                <w:rFonts w:cs="Calibri"/>
                <w:i/>
                <w:iCs/>
                <w:color w:val="000000"/>
              </w:rPr>
            </w:pPr>
            <w:r w:rsidRPr="00AC37ED">
              <w:rPr>
                <w:rFonts w:cs="Calibri"/>
                <w:i/>
                <w:iCs/>
                <w:color w:val="000000"/>
              </w:rPr>
              <w:t xml:space="preserve">Annual cost associated with extensive surveillance disease management for LOGSD II (base case: </w:t>
            </w:r>
            <w:proofErr w:type="gramStart"/>
            <w:r w:rsidRPr="00AC37ED">
              <w:rPr>
                <w:rFonts w:cs="Calibri"/>
                <w:i/>
                <w:iCs/>
                <w:color w:val="000000"/>
              </w:rPr>
              <w:t>excluded)</w:t>
            </w:r>
            <w:r w:rsidRPr="00AC37ED">
              <w:rPr>
                <w:rFonts w:cs="Calibri"/>
                <w:i/>
                <w:iCs/>
                <w:color w:val="000000"/>
                <w:vertAlign w:val="superscript"/>
              </w:rPr>
              <w:t>b</w:t>
            </w:r>
            <w:proofErr w:type="gramEnd"/>
          </w:p>
        </w:tc>
      </w:tr>
      <w:tr w:rsidR="00B12AFD" w:rsidRPr="000F6B35" w14:paraId="589796DC" w14:textId="77777777" w:rsidTr="00B12AFD">
        <w:tc>
          <w:tcPr>
            <w:tcW w:w="2830" w:type="dxa"/>
          </w:tcPr>
          <w:p w14:paraId="4B3C86A7" w14:textId="5BED9E6B" w:rsidR="00B12AFD" w:rsidRDefault="00B12AFD" w:rsidP="00B12AFD">
            <w:pPr>
              <w:pStyle w:val="Tabletext0"/>
              <w:rPr>
                <w:rFonts w:cs="Calibri"/>
                <w:color w:val="000000"/>
              </w:rPr>
            </w:pPr>
            <w:r w:rsidRPr="00FD3C39">
              <w:t>Extensive follow-up every 3 months (annual: $21,699)</w:t>
            </w:r>
          </w:p>
        </w:tc>
        <w:tc>
          <w:tcPr>
            <w:tcW w:w="2048" w:type="dxa"/>
          </w:tcPr>
          <w:p w14:paraId="6C0684C4" w14:textId="041261F8" w:rsidR="00B12AFD" w:rsidRDefault="00B12AFD" w:rsidP="00B12AFD">
            <w:pPr>
              <w:pStyle w:val="Tabletext0"/>
              <w:jc w:val="right"/>
              <w:rPr>
                <w:rFonts w:cs="Calibri"/>
                <w:color w:val="000000"/>
              </w:rPr>
            </w:pPr>
            <w:r w:rsidRPr="00AD4315">
              <w:rPr>
                <w:rFonts w:cs="Calibri"/>
                <w:color w:val="000000"/>
              </w:rPr>
              <w:t>$</w:t>
            </w:r>
            <w:r w:rsidRPr="00AD4315">
              <w:rPr>
                <w:rFonts w:cs="Calibri"/>
                <w:b/>
                <w:bCs/>
                <w:color w:val="000000"/>
              </w:rPr>
              <w:t>Redacted</w:t>
            </w:r>
          </w:p>
        </w:tc>
        <w:tc>
          <w:tcPr>
            <w:tcW w:w="1064" w:type="dxa"/>
          </w:tcPr>
          <w:p w14:paraId="512033B6" w14:textId="3EECF74F" w:rsidR="00B12AFD" w:rsidRDefault="00B12AFD" w:rsidP="00B12AFD">
            <w:pPr>
              <w:pStyle w:val="Tabletext0"/>
              <w:jc w:val="right"/>
              <w:rPr>
                <w:rFonts w:cs="Calibri"/>
                <w:color w:val="000000"/>
              </w:rPr>
            </w:pPr>
            <w:r w:rsidRPr="00FD3C39">
              <w:t>3%</w:t>
            </w:r>
          </w:p>
        </w:tc>
        <w:tc>
          <w:tcPr>
            <w:tcW w:w="2048" w:type="dxa"/>
          </w:tcPr>
          <w:p w14:paraId="5B6CA528" w14:textId="051C3018" w:rsidR="00B12AFD" w:rsidRDefault="00B12AFD" w:rsidP="00B12AFD">
            <w:pPr>
              <w:pStyle w:val="Tabletext0"/>
              <w:jc w:val="right"/>
              <w:rPr>
                <w:rFonts w:cs="Calibri"/>
                <w:color w:val="000000"/>
              </w:rPr>
            </w:pPr>
            <w:r w:rsidRPr="00E51DF1">
              <w:rPr>
                <w:rFonts w:cs="Calibri"/>
                <w:color w:val="000000"/>
              </w:rPr>
              <w:t>$</w:t>
            </w:r>
            <w:r w:rsidRPr="00E51DF1">
              <w:rPr>
                <w:rFonts w:cs="Calibri"/>
                <w:b/>
                <w:bCs/>
                <w:color w:val="000000"/>
              </w:rPr>
              <w:t>Redacted</w:t>
            </w:r>
          </w:p>
        </w:tc>
        <w:tc>
          <w:tcPr>
            <w:tcW w:w="1026" w:type="dxa"/>
          </w:tcPr>
          <w:p w14:paraId="7208D9C7" w14:textId="42BBE69F" w:rsidR="00B12AFD" w:rsidRDefault="00B12AFD" w:rsidP="00B12AFD">
            <w:pPr>
              <w:pStyle w:val="Tabletext0"/>
              <w:jc w:val="right"/>
              <w:rPr>
                <w:rFonts w:cs="Calibri"/>
                <w:color w:val="000000"/>
              </w:rPr>
            </w:pPr>
            <w:r w:rsidRPr="00FD3C39">
              <w:t>4%</w:t>
            </w:r>
          </w:p>
        </w:tc>
      </w:tr>
      <w:tr w:rsidR="00B12AFD" w:rsidRPr="000F6B35" w14:paraId="501C3444" w14:textId="77777777" w:rsidTr="00B12AFD">
        <w:tc>
          <w:tcPr>
            <w:tcW w:w="2830" w:type="dxa"/>
          </w:tcPr>
          <w:p w14:paraId="4A836198" w14:textId="3D8B37C8" w:rsidR="00B12AFD" w:rsidRDefault="00B12AFD" w:rsidP="00B12AFD">
            <w:pPr>
              <w:pStyle w:val="Tabletext0"/>
              <w:rPr>
                <w:rFonts w:cs="Calibri"/>
                <w:color w:val="000000"/>
              </w:rPr>
            </w:pPr>
            <w:r w:rsidRPr="00FD3C39">
              <w:t>Extensive follow-up every 6 months (annual: $10,850)</w:t>
            </w:r>
          </w:p>
        </w:tc>
        <w:tc>
          <w:tcPr>
            <w:tcW w:w="2048" w:type="dxa"/>
          </w:tcPr>
          <w:p w14:paraId="2D43DEBC" w14:textId="00633E9D" w:rsidR="00B12AFD" w:rsidRDefault="00B12AFD" w:rsidP="00B12AFD">
            <w:pPr>
              <w:pStyle w:val="Tabletext0"/>
              <w:jc w:val="right"/>
              <w:rPr>
                <w:rFonts w:cs="Calibri"/>
                <w:color w:val="000000"/>
              </w:rPr>
            </w:pPr>
            <w:r w:rsidRPr="00AD4315">
              <w:rPr>
                <w:rFonts w:cs="Calibri"/>
                <w:color w:val="000000"/>
              </w:rPr>
              <w:t>$</w:t>
            </w:r>
            <w:r w:rsidRPr="00AD4315">
              <w:rPr>
                <w:rFonts w:cs="Calibri"/>
                <w:b/>
                <w:bCs/>
                <w:color w:val="000000"/>
              </w:rPr>
              <w:t>Redacted</w:t>
            </w:r>
          </w:p>
        </w:tc>
        <w:tc>
          <w:tcPr>
            <w:tcW w:w="1064" w:type="dxa"/>
          </w:tcPr>
          <w:p w14:paraId="1FC495F6" w14:textId="7505F25C" w:rsidR="00B12AFD" w:rsidRDefault="00B12AFD" w:rsidP="00B12AFD">
            <w:pPr>
              <w:pStyle w:val="Tabletext0"/>
              <w:jc w:val="right"/>
              <w:rPr>
                <w:rFonts w:cs="Calibri"/>
                <w:color w:val="000000"/>
              </w:rPr>
            </w:pPr>
            <w:r w:rsidRPr="00FD3C39">
              <w:t>1%</w:t>
            </w:r>
          </w:p>
        </w:tc>
        <w:tc>
          <w:tcPr>
            <w:tcW w:w="2048" w:type="dxa"/>
          </w:tcPr>
          <w:p w14:paraId="53B9B2AB" w14:textId="2AEDC668" w:rsidR="00B12AFD" w:rsidRDefault="00B12AFD" w:rsidP="00B12AFD">
            <w:pPr>
              <w:pStyle w:val="Tabletext0"/>
              <w:jc w:val="right"/>
              <w:rPr>
                <w:rFonts w:cs="Calibri"/>
                <w:color w:val="000000"/>
              </w:rPr>
            </w:pPr>
            <w:r w:rsidRPr="00E51DF1">
              <w:rPr>
                <w:rFonts w:cs="Calibri"/>
                <w:color w:val="000000"/>
              </w:rPr>
              <w:t>$</w:t>
            </w:r>
            <w:r w:rsidRPr="00E51DF1">
              <w:rPr>
                <w:rFonts w:cs="Calibri"/>
                <w:b/>
                <w:bCs/>
                <w:color w:val="000000"/>
              </w:rPr>
              <w:t>Redacted</w:t>
            </w:r>
          </w:p>
        </w:tc>
        <w:tc>
          <w:tcPr>
            <w:tcW w:w="1026" w:type="dxa"/>
          </w:tcPr>
          <w:p w14:paraId="16081BB9" w14:textId="423005AE" w:rsidR="00B12AFD" w:rsidRDefault="00B12AFD" w:rsidP="00B12AFD">
            <w:pPr>
              <w:pStyle w:val="Tabletext0"/>
              <w:jc w:val="right"/>
              <w:rPr>
                <w:rFonts w:cs="Calibri"/>
                <w:color w:val="000000"/>
              </w:rPr>
            </w:pPr>
            <w:r w:rsidRPr="00FD3C39">
              <w:t>2%</w:t>
            </w:r>
          </w:p>
        </w:tc>
      </w:tr>
    </w:tbl>
    <w:p w14:paraId="03AA6CF8" w14:textId="25BEC8A0" w:rsidR="006632D3" w:rsidRDefault="006632D3" w:rsidP="008B6BB7">
      <w:pPr>
        <w:pStyle w:val="Tablenotes"/>
        <w:contextualSpacing w:val="0"/>
      </w:pPr>
      <w:r>
        <w:t xml:space="preserve">GSD II = glycogen storage </w:t>
      </w:r>
      <w:r w:rsidR="0030097A">
        <w:t xml:space="preserve">disease </w:t>
      </w:r>
      <w:r>
        <w:t>type II; ICER = incremental cost-effectiveness ratio; IOGSD II = infantile onset GSD II; LOGSD II = late onset GSD II; MPS I = mucopolysaccharidosis Type I; MS/MS = tandem mass spectrometry; NBS = newborn bloodspot screening</w:t>
      </w:r>
    </w:p>
    <w:p w14:paraId="2A57B5E6" w14:textId="4C5829A4" w:rsidR="006632D3" w:rsidRPr="00325BC4" w:rsidRDefault="006632D3" w:rsidP="006632D3">
      <w:pPr>
        <w:pStyle w:val="Tablenotes"/>
      </w:pPr>
      <w:r w:rsidRPr="02E2EE7D">
        <w:rPr>
          <w:vertAlign w:val="superscript"/>
        </w:rPr>
        <w:t>a</w:t>
      </w:r>
      <w:r w:rsidRPr="02E2EE7D">
        <w:t xml:space="preserve"> From October 2024 </w:t>
      </w:r>
      <w:r w:rsidR="00606312">
        <w:rPr>
          <w:rFonts w:cs="Calibri"/>
          <w:b/>
          <w:bCs/>
          <w:color w:val="000000"/>
        </w:rPr>
        <w:t>Redacted</w:t>
      </w:r>
      <w:r w:rsidR="00606312" w:rsidRPr="00F076FA" w:rsidDel="00606312">
        <w:t xml:space="preserve"> </w:t>
      </w:r>
      <w:r w:rsidR="002D2FA9">
        <w:rPr>
          <w:sz w:val="20"/>
        </w:rPr>
        <w:t>is available</w:t>
      </w:r>
      <w:r w:rsidRPr="02E2EE7D">
        <w:t xml:space="preserve"> to multiplex MS/MS enzymatic assays for MPS I, MPS II and GSD II which are currently under MSAC consideration for NBS panel extension. If these tests are multiplexed, the screening cost per sample attributed to MPS I detection will be one-third as the running cost (all the operational costs, equipment costs and kit costs) would remain same but will perform detection of three disorders at the same time. </w:t>
      </w:r>
    </w:p>
    <w:p w14:paraId="7AECE3B6" w14:textId="6312572F" w:rsidR="003558C2" w:rsidRPr="003558C2" w:rsidRDefault="003558C2" w:rsidP="006632D3">
      <w:pPr>
        <w:pStyle w:val="Tablenotes"/>
      </w:pPr>
      <w:r w:rsidRPr="00AC37ED">
        <w:rPr>
          <w:vertAlign w:val="superscript"/>
        </w:rPr>
        <w:t>b</w:t>
      </w:r>
      <w:r>
        <w:t xml:space="preserve"> Analyses added from Rejoinder </w:t>
      </w:r>
      <w:r w:rsidRPr="00AC37ED">
        <w:rPr>
          <w:vertAlign w:val="superscript"/>
        </w:rPr>
        <w:t xml:space="preserve"> </w:t>
      </w:r>
    </w:p>
    <w:p w14:paraId="28FD8EB2" w14:textId="5D78B741" w:rsidR="006632D3" w:rsidRPr="006632D3" w:rsidRDefault="006632D3" w:rsidP="006632D3">
      <w:pPr>
        <w:rPr>
          <w:u w:val="single"/>
        </w:rPr>
      </w:pPr>
      <w:r w:rsidRPr="006632D3">
        <w:rPr>
          <w:u w:val="single"/>
        </w:rPr>
        <w:t>Conclusions</w:t>
      </w:r>
    </w:p>
    <w:p w14:paraId="2258146A" w14:textId="1C6C2B1E" w:rsidR="006632D3" w:rsidRPr="00143BB4" w:rsidRDefault="006632D3" w:rsidP="006632D3">
      <w:r w:rsidRPr="02E2EE7D">
        <w:t xml:space="preserve">NBS was associated with a net incremental cost per affected GSD II case diagnosed compared with clinical identification in the absence of NBS. Some cost was offset due to reduced diagnostic </w:t>
      </w:r>
      <w:proofErr w:type="gramStart"/>
      <w:r w:rsidR="00F858A6">
        <w:t>delay</w:t>
      </w:r>
      <w:proofErr w:type="gramEnd"/>
      <w:r w:rsidRPr="02E2EE7D">
        <w:t xml:space="preserve"> but this was relatively small in comparison to the increased screening costs. The </w:t>
      </w:r>
      <w:r w:rsidR="00CD03E7">
        <w:t xml:space="preserve">DCAR considered the </w:t>
      </w:r>
      <w:r w:rsidRPr="02E2EE7D">
        <w:t xml:space="preserve">ICERs ($/confirmed GSD II diagnosis) </w:t>
      </w:r>
      <w:r w:rsidR="00CD03E7" w:rsidRPr="02E2EE7D">
        <w:t>w</w:t>
      </w:r>
      <w:r w:rsidR="00CD03E7">
        <w:t>ere</w:t>
      </w:r>
      <w:r w:rsidR="00CD03E7" w:rsidRPr="02E2EE7D">
        <w:t xml:space="preserve"> </w:t>
      </w:r>
      <w:r w:rsidRPr="02E2EE7D">
        <w:t>high</w:t>
      </w:r>
      <w:r w:rsidR="00E94D7F" w:rsidRPr="02E2EE7D">
        <w:t xml:space="preserve"> primarily</w:t>
      </w:r>
      <w:r w:rsidRPr="02E2EE7D">
        <w:t xml:space="preserve"> due to the rarity of the disease.</w:t>
      </w:r>
    </w:p>
    <w:p w14:paraId="2813E081" w14:textId="43CE6F5E" w:rsidR="006632D3" w:rsidRPr="00143BB4" w:rsidRDefault="006632D3" w:rsidP="006632D3">
      <w:r w:rsidRPr="02E2EE7D">
        <w:t>The limited evidence indicated possible survival and quality of life benefits associated with early access to ERT in cases with IOGSD II. When the improved survival and quality of life associated with early access to treatment were integrated in the model, the ICER</w:t>
      </w:r>
      <w:r w:rsidR="00E94D7F" w:rsidRPr="02E2EE7D">
        <w:t xml:space="preserve"> ($/QALY) </w:t>
      </w:r>
      <w:r w:rsidRPr="02E2EE7D">
        <w:t xml:space="preserve">was also relatively high due to the rarity of the disease </w:t>
      </w:r>
      <w:proofErr w:type="gramStart"/>
      <w:r w:rsidRPr="02E2EE7D">
        <w:t>and also</w:t>
      </w:r>
      <w:proofErr w:type="gramEnd"/>
      <w:r w:rsidRPr="02E2EE7D">
        <w:t xml:space="preserve"> the relatively limited change in clinical management associated with early diagnosis in LOGSD II. </w:t>
      </w:r>
      <w:r w:rsidR="00CD03E7">
        <w:t>The DCAR considered e</w:t>
      </w:r>
      <w:r w:rsidRPr="02E2EE7D">
        <w:t xml:space="preserve">arlier diagnosis through NBS would avoid the diagnostic </w:t>
      </w:r>
      <w:r w:rsidR="00F858A6">
        <w:t>delay</w:t>
      </w:r>
      <w:r w:rsidRPr="02E2EE7D">
        <w:t xml:space="preserve"> and increase timely treatment in many cases with LOGSD II, however clinical benefits could not be quantified beyond </w:t>
      </w:r>
      <w:r w:rsidR="00E94D7F" w:rsidRPr="02E2EE7D">
        <w:t xml:space="preserve">reducing the costs and disutility associated with unmanaged symptoms during the diagnostic </w:t>
      </w:r>
      <w:r w:rsidR="00F858A6">
        <w:t>delay</w:t>
      </w:r>
      <w:r w:rsidR="00E94D7F" w:rsidRPr="02E2EE7D">
        <w:t xml:space="preserve"> in LOGSD II cases</w:t>
      </w:r>
      <w:r w:rsidRPr="02E2EE7D">
        <w:t>.</w:t>
      </w:r>
    </w:p>
    <w:p w14:paraId="055F380C" w14:textId="495E1986" w:rsidR="00AC7833" w:rsidRDefault="00CD03E7" w:rsidP="006632D3">
      <w:r>
        <w:t>The DCAR considered t</w:t>
      </w:r>
      <w:r w:rsidR="006632D3" w:rsidRPr="00143BB4">
        <w:t xml:space="preserve">he potential impact of testing of parents </w:t>
      </w:r>
      <w:r w:rsidR="006632D3">
        <w:t xml:space="preserve">and other adult family members </w:t>
      </w:r>
      <w:r w:rsidR="006632D3" w:rsidRPr="00143BB4">
        <w:t xml:space="preserve">after NBS is that it allows more information to inform reproductive planning, which may </w:t>
      </w:r>
      <w:r w:rsidR="002451C7">
        <w:t>reduce</w:t>
      </w:r>
      <w:r w:rsidR="00971AF1">
        <w:t xml:space="preserve"> the</w:t>
      </w:r>
      <w:r w:rsidR="006632D3" w:rsidRPr="00143BB4">
        <w:t xml:space="preserve"> </w:t>
      </w:r>
      <w:r w:rsidR="00971AF1">
        <w:t xml:space="preserve">occurrence of GSD II in </w:t>
      </w:r>
      <w:r w:rsidR="00971AF1" w:rsidRPr="00143BB4">
        <w:t>future siblings</w:t>
      </w:r>
      <w:r w:rsidR="00971AF1">
        <w:t xml:space="preserve"> or </w:t>
      </w:r>
      <w:r w:rsidR="00971AF1" w:rsidRPr="00143BB4">
        <w:t>cousins</w:t>
      </w:r>
      <w:r w:rsidR="006632D3" w:rsidRPr="00143BB4">
        <w:t>.</w:t>
      </w:r>
    </w:p>
    <w:p w14:paraId="09C0A5C3" w14:textId="5E516ACA" w:rsidR="001F3F40" w:rsidRDefault="001F3F40" w:rsidP="00ED5CB7">
      <w:pPr>
        <w:pStyle w:val="Heading2"/>
        <w:numPr>
          <w:ilvl w:val="0"/>
          <w:numId w:val="36"/>
        </w:numPr>
        <w:ind w:hanging="720"/>
      </w:pPr>
      <w:bookmarkStart w:id="59" w:name="Title_Table6"/>
      <w:bookmarkStart w:id="60" w:name="_Toc184839282"/>
      <w:bookmarkEnd w:id="59"/>
      <w:r w:rsidRPr="00CE28E3">
        <w:t>Financial/budgetary impacts</w:t>
      </w:r>
      <w:bookmarkEnd w:id="60"/>
    </w:p>
    <w:p w14:paraId="3EA3E123" w14:textId="77777777" w:rsidR="001F3F40" w:rsidRDefault="001F3F40" w:rsidP="002B4473">
      <w:r>
        <w:t>An epidemiological approach was used to estimate the resource utilisation and financial implications of incorporating GSD II screening into existing NBS programs.</w:t>
      </w:r>
    </w:p>
    <w:p w14:paraId="3000D781" w14:textId="77777777" w:rsidR="001F3F40" w:rsidRDefault="001F3F40" w:rsidP="002B4473">
      <w:r w:rsidRPr="02E2EE7D">
        <w:t>As per the consultation feedback, all NBS laboratories will need some building expansion to accommodate for new equipment, validation and verification of the new screening protocol and hiring of additional workforce to expand the NBS programs to include GSD II. Costs associated with program implementation included laboratory expansion and validation of the new screening protocol. These were considered as once-off set-up costs to NBS programs at the beginning. Direct funding is being provided by the Commonwealth to states and territories to support expansion of NBS programs and consistency in screening across Australia. States and territories can determine how to allocate this funding within their jurisdiction to best support implementation in line with the terms of the Federation Funding Agreement (FFA) schedule.</w:t>
      </w:r>
    </w:p>
    <w:p w14:paraId="2B5836E6" w14:textId="06297C08" w:rsidR="001F3F40" w:rsidRDefault="004A68D4" w:rsidP="002B4473">
      <w:r>
        <w:t>Table 13</w:t>
      </w:r>
      <w:r w:rsidR="00DD02A3">
        <w:t xml:space="preserve"> </w:t>
      </w:r>
      <w:r w:rsidR="001F3F40">
        <w:t>presented the program implementation costs for introducing GSD II to the NBS programs.</w:t>
      </w:r>
    </w:p>
    <w:p w14:paraId="723ED085" w14:textId="463ADB2B" w:rsidR="001F3F40" w:rsidRDefault="001F3F40" w:rsidP="00ED5CB7">
      <w:pPr>
        <w:pStyle w:val="Caption"/>
        <w:keepLines/>
      </w:pPr>
      <w:bookmarkStart w:id="61" w:name="_Ref172147351"/>
      <w:r>
        <w:t>Table</w:t>
      </w:r>
      <w:r w:rsidR="00FA19C5">
        <w:t xml:space="preserve"> </w:t>
      </w:r>
      <w:r w:rsidR="00707D22">
        <w:t>13</w:t>
      </w:r>
      <w:r>
        <w:t xml:space="preserve"> </w:t>
      </w:r>
      <w:bookmarkEnd w:id="61"/>
      <w:r>
        <w:tab/>
      </w:r>
      <w:r w:rsidRPr="001C5F84">
        <w:t xml:space="preserve">Program implementation costs for introducing </w:t>
      </w:r>
      <w:r w:rsidR="0030097A">
        <w:t>GSD II</w:t>
      </w:r>
      <w:r w:rsidRPr="001C5F84">
        <w:t xml:space="preserve"> to the NBS p</w:t>
      </w:r>
      <w:r>
        <w:t>rograms</w:t>
      </w:r>
    </w:p>
    <w:tbl>
      <w:tblPr>
        <w:tblStyle w:val="TableGrid"/>
        <w:tblW w:w="5000" w:type="pct"/>
        <w:tblLayout w:type="fixed"/>
        <w:tblLook w:val="04A0" w:firstRow="1" w:lastRow="0" w:firstColumn="1" w:lastColumn="0" w:noHBand="0" w:noVBand="1"/>
      </w:tblPr>
      <w:tblGrid>
        <w:gridCol w:w="2435"/>
        <w:gridCol w:w="1318"/>
        <w:gridCol w:w="1316"/>
        <w:gridCol w:w="1316"/>
        <w:gridCol w:w="1316"/>
        <w:gridCol w:w="1315"/>
      </w:tblGrid>
      <w:tr w:rsidR="001F3F40" w:rsidRPr="009A290A" w14:paraId="2B39EBD7" w14:textId="77777777" w:rsidTr="00175863">
        <w:tc>
          <w:tcPr>
            <w:tcW w:w="1350" w:type="pct"/>
          </w:tcPr>
          <w:p w14:paraId="6ED27CA5" w14:textId="77777777" w:rsidR="001F3F40" w:rsidRPr="009A290A" w:rsidRDefault="001F3F40" w:rsidP="00ED5CB7">
            <w:pPr>
              <w:pStyle w:val="In-tableHeading"/>
              <w:keepLines/>
            </w:pPr>
          </w:p>
        </w:tc>
        <w:tc>
          <w:tcPr>
            <w:tcW w:w="731" w:type="pct"/>
          </w:tcPr>
          <w:p w14:paraId="1C04A960" w14:textId="77777777" w:rsidR="001F3F40" w:rsidRPr="009A290A" w:rsidRDefault="001F3F40" w:rsidP="00ED5CB7">
            <w:pPr>
              <w:pStyle w:val="In-tableHeading"/>
              <w:keepLines/>
            </w:pPr>
            <w:r w:rsidRPr="004D4745">
              <w:t>WA</w:t>
            </w:r>
          </w:p>
        </w:tc>
        <w:tc>
          <w:tcPr>
            <w:tcW w:w="730" w:type="pct"/>
          </w:tcPr>
          <w:p w14:paraId="79E27CD9" w14:textId="77777777" w:rsidR="001F3F40" w:rsidRPr="009A290A" w:rsidRDefault="001F3F40" w:rsidP="00ED5CB7">
            <w:pPr>
              <w:pStyle w:val="In-tableHeading"/>
              <w:keepLines/>
            </w:pPr>
            <w:r w:rsidRPr="004D4745">
              <w:t>QLD</w:t>
            </w:r>
            <w:r>
              <w:t xml:space="preserve"> + half of NT</w:t>
            </w:r>
          </w:p>
        </w:tc>
        <w:tc>
          <w:tcPr>
            <w:tcW w:w="730" w:type="pct"/>
          </w:tcPr>
          <w:p w14:paraId="00DC7AC9" w14:textId="77777777" w:rsidR="001F3F40" w:rsidRPr="009A290A" w:rsidRDefault="001F3F40" w:rsidP="00ED5CB7">
            <w:pPr>
              <w:pStyle w:val="In-tableHeading"/>
              <w:keepLines/>
            </w:pPr>
            <w:r w:rsidRPr="004D4745">
              <w:t>NSW</w:t>
            </w:r>
          </w:p>
        </w:tc>
        <w:tc>
          <w:tcPr>
            <w:tcW w:w="730" w:type="pct"/>
          </w:tcPr>
          <w:p w14:paraId="255F1E81" w14:textId="77777777" w:rsidR="001F3F40" w:rsidRPr="009A290A" w:rsidRDefault="001F3F40" w:rsidP="00ED5CB7">
            <w:pPr>
              <w:pStyle w:val="In-tableHeading"/>
              <w:keepLines/>
            </w:pPr>
            <w:r w:rsidRPr="004D4745">
              <w:t>SA</w:t>
            </w:r>
            <w:r>
              <w:t xml:space="preserve"> + Tasmania + half of NT</w:t>
            </w:r>
          </w:p>
        </w:tc>
        <w:tc>
          <w:tcPr>
            <w:tcW w:w="729" w:type="pct"/>
          </w:tcPr>
          <w:p w14:paraId="4D21F828" w14:textId="77777777" w:rsidR="001F3F40" w:rsidRPr="009A290A" w:rsidRDefault="001F3F40" w:rsidP="00ED5CB7">
            <w:pPr>
              <w:pStyle w:val="In-tableHeading"/>
              <w:keepLines/>
            </w:pPr>
            <w:r w:rsidRPr="004D4745">
              <w:t>Vic</w:t>
            </w:r>
            <w:r>
              <w:t>toria</w:t>
            </w:r>
          </w:p>
        </w:tc>
      </w:tr>
      <w:tr w:rsidR="001F3F40" w:rsidRPr="009A290A" w14:paraId="2F06D404" w14:textId="77777777" w:rsidTr="00175863">
        <w:tc>
          <w:tcPr>
            <w:tcW w:w="5000" w:type="pct"/>
            <w:gridSpan w:val="6"/>
          </w:tcPr>
          <w:p w14:paraId="6819560B" w14:textId="77777777" w:rsidR="001F3F40" w:rsidRPr="00D31923" w:rsidRDefault="001F3F40" w:rsidP="00ED5CB7">
            <w:pPr>
              <w:pStyle w:val="TableText"/>
              <w:keepNext/>
              <w:keepLines/>
              <w:rPr>
                <w:b/>
                <w:bCs/>
              </w:rPr>
            </w:pPr>
            <w:r w:rsidRPr="02E2EE7D">
              <w:rPr>
                <w:b/>
                <w:bCs/>
              </w:rPr>
              <w:t>Laboratory capacity and capability (not necessarily assay specific)</w:t>
            </w:r>
          </w:p>
        </w:tc>
      </w:tr>
      <w:tr w:rsidR="00B12AFD" w:rsidRPr="009A290A" w14:paraId="4532BB46" w14:textId="77777777" w:rsidTr="00175863">
        <w:tc>
          <w:tcPr>
            <w:tcW w:w="1350" w:type="pct"/>
          </w:tcPr>
          <w:p w14:paraId="34006622" w14:textId="77777777" w:rsidR="00B12AFD" w:rsidRPr="00E43ACE" w:rsidRDefault="00B12AFD" w:rsidP="00B12AFD">
            <w:pPr>
              <w:pStyle w:val="TableText"/>
              <w:keepNext/>
              <w:keepLines/>
              <w:rPr>
                <w:vertAlign w:val="superscript"/>
              </w:rPr>
            </w:pPr>
            <w:r w:rsidRPr="00AB4A64">
              <w:t>Space expansion</w:t>
            </w:r>
            <w:r>
              <w:t xml:space="preserve"> </w:t>
            </w:r>
            <w:r>
              <w:rPr>
                <w:vertAlign w:val="superscript"/>
              </w:rPr>
              <w:t>a</w:t>
            </w:r>
          </w:p>
        </w:tc>
        <w:tc>
          <w:tcPr>
            <w:tcW w:w="731" w:type="pct"/>
          </w:tcPr>
          <w:p w14:paraId="0E5B0789" w14:textId="2292DF52" w:rsidR="00B12AFD" w:rsidRPr="009A290A" w:rsidRDefault="00B12AFD" w:rsidP="00B12AFD">
            <w:pPr>
              <w:pStyle w:val="TableText"/>
              <w:keepNext/>
              <w:keepLines/>
              <w:jc w:val="right"/>
            </w:pPr>
            <w:r w:rsidRPr="00762F9A">
              <w:rPr>
                <w:rFonts w:eastAsia="Times New Roman" w:cs="Calibri"/>
                <w:color w:val="000000"/>
                <w:szCs w:val="20"/>
                <w:lang w:eastAsia="en-AU"/>
              </w:rPr>
              <w:t>$</w:t>
            </w:r>
            <w:r w:rsidRPr="00762F9A">
              <w:rPr>
                <w:rFonts w:eastAsia="Times New Roman" w:cs="Calibri"/>
                <w:b/>
                <w:bCs/>
                <w:color w:val="000000"/>
                <w:szCs w:val="20"/>
                <w:lang w:eastAsia="en-AU"/>
              </w:rPr>
              <w:t>Redacted</w:t>
            </w:r>
          </w:p>
        </w:tc>
        <w:tc>
          <w:tcPr>
            <w:tcW w:w="730" w:type="pct"/>
          </w:tcPr>
          <w:p w14:paraId="553CDCCC" w14:textId="2116DB10" w:rsidR="00B12AFD" w:rsidRPr="009A290A" w:rsidRDefault="00B12AFD" w:rsidP="00B12AFD">
            <w:pPr>
              <w:pStyle w:val="TableText"/>
              <w:keepNext/>
              <w:keepLines/>
              <w:jc w:val="right"/>
            </w:pPr>
            <w:r w:rsidRPr="00762F9A">
              <w:rPr>
                <w:rFonts w:eastAsia="Times New Roman" w:cs="Calibri"/>
                <w:color w:val="000000"/>
                <w:szCs w:val="20"/>
                <w:lang w:eastAsia="en-AU"/>
              </w:rPr>
              <w:t>$</w:t>
            </w:r>
            <w:r w:rsidRPr="00762F9A">
              <w:rPr>
                <w:rFonts w:eastAsia="Times New Roman" w:cs="Calibri"/>
                <w:b/>
                <w:bCs/>
                <w:color w:val="000000"/>
                <w:szCs w:val="20"/>
                <w:lang w:eastAsia="en-AU"/>
              </w:rPr>
              <w:t>Redacted</w:t>
            </w:r>
          </w:p>
        </w:tc>
        <w:tc>
          <w:tcPr>
            <w:tcW w:w="730" w:type="pct"/>
          </w:tcPr>
          <w:p w14:paraId="1AEF69A2" w14:textId="6ED95A4F" w:rsidR="00B12AFD" w:rsidRPr="009A290A" w:rsidRDefault="00B12AFD" w:rsidP="00B12AFD">
            <w:pPr>
              <w:pStyle w:val="TableText"/>
              <w:keepNext/>
              <w:keepLines/>
              <w:jc w:val="right"/>
            </w:pPr>
            <w:r w:rsidRPr="00762F9A">
              <w:rPr>
                <w:rFonts w:eastAsia="Times New Roman" w:cs="Calibri"/>
                <w:color w:val="000000"/>
                <w:szCs w:val="20"/>
                <w:lang w:eastAsia="en-AU"/>
              </w:rPr>
              <w:t>$</w:t>
            </w:r>
            <w:r w:rsidRPr="00762F9A">
              <w:rPr>
                <w:rFonts w:eastAsia="Times New Roman" w:cs="Calibri"/>
                <w:b/>
                <w:bCs/>
                <w:color w:val="000000"/>
                <w:szCs w:val="20"/>
                <w:lang w:eastAsia="en-AU"/>
              </w:rPr>
              <w:t>Redacted</w:t>
            </w:r>
          </w:p>
        </w:tc>
        <w:tc>
          <w:tcPr>
            <w:tcW w:w="730" w:type="pct"/>
          </w:tcPr>
          <w:p w14:paraId="6DB4386D" w14:textId="464437FF" w:rsidR="00B12AFD" w:rsidRPr="009A290A" w:rsidRDefault="00B12AFD" w:rsidP="00B12AFD">
            <w:pPr>
              <w:pStyle w:val="TableText"/>
              <w:keepNext/>
              <w:keepLines/>
              <w:jc w:val="right"/>
            </w:pPr>
            <w:r w:rsidRPr="00762F9A">
              <w:rPr>
                <w:rFonts w:eastAsia="Times New Roman" w:cs="Calibri"/>
                <w:color w:val="000000"/>
                <w:szCs w:val="20"/>
                <w:lang w:eastAsia="en-AU"/>
              </w:rPr>
              <w:t>$</w:t>
            </w:r>
            <w:r w:rsidRPr="00762F9A">
              <w:rPr>
                <w:rFonts w:eastAsia="Times New Roman" w:cs="Calibri"/>
                <w:b/>
                <w:bCs/>
                <w:color w:val="000000"/>
                <w:szCs w:val="20"/>
                <w:lang w:eastAsia="en-AU"/>
              </w:rPr>
              <w:t>Redacted</w:t>
            </w:r>
          </w:p>
        </w:tc>
        <w:tc>
          <w:tcPr>
            <w:tcW w:w="729" w:type="pct"/>
          </w:tcPr>
          <w:p w14:paraId="35E59FDD" w14:textId="225B7750" w:rsidR="00B12AFD" w:rsidRPr="009A290A" w:rsidRDefault="00B12AFD" w:rsidP="00B12AFD">
            <w:pPr>
              <w:pStyle w:val="TableText"/>
              <w:keepNext/>
              <w:keepLines/>
              <w:jc w:val="right"/>
            </w:pPr>
            <w:r w:rsidRPr="00762F9A">
              <w:rPr>
                <w:rFonts w:eastAsia="Times New Roman" w:cs="Calibri"/>
                <w:color w:val="000000"/>
                <w:szCs w:val="20"/>
                <w:lang w:eastAsia="en-AU"/>
              </w:rPr>
              <w:t>$</w:t>
            </w:r>
            <w:r w:rsidRPr="00762F9A">
              <w:rPr>
                <w:rFonts w:eastAsia="Times New Roman" w:cs="Calibri"/>
                <w:b/>
                <w:bCs/>
                <w:color w:val="000000"/>
                <w:szCs w:val="20"/>
                <w:lang w:eastAsia="en-AU"/>
              </w:rPr>
              <w:t>Redacted</w:t>
            </w:r>
          </w:p>
        </w:tc>
      </w:tr>
      <w:tr w:rsidR="001F3F40" w:rsidRPr="009A290A" w14:paraId="383CECC8" w14:textId="77777777" w:rsidTr="00175863">
        <w:tc>
          <w:tcPr>
            <w:tcW w:w="5000" w:type="pct"/>
            <w:gridSpan w:val="6"/>
          </w:tcPr>
          <w:p w14:paraId="46474C0A" w14:textId="77777777" w:rsidR="001F3F40" w:rsidRPr="00D31923" w:rsidRDefault="001F3F40" w:rsidP="00ED5CB7">
            <w:pPr>
              <w:pStyle w:val="TableText"/>
              <w:keepNext/>
              <w:keepLines/>
              <w:rPr>
                <w:b/>
              </w:rPr>
            </w:pPr>
            <w:r w:rsidRPr="00D31923">
              <w:rPr>
                <w:b/>
              </w:rPr>
              <w:t xml:space="preserve">Costs associated with </w:t>
            </w:r>
            <w:r w:rsidRPr="0293C5B1">
              <w:rPr>
                <w:b/>
                <w:bCs/>
              </w:rPr>
              <w:t xml:space="preserve">specific </w:t>
            </w:r>
            <w:r w:rsidRPr="00D31923">
              <w:rPr>
                <w:b/>
              </w:rPr>
              <w:t>assay verification and validation</w:t>
            </w:r>
          </w:p>
        </w:tc>
      </w:tr>
      <w:tr w:rsidR="00B12AFD" w:rsidRPr="0021607B" w14:paraId="61164C53" w14:textId="77777777" w:rsidTr="00175863">
        <w:tc>
          <w:tcPr>
            <w:tcW w:w="1350" w:type="pct"/>
          </w:tcPr>
          <w:p w14:paraId="145483A2" w14:textId="77777777" w:rsidR="00B12AFD" w:rsidRPr="00EC6B26" w:rsidRDefault="00B12AFD" w:rsidP="00B12AFD">
            <w:pPr>
              <w:pStyle w:val="TableText"/>
              <w:keepNext/>
              <w:keepLines/>
              <w:rPr>
                <w:vertAlign w:val="superscript"/>
              </w:rPr>
            </w:pPr>
            <w:r w:rsidRPr="00AB4A64">
              <w:t xml:space="preserve">Validation costs </w:t>
            </w:r>
            <w:r>
              <w:t xml:space="preserve">(reagents and staff) </w:t>
            </w:r>
            <w:r>
              <w:rPr>
                <w:vertAlign w:val="superscript"/>
              </w:rPr>
              <w:t>b</w:t>
            </w:r>
          </w:p>
        </w:tc>
        <w:tc>
          <w:tcPr>
            <w:tcW w:w="731" w:type="pct"/>
          </w:tcPr>
          <w:p w14:paraId="094AA291" w14:textId="6A4BD79E" w:rsidR="00B12AFD" w:rsidRPr="0021607B" w:rsidRDefault="00B12AFD" w:rsidP="00B12AFD">
            <w:pPr>
              <w:pStyle w:val="TableText"/>
              <w:keepNext/>
              <w:keepLines/>
              <w:jc w:val="right"/>
            </w:pPr>
            <w:r w:rsidRPr="001E5836">
              <w:rPr>
                <w:rFonts w:eastAsia="Times New Roman" w:cs="Calibri"/>
                <w:color w:val="000000"/>
                <w:szCs w:val="20"/>
                <w:lang w:eastAsia="en-AU"/>
              </w:rPr>
              <w:t>$</w:t>
            </w:r>
            <w:r w:rsidRPr="001E5836">
              <w:rPr>
                <w:rFonts w:eastAsia="Times New Roman" w:cs="Calibri"/>
                <w:b/>
                <w:bCs/>
                <w:color w:val="000000"/>
                <w:szCs w:val="20"/>
                <w:lang w:eastAsia="en-AU"/>
              </w:rPr>
              <w:t>Redacted</w:t>
            </w:r>
          </w:p>
        </w:tc>
        <w:tc>
          <w:tcPr>
            <w:tcW w:w="730" w:type="pct"/>
          </w:tcPr>
          <w:p w14:paraId="0F4B3772" w14:textId="423292BC" w:rsidR="00B12AFD" w:rsidRPr="0021607B" w:rsidRDefault="00B12AFD" w:rsidP="00B12AFD">
            <w:pPr>
              <w:pStyle w:val="TableText"/>
              <w:keepNext/>
              <w:keepLines/>
              <w:jc w:val="right"/>
            </w:pPr>
            <w:r w:rsidRPr="001E5836">
              <w:rPr>
                <w:rFonts w:eastAsia="Times New Roman" w:cs="Calibri"/>
                <w:color w:val="000000"/>
                <w:szCs w:val="20"/>
                <w:lang w:eastAsia="en-AU"/>
              </w:rPr>
              <w:t>$</w:t>
            </w:r>
            <w:r w:rsidRPr="001E5836">
              <w:rPr>
                <w:rFonts w:eastAsia="Times New Roman" w:cs="Calibri"/>
                <w:b/>
                <w:bCs/>
                <w:color w:val="000000"/>
                <w:szCs w:val="20"/>
                <w:lang w:eastAsia="en-AU"/>
              </w:rPr>
              <w:t>Redacted</w:t>
            </w:r>
          </w:p>
        </w:tc>
        <w:tc>
          <w:tcPr>
            <w:tcW w:w="730" w:type="pct"/>
          </w:tcPr>
          <w:p w14:paraId="539ACEAE" w14:textId="4C536C49" w:rsidR="00B12AFD" w:rsidRPr="0021607B" w:rsidRDefault="00B12AFD" w:rsidP="00B12AFD">
            <w:pPr>
              <w:pStyle w:val="TableText"/>
              <w:keepNext/>
              <w:keepLines/>
              <w:jc w:val="right"/>
            </w:pPr>
            <w:r w:rsidRPr="001E5836">
              <w:rPr>
                <w:rFonts w:eastAsia="Times New Roman" w:cs="Calibri"/>
                <w:color w:val="000000"/>
                <w:szCs w:val="20"/>
                <w:lang w:eastAsia="en-AU"/>
              </w:rPr>
              <w:t>$</w:t>
            </w:r>
            <w:r w:rsidRPr="001E5836">
              <w:rPr>
                <w:rFonts w:eastAsia="Times New Roman" w:cs="Calibri"/>
                <w:b/>
                <w:bCs/>
                <w:color w:val="000000"/>
                <w:szCs w:val="20"/>
                <w:lang w:eastAsia="en-AU"/>
              </w:rPr>
              <w:t>Redacted</w:t>
            </w:r>
          </w:p>
        </w:tc>
        <w:tc>
          <w:tcPr>
            <w:tcW w:w="730" w:type="pct"/>
          </w:tcPr>
          <w:p w14:paraId="74F7C0E0" w14:textId="123911A2" w:rsidR="00B12AFD" w:rsidRPr="0021607B" w:rsidRDefault="00B12AFD" w:rsidP="00B12AFD">
            <w:pPr>
              <w:pStyle w:val="TableText"/>
              <w:keepNext/>
              <w:keepLines/>
              <w:jc w:val="right"/>
            </w:pPr>
            <w:r w:rsidRPr="001E5836">
              <w:rPr>
                <w:rFonts w:eastAsia="Times New Roman" w:cs="Calibri"/>
                <w:color w:val="000000"/>
                <w:szCs w:val="20"/>
                <w:lang w:eastAsia="en-AU"/>
              </w:rPr>
              <w:t>$</w:t>
            </w:r>
            <w:r w:rsidRPr="001E5836">
              <w:rPr>
                <w:rFonts w:eastAsia="Times New Roman" w:cs="Calibri"/>
                <w:b/>
                <w:bCs/>
                <w:color w:val="000000"/>
                <w:szCs w:val="20"/>
                <w:lang w:eastAsia="en-AU"/>
              </w:rPr>
              <w:t>Redacted</w:t>
            </w:r>
          </w:p>
        </w:tc>
        <w:tc>
          <w:tcPr>
            <w:tcW w:w="729" w:type="pct"/>
          </w:tcPr>
          <w:p w14:paraId="5FAF3F25" w14:textId="14728E04" w:rsidR="00B12AFD" w:rsidRPr="0021607B" w:rsidRDefault="00B12AFD" w:rsidP="00B12AFD">
            <w:pPr>
              <w:pStyle w:val="TableText"/>
              <w:keepNext/>
              <w:keepLines/>
              <w:jc w:val="right"/>
            </w:pPr>
            <w:r w:rsidRPr="001E5836">
              <w:rPr>
                <w:rFonts w:eastAsia="Times New Roman" w:cs="Calibri"/>
                <w:color w:val="000000"/>
                <w:szCs w:val="20"/>
                <w:lang w:eastAsia="en-AU"/>
              </w:rPr>
              <w:t>$</w:t>
            </w:r>
            <w:r w:rsidRPr="001E5836">
              <w:rPr>
                <w:rFonts w:eastAsia="Times New Roman" w:cs="Calibri"/>
                <w:b/>
                <w:bCs/>
                <w:color w:val="000000"/>
                <w:szCs w:val="20"/>
                <w:lang w:eastAsia="en-AU"/>
              </w:rPr>
              <w:t>Redacted</w:t>
            </w:r>
          </w:p>
        </w:tc>
      </w:tr>
      <w:tr w:rsidR="00B12AFD" w:rsidRPr="009A290A" w14:paraId="3260CD29" w14:textId="77777777" w:rsidTr="00175863">
        <w:tc>
          <w:tcPr>
            <w:tcW w:w="1350" w:type="pct"/>
            <w:tcBorders>
              <w:bottom w:val="single" w:sz="4" w:space="0" w:color="auto"/>
            </w:tcBorders>
          </w:tcPr>
          <w:p w14:paraId="2F7AFCD9" w14:textId="77777777" w:rsidR="00B12AFD" w:rsidRPr="009A290A" w:rsidRDefault="00B12AFD" w:rsidP="00B12AFD">
            <w:pPr>
              <w:pStyle w:val="TableText"/>
              <w:keepNext/>
              <w:keepLines/>
            </w:pPr>
            <w:r w:rsidRPr="00AB4A64">
              <w:t>Total implementation cost</w:t>
            </w:r>
            <w:r>
              <w:t xml:space="preserve"> per site</w:t>
            </w:r>
          </w:p>
        </w:tc>
        <w:tc>
          <w:tcPr>
            <w:tcW w:w="731" w:type="pct"/>
            <w:tcBorders>
              <w:bottom w:val="single" w:sz="4" w:space="0" w:color="auto"/>
            </w:tcBorders>
          </w:tcPr>
          <w:p w14:paraId="1C42CB81" w14:textId="7F0E2859" w:rsidR="00B12AFD" w:rsidRPr="009A290A" w:rsidRDefault="00B12AFD" w:rsidP="00B12AFD">
            <w:pPr>
              <w:pStyle w:val="TableText"/>
              <w:keepNext/>
              <w:keepLines/>
              <w:jc w:val="right"/>
            </w:pPr>
            <w:r w:rsidRPr="001E5836">
              <w:rPr>
                <w:rFonts w:eastAsia="Times New Roman" w:cs="Calibri"/>
                <w:color w:val="000000"/>
                <w:szCs w:val="20"/>
                <w:lang w:eastAsia="en-AU"/>
              </w:rPr>
              <w:t>$</w:t>
            </w:r>
            <w:r w:rsidRPr="001E5836">
              <w:rPr>
                <w:rFonts w:eastAsia="Times New Roman" w:cs="Calibri"/>
                <w:b/>
                <w:bCs/>
                <w:color w:val="000000"/>
                <w:szCs w:val="20"/>
                <w:lang w:eastAsia="en-AU"/>
              </w:rPr>
              <w:t>Redacted</w:t>
            </w:r>
          </w:p>
        </w:tc>
        <w:tc>
          <w:tcPr>
            <w:tcW w:w="730" w:type="pct"/>
            <w:tcBorders>
              <w:bottom w:val="single" w:sz="4" w:space="0" w:color="auto"/>
            </w:tcBorders>
          </w:tcPr>
          <w:p w14:paraId="4985CFF5" w14:textId="69E2821A" w:rsidR="00B12AFD" w:rsidRPr="009A290A" w:rsidRDefault="00B12AFD" w:rsidP="00B12AFD">
            <w:pPr>
              <w:pStyle w:val="TableText"/>
              <w:keepNext/>
              <w:keepLines/>
              <w:jc w:val="right"/>
            </w:pPr>
            <w:r w:rsidRPr="001E5836">
              <w:rPr>
                <w:rFonts w:eastAsia="Times New Roman" w:cs="Calibri"/>
                <w:color w:val="000000"/>
                <w:szCs w:val="20"/>
                <w:lang w:eastAsia="en-AU"/>
              </w:rPr>
              <w:t>$</w:t>
            </w:r>
            <w:r w:rsidRPr="001E5836">
              <w:rPr>
                <w:rFonts w:eastAsia="Times New Roman" w:cs="Calibri"/>
                <w:b/>
                <w:bCs/>
                <w:color w:val="000000"/>
                <w:szCs w:val="20"/>
                <w:lang w:eastAsia="en-AU"/>
              </w:rPr>
              <w:t>Redacted</w:t>
            </w:r>
          </w:p>
        </w:tc>
        <w:tc>
          <w:tcPr>
            <w:tcW w:w="730" w:type="pct"/>
            <w:tcBorders>
              <w:bottom w:val="single" w:sz="4" w:space="0" w:color="auto"/>
            </w:tcBorders>
          </w:tcPr>
          <w:p w14:paraId="2D87B768" w14:textId="492DC21C" w:rsidR="00B12AFD" w:rsidRPr="009A290A" w:rsidRDefault="00B12AFD" w:rsidP="00B12AFD">
            <w:pPr>
              <w:pStyle w:val="TableText"/>
              <w:keepNext/>
              <w:keepLines/>
              <w:jc w:val="right"/>
            </w:pPr>
            <w:r w:rsidRPr="001E5836">
              <w:rPr>
                <w:rFonts w:eastAsia="Times New Roman" w:cs="Calibri"/>
                <w:color w:val="000000"/>
                <w:szCs w:val="20"/>
                <w:lang w:eastAsia="en-AU"/>
              </w:rPr>
              <w:t>$</w:t>
            </w:r>
            <w:r w:rsidRPr="001E5836">
              <w:rPr>
                <w:rFonts w:eastAsia="Times New Roman" w:cs="Calibri"/>
                <w:b/>
                <w:bCs/>
                <w:color w:val="000000"/>
                <w:szCs w:val="20"/>
                <w:lang w:eastAsia="en-AU"/>
              </w:rPr>
              <w:t>Redacted</w:t>
            </w:r>
          </w:p>
        </w:tc>
        <w:tc>
          <w:tcPr>
            <w:tcW w:w="730" w:type="pct"/>
            <w:tcBorders>
              <w:bottom w:val="single" w:sz="4" w:space="0" w:color="auto"/>
            </w:tcBorders>
          </w:tcPr>
          <w:p w14:paraId="4A93DC9C" w14:textId="75EE3313" w:rsidR="00B12AFD" w:rsidRPr="009A290A" w:rsidRDefault="00B12AFD" w:rsidP="00B12AFD">
            <w:pPr>
              <w:pStyle w:val="TableText"/>
              <w:keepNext/>
              <w:keepLines/>
              <w:jc w:val="right"/>
            </w:pPr>
            <w:r w:rsidRPr="001E5836">
              <w:rPr>
                <w:rFonts w:eastAsia="Times New Roman" w:cs="Calibri"/>
                <w:color w:val="000000"/>
                <w:szCs w:val="20"/>
                <w:lang w:eastAsia="en-AU"/>
              </w:rPr>
              <w:t>$</w:t>
            </w:r>
            <w:r w:rsidRPr="001E5836">
              <w:rPr>
                <w:rFonts w:eastAsia="Times New Roman" w:cs="Calibri"/>
                <w:b/>
                <w:bCs/>
                <w:color w:val="000000"/>
                <w:szCs w:val="20"/>
                <w:lang w:eastAsia="en-AU"/>
              </w:rPr>
              <w:t>Redacted</w:t>
            </w:r>
          </w:p>
        </w:tc>
        <w:tc>
          <w:tcPr>
            <w:tcW w:w="729" w:type="pct"/>
          </w:tcPr>
          <w:p w14:paraId="25831F9F" w14:textId="48D2D348" w:rsidR="00B12AFD" w:rsidRPr="009A290A" w:rsidRDefault="00B12AFD" w:rsidP="00B12AFD">
            <w:pPr>
              <w:pStyle w:val="TableText"/>
              <w:keepNext/>
              <w:keepLines/>
              <w:jc w:val="right"/>
            </w:pPr>
            <w:r w:rsidRPr="001E5836">
              <w:rPr>
                <w:rFonts w:eastAsia="Times New Roman" w:cs="Calibri"/>
                <w:color w:val="000000"/>
                <w:szCs w:val="20"/>
                <w:lang w:eastAsia="en-AU"/>
              </w:rPr>
              <w:t>$</w:t>
            </w:r>
            <w:r w:rsidRPr="001E5836">
              <w:rPr>
                <w:rFonts w:eastAsia="Times New Roman" w:cs="Calibri"/>
                <w:b/>
                <w:bCs/>
                <w:color w:val="000000"/>
                <w:szCs w:val="20"/>
                <w:lang w:eastAsia="en-AU"/>
              </w:rPr>
              <w:t>Redacted</w:t>
            </w:r>
          </w:p>
        </w:tc>
      </w:tr>
      <w:tr w:rsidR="001F3F40" w:rsidRPr="002D111A" w14:paraId="29785DF8" w14:textId="77777777" w:rsidTr="00175863">
        <w:tc>
          <w:tcPr>
            <w:tcW w:w="2081" w:type="pct"/>
            <w:gridSpan w:val="2"/>
            <w:tcBorders>
              <w:right w:val="nil"/>
            </w:tcBorders>
          </w:tcPr>
          <w:p w14:paraId="46AB72CA" w14:textId="77777777" w:rsidR="001F3F40" w:rsidRPr="002D111A" w:rsidRDefault="001F3F40" w:rsidP="00ED5CB7">
            <w:pPr>
              <w:pStyle w:val="TableText"/>
              <w:keepNext/>
              <w:keepLines/>
              <w:rPr>
                <w:b/>
                <w:bCs/>
              </w:rPr>
            </w:pPr>
            <w:r w:rsidRPr="002D111A">
              <w:rPr>
                <w:b/>
                <w:bCs/>
              </w:rPr>
              <w:t xml:space="preserve">Total </w:t>
            </w:r>
            <w:r>
              <w:rPr>
                <w:b/>
                <w:bCs/>
              </w:rPr>
              <w:t xml:space="preserve">implementation </w:t>
            </w:r>
            <w:r w:rsidRPr="002D111A">
              <w:rPr>
                <w:b/>
                <w:bCs/>
              </w:rPr>
              <w:t>cost to NBS</w:t>
            </w:r>
            <w:r>
              <w:rPr>
                <w:b/>
                <w:bCs/>
              </w:rPr>
              <w:t xml:space="preserve"> </w:t>
            </w:r>
          </w:p>
        </w:tc>
        <w:tc>
          <w:tcPr>
            <w:tcW w:w="730" w:type="pct"/>
            <w:tcBorders>
              <w:left w:val="nil"/>
              <w:right w:val="nil"/>
            </w:tcBorders>
          </w:tcPr>
          <w:p w14:paraId="3A5F8181" w14:textId="77777777" w:rsidR="001F3F40" w:rsidRPr="002D111A" w:rsidRDefault="001F3F40" w:rsidP="00ED5CB7">
            <w:pPr>
              <w:pStyle w:val="TableText"/>
              <w:keepNext/>
              <w:keepLines/>
              <w:jc w:val="right"/>
              <w:rPr>
                <w:b/>
                <w:bCs/>
              </w:rPr>
            </w:pPr>
          </w:p>
        </w:tc>
        <w:tc>
          <w:tcPr>
            <w:tcW w:w="730" w:type="pct"/>
            <w:tcBorders>
              <w:left w:val="nil"/>
              <w:right w:val="nil"/>
            </w:tcBorders>
          </w:tcPr>
          <w:p w14:paraId="7CF80EB2" w14:textId="77777777" w:rsidR="001F3F40" w:rsidRPr="002D111A" w:rsidRDefault="001F3F40" w:rsidP="00ED5CB7">
            <w:pPr>
              <w:pStyle w:val="TableText"/>
              <w:keepNext/>
              <w:keepLines/>
              <w:jc w:val="right"/>
              <w:rPr>
                <w:b/>
                <w:bCs/>
              </w:rPr>
            </w:pPr>
          </w:p>
        </w:tc>
        <w:tc>
          <w:tcPr>
            <w:tcW w:w="730" w:type="pct"/>
            <w:tcBorders>
              <w:left w:val="nil"/>
            </w:tcBorders>
          </w:tcPr>
          <w:p w14:paraId="5358C4E3" w14:textId="77777777" w:rsidR="001F3F40" w:rsidRPr="002D111A" w:rsidRDefault="001F3F40" w:rsidP="00ED5CB7">
            <w:pPr>
              <w:pStyle w:val="TableText"/>
              <w:keepNext/>
              <w:keepLines/>
              <w:jc w:val="right"/>
              <w:rPr>
                <w:b/>
                <w:bCs/>
              </w:rPr>
            </w:pPr>
          </w:p>
        </w:tc>
        <w:tc>
          <w:tcPr>
            <w:tcW w:w="729" w:type="pct"/>
          </w:tcPr>
          <w:p w14:paraId="0F862CFB" w14:textId="3688FBF4" w:rsidR="001F3F40" w:rsidRPr="002D111A" w:rsidRDefault="00B12AFD" w:rsidP="00ED5CB7">
            <w:pPr>
              <w:pStyle w:val="TableText"/>
              <w:keepNext/>
              <w:keepLines/>
              <w:jc w:val="right"/>
              <w:rPr>
                <w:b/>
                <w:bCs/>
              </w:rPr>
            </w:pPr>
            <w:r w:rsidRPr="009B60A4">
              <w:rPr>
                <w:rFonts w:eastAsia="Times New Roman" w:cs="Calibri"/>
                <w:color w:val="000000"/>
                <w:szCs w:val="20"/>
                <w:lang w:eastAsia="en-AU"/>
              </w:rPr>
              <w:t>$</w:t>
            </w:r>
            <w:r>
              <w:rPr>
                <w:rFonts w:eastAsia="Times New Roman" w:cs="Calibri"/>
                <w:b/>
                <w:bCs/>
                <w:color w:val="000000"/>
                <w:szCs w:val="20"/>
                <w:lang w:eastAsia="en-AU"/>
              </w:rPr>
              <w:t>Redacted</w:t>
            </w:r>
          </w:p>
        </w:tc>
      </w:tr>
    </w:tbl>
    <w:p w14:paraId="09B9C332" w14:textId="3E21CBF1" w:rsidR="001F3F40" w:rsidRDefault="0030097A" w:rsidP="00ED5CB7">
      <w:pPr>
        <w:pStyle w:val="Tablenotes"/>
        <w:keepNext/>
        <w:keepLines/>
        <w:contextualSpacing w:val="0"/>
      </w:pPr>
      <w:r>
        <w:t xml:space="preserve">GSD II </w:t>
      </w:r>
      <w:r w:rsidR="001F3F40">
        <w:t xml:space="preserve">= </w:t>
      </w:r>
      <w:r>
        <w:rPr>
          <w:rFonts w:eastAsia="Calibri" w:cs="Times New Roman"/>
        </w:rPr>
        <w:t>G</w:t>
      </w:r>
      <w:r w:rsidRPr="00846921">
        <w:rPr>
          <w:rFonts w:eastAsia="Calibri" w:cs="Times New Roman"/>
        </w:rPr>
        <w:t>lycogen storage dis</w:t>
      </w:r>
      <w:r>
        <w:rPr>
          <w:rFonts w:eastAsia="Calibri" w:cs="Times New Roman"/>
        </w:rPr>
        <w:t>ease</w:t>
      </w:r>
      <w:r w:rsidRPr="00846921">
        <w:rPr>
          <w:rFonts w:eastAsia="Calibri" w:cs="Times New Roman"/>
        </w:rPr>
        <w:t xml:space="preserve"> </w:t>
      </w:r>
      <w:r>
        <w:rPr>
          <w:rFonts w:eastAsia="Calibri" w:cs="Times New Roman"/>
        </w:rPr>
        <w:t>T</w:t>
      </w:r>
      <w:r w:rsidRPr="00846921">
        <w:rPr>
          <w:rFonts w:eastAsia="Calibri" w:cs="Times New Roman"/>
        </w:rPr>
        <w:t xml:space="preserve">ype II </w:t>
      </w:r>
      <w:r w:rsidR="001F3F40">
        <w:t>I; NBS = newborn bloodspot screening; NSW = New South Wales; WA = Western Australia</w:t>
      </w:r>
    </w:p>
    <w:p w14:paraId="36820F4F" w14:textId="77D56DD2" w:rsidR="001F3F40" w:rsidRDefault="001F3F40" w:rsidP="00ED5CB7">
      <w:pPr>
        <w:pStyle w:val="Tablenotes"/>
        <w:keepNext/>
        <w:keepLines/>
        <w:contextualSpacing w:val="0"/>
      </w:pPr>
      <w:r>
        <w:t>Source: Assumptions based on expert advice provided by NBS laboratories.</w:t>
      </w:r>
    </w:p>
    <w:p w14:paraId="369221BE" w14:textId="77777777" w:rsidR="001F3F40" w:rsidRDefault="001F3F40" w:rsidP="00ED5CB7">
      <w:pPr>
        <w:pStyle w:val="Tablenotes"/>
        <w:keepNext/>
        <w:keepLines/>
      </w:pPr>
      <w:proofErr w:type="gramStart"/>
      <w:r w:rsidRPr="02E2EE7D">
        <w:rPr>
          <w:vertAlign w:val="superscript"/>
        </w:rPr>
        <w:t>a</w:t>
      </w:r>
      <w:proofErr w:type="gramEnd"/>
      <w:r w:rsidRPr="02E2EE7D">
        <w:rPr>
          <w:vertAlign w:val="superscript"/>
        </w:rPr>
        <w:t xml:space="preserve"> </w:t>
      </w:r>
      <w:r w:rsidRPr="02E2EE7D">
        <w:t xml:space="preserve">Estimates for laboratory expansion were only provided by the WA and QLD NBS laboratory experts. For other NBS programs costs were these were assumed to be </w:t>
      </w:r>
      <w:proofErr w:type="gramStart"/>
      <w:r w:rsidRPr="02E2EE7D">
        <w:t>similar to</w:t>
      </w:r>
      <w:proofErr w:type="gramEnd"/>
      <w:r w:rsidRPr="02E2EE7D">
        <w:t xml:space="preserve"> WA and QLD based on the volume of tests run.</w:t>
      </w:r>
    </w:p>
    <w:p w14:paraId="1F2539E9" w14:textId="6B42AF90" w:rsidR="001F3F40" w:rsidRPr="00EC6B26" w:rsidRDefault="001F3F40" w:rsidP="00ED5CB7">
      <w:pPr>
        <w:pStyle w:val="Tablenotes"/>
        <w:keepNext/>
        <w:keepLines/>
      </w:pPr>
      <w:r w:rsidRPr="02E2EE7D">
        <w:rPr>
          <w:vertAlign w:val="superscript"/>
        </w:rPr>
        <w:t>b</w:t>
      </w:r>
      <w:r w:rsidRPr="02E2EE7D">
        <w:t xml:space="preserve"> </w:t>
      </w:r>
      <w:proofErr w:type="gramStart"/>
      <w:r w:rsidRPr="02E2EE7D">
        <w:t>As</w:t>
      </w:r>
      <w:proofErr w:type="gramEnd"/>
      <w:r w:rsidRPr="02E2EE7D">
        <w:t xml:space="preserve"> per NBS laboratory expert advice validation costs for reagent/kit is generally one-third of the annual cost of reagents for each lab. These were estimated using use and cost of </w:t>
      </w:r>
      <w:proofErr w:type="spellStart"/>
      <w:r w:rsidRPr="02E2EE7D">
        <w:t>GelbChem</w:t>
      </w:r>
      <w:proofErr w:type="spellEnd"/>
      <w:r w:rsidRPr="02E2EE7D">
        <w:t xml:space="preserve"> SKU CS5 kit (</w:t>
      </w:r>
      <w:r w:rsidR="00E025B8" w:rsidRPr="00E025B8">
        <w:rPr>
          <w:b/>
          <w:bCs/>
        </w:rPr>
        <w:t>REDACTED</w:t>
      </w:r>
      <w:r w:rsidR="00B12AFD">
        <w:rPr>
          <w:b/>
          <w:bCs/>
        </w:rPr>
        <w:t xml:space="preserve"> </w:t>
      </w:r>
      <w:r w:rsidRPr="02E2EE7D">
        <w:t>per kit for 100 assays) and projected live births for each state/territory ending June 2026 based on ABS population projections and registered births data. Staff costs associated with validation process were only provided by QLD NBS laboratory. Based on this information it was assumed that at least two months of staff-time would be required for a validation process</w:t>
      </w:r>
    </w:p>
    <w:p w14:paraId="722B68D9" w14:textId="77777777" w:rsidR="001F3F40" w:rsidRPr="00492AB6" w:rsidRDefault="001F3F40" w:rsidP="00C4724C">
      <w:pPr>
        <w:rPr>
          <w:u w:val="single"/>
        </w:rPr>
      </w:pPr>
      <w:r w:rsidRPr="00492AB6">
        <w:rPr>
          <w:u w:val="single"/>
        </w:rPr>
        <w:t>Cost to NBS program</w:t>
      </w:r>
      <w:r>
        <w:rPr>
          <w:u w:val="single"/>
        </w:rPr>
        <w:t>s</w:t>
      </w:r>
    </w:p>
    <w:p w14:paraId="0662386F" w14:textId="2567C7CB" w:rsidR="001F3F40" w:rsidRDefault="001F3F40" w:rsidP="00C4724C">
      <w:r w:rsidRPr="02E2EE7D">
        <w:t xml:space="preserve">The financial implications to the NBS programs resulting from the proposed inclusion of GSD II on the NBS panel were summarised in </w:t>
      </w:r>
      <w:r w:rsidR="00707D22">
        <w:t>Table 14</w:t>
      </w:r>
      <w:r w:rsidRPr="02E2EE7D">
        <w:t>. The total cost to NBS programs for the addition of GSD II was $</w:t>
      </w:r>
      <w:r w:rsidR="00E025B8" w:rsidRPr="00E025B8">
        <w:rPr>
          <w:b/>
          <w:bCs/>
        </w:rPr>
        <w:t>REDACTED</w:t>
      </w:r>
      <w:r w:rsidRPr="02E2EE7D">
        <w:t xml:space="preserve"> in the first financial year including one-off implementation set-up costs. The total cost to NBS programs for years 2–6 was approximately $</w:t>
      </w:r>
      <w:r w:rsidR="00E025B8" w:rsidRPr="00E025B8">
        <w:rPr>
          <w:b/>
          <w:bCs/>
        </w:rPr>
        <w:t>REDACTED</w:t>
      </w:r>
      <w:r w:rsidRPr="02E2EE7D">
        <w:t xml:space="preserve"> annually.</w:t>
      </w:r>
    </w:p>
    <w:p w14:paraId="011BA783" w14:textId="3C6C9725" w:rsidR="001F3F40" w:rsidRDefault="001F3F40" w:rsidP="00C4724C">
      <w:pPr>
        <w:pStyle w:val="Caption"/>
      </w:pPr>
      <w:bookmarkStart w:id="62" w:name="_Ref172147674"/>
      <w:r>
        <w:t>Table</w:t>
      </w:r>
      <w:r w:rsidR="00B82A76">
        <w:t xml:space="preserve"> </w:t>
      </w:r>
      <w:r w:rsidR="00707D22">
        <w:t>14</w:t>
      </w:r>
      <w:bookmarkEnd w:id="62"/>
      <w:r>
        <w:tab/>
        <w:t>F</w:t>
      </w:r>
      <w:r w:rsidRPr="00596A6B">
        <w:t xml:space="preserve">inancial impact to </w:t>
      </w:r>
      <w:r w:rsidRPr="00596A6B" w:rsidDel="00834FAE">
        <w:t xml:space="preserve">the </w:t>
      </w:r>
      <w:r w:rsidRPr="00596A6B">
        <w:t>Newborn Bloodspot Screening Program</w:t>
      </w:r>
      <w:r w:rsidRPr="00BE703E">
        <w:t xml:space="preserve"> </w:t>
      </w:r>
      <w:r>
        <w:t>of adding</w:t>
      </w:r>
      <w:r w:rsidRPr="00BE703E">
        <w:t xml:space="preserve"> </w:t>
      </w:r>
      <w:r w:rsidR="0030097A">
        <w:t>GSD</w:t>
      </w:r>
      <w:r w:rsidR="0030097A" w:rsidRPr="00BE703E">
        <w:t xml:space="preserve"> </w:t>
      </w:r>
      <w:r w:rsidR="0030097A">
        <w:t>I</w:t>
      </w:r>
      <w:r w:rsidRPr="00BE703E">
        <w:t>I</w:t>
      </w:r>
    </w:p>
    <w:tbl>
      <w:tblPr>
        <w:tblStyle w:val="TableGrid"/>
        <w:tblW w:w="0" w:type="auto"/>
        <w:tblLook w:val="04A0" w:firstRow="1" w:lastRow="0" w:firstColumn="1" w:lastColumn="0" w:noHBand="0" w:noVBand="1"/>
        <w:tblCaption w:val="Extent of use and cost of first-tier NBS for MPS I"/>
        <w:tblDescription w:val="Extent of use and cost of first-tier NBS for MPS I"/>
      </w:tblPr>
      <w:tblGrid>
        <w:gridCol w:w="3195"/>
        <w:gridCol w:w="1046"/>
        <w:gridCol w:w="955"/>
        <w:gridCol w:w="955"/>
        <w:gridCol w:w="955"/>
        <w:gridCol w:w="955"/>
        <w:gridCol w:w="955"/>
      </w:tblGrid>
      <w:tr w:rsidR="00E4153F" w:rsidRPr="009A290A" w14:paraId="66D8E992" w14:textId="77777777" w:rsidTr="007229D6">
        <w:trPr>
          <w:tblHeader/>
        </w:trPr>
        <w:tc>
          <w:tcPr>
            <w:tcW w:w="0" w:type="auto"/>
          </w:tcPr>
          <w:p w14:paraId="1CF5EE03" w14:textId="77777777" w:rsidR="001F3F40" w:rsidRPr="009A290A" w:rsidRDefault="001F3F40" w:rsidP="00EC15A4">
            <w:pPr>
              <w:pStyle w:val="In-tableHeading"/>
            </w:pPr>
          </w:p>
        </w:tc>
        <w:tc>
          <w:tcPr>
            <w:tcW w:w="0" w:type="auto"/>
          </w:tcPr>
          <w:p w14:paraId="21B89D05" w14:textId="77777777" w:rsidR="001F3F40" w:rsidRPr="009A290A" w:rsidRDefault="001F3F40" w:rsidP="00EC15A4">
            <w:pPr>
              <w:pStyle w:val="In-tableHeading"/>
              <w:jc w:val="right"/>
            </w:pPr>
            <w:r w:rsidRPr="00292342">
              <w:t>2025−26</w:t>
            </w:r>
          </w:p>
        </w:tc>
        <w:tc>
          <w:tcPr>
            <w:tcW w:w="0" w:type="auto"/>
          </w:tcPr>
          <w:p w14:paraId="426C8313" w14:textId="77777777" w:rsidR="001F3F40" w:rsidRPr="009A290A" w:rsidRDefault="001F3F40" w:rsidP="00EC15A4">
            <w:pPr>
              <w:pStyle w:val="In-tableHeading"/>
              <w:jc w:val="right"/>
            </w:pPr>
            <w:r w:rsidRPr="00292342">
              <w:t>2026−27</w:t>
            </w:r>
          </w:p>
        </w:tc>
        <w:tc>
          <w:tcPr>
            <w:tcW w:w="0" w:type="auto"/>
          </w:tcPr>
          <w:p w14:paraId="57ED3F36" w14:textId="77777777" w:rsidR="001F3F40" w:rsidRPr="009A290A" w:rsidRDefault="001F3F40" w:rsidP="00EC15A4">
            <w:pPr>
              <w:pStyle w:val="In-tableHeading"/>
              <w:jc w:val="right"/>
            </w:pPr>
            <w:r w:rsidRPr="00292342">
              <w:t>2027−28</w:t>
            </w:r>
          </w:p>
        </w:tc>
        <w:tc>
          <w:tcPr>
            <w:tcW w:w="0" w:type="auto"/>
          </w:tcPr>
          <w:p w14:paraId="439EF1E7" w14:textId="77777777" w:rsidR="001F3F40" w:rsidRPr="009A290A" w:rsidRDefault="001F3F40" w:rsidP="00EC15A4">
            <w:pPr>
              <w:pStyle w:val="In-tableHeading"/>
              <w:jc w:val="right"/>
            </w:pPr>
            <w:r w:rsidRPr="00292342">
              <w:t>2028−29</w:t>
            </w:r>
          </w:p>
        </w:tc>
        <w:tc>
          <w:tcPr>
            <w:tcW w:w="0" w:type="auto"/>
          </w:tcPr>
          <w:p w14:paraId="43B30B5A" w14:textId="77777777" w:rsidR="001F3F40" w:rsidRPr="009A290A" w:rsidRDefault="001F3F40" w:rsidP="00EC15A4">
            <w:pPr>
              <w:pStyle w:val="In-tableHeading"/>
              <w:jc w:val="right"/>
            </w:pPr>
            <w:r w:rsidRPr="00292342">
              <w:t>2029−30</w:t>
            </w:r>
          </w:p>
        </w:tc>
        <w:tc>
          <w:tcPr>
            <w:tcW w:w="0" w:type="auto"/>
          </w:tcPr>
          <w:p w14:paraId="46C74CC5" w14:textId="77777777" w:rsidR="001F3F40" w:rsidRPr="009A290A" w:rsidRDefault="001F3F40" w:rsidP="00EC15A4">
            <w:pPr>
              <w:pStyle w:val="In-tableHeading"/>
              <w:jc w:val="right"/>
            </w:pPr>
            <w:r w:rsidRPr="00292342">
              <w:t>2030−31</w:t>
            </w:r>
          </w:p>
        </w:tc>
      </w:tr>
      <w:tr w:rsidR="00E4153F" w:rsidRPr="003567B9" w14:paraId="096AFCF3" w14:textId="77777777" w:rsidTr="007229D6">
        <w:tc>
          <w:tcPr>
            <w:tcW w:w="0" w:type="auto"/>
          </w:tcPr>
          <w:p w14:paraId="2A85753C" w14:textId="77777777" w:rsidR="001F3F40" w:rsidRPr="003567B9" w:rsidRDefault="001F3F40" w:rsidP="00EC15A4">
            <w:pPr>
              <w:pStyle w:val="In-tableHeading"/>
              <w:keepNext w:val="0"/>
              <w:rPr>
                <w:b w:val="0"/>
                <w:bCs/>
              </w:rPr>
            </w:pPr>
            <w:r w:rsidRPr="003567B9">
              <w:rPr>
                <w:b w:val="0"/>
                <w:bCs/>
              </w:rPr>
              <w:t xml:space="preserve">Program implementation set-up costs for </w:t>
            </w:r>
            <w:r>
              <w:rPr>
                <w:b w:val="0"/>
                <w:bCs/>
              </w:rPr>
              <w:t>GSD II</w:t>
            </w:r>
          </w:p>
        </w:tc>
        <w:tc>
          <w:tcPr>
            <w:tcW w:w="0" w:type="auto"/>
          </w:tcPr>
          <w:p w14:paraId="5CEF478D" w14:textId="607FBAD4" w:rsidR="001F3F40" w:rsidRPr="003567B9" w:rsidRDefault="001F3F40" w:rsidP="00350FBE">
            <w:pPr>
              <w:spacing w:before="0"/>
              <w:jc w:val="right"/>
              <w:rPr>
                <w:bCs/>
              </w:rPr>
            </w:pPr>
            <w:r>
              <w:rPr>
                <w:rFonts w:ascii="Arial Narrow" w:hAnsi="Arial Narrow"/>
                <w:color w:val="000000"/>
                <w:sz w:val="20"/>
                <w:szCs w:val="20"/>
              </w:rPr>
              <w:t>$</w:t>
            </w:r>
            <w:r w:rsidR="00E4153F">
              <w:rPr>
                <w:rFonts w:ascii="Arial Narrow" w:hAnsi="Arial Narrow"/>
                <w:b/>
                <w:bCs/>
                <w:color w:val="000000"/>
                <w:sz w:val="20"/>
                <w:szCs w:val="20"/>
              </w:rPr>
              <w:t>Redacted</w:t>
            </w:r>
          </w:p>
        </w:tc>
        <w:tc>
          <w:tcPr>
            <w:tcW w:w="0" w:type="auto"/>
          </w:tcPr>
          <w:p w14:paraId="6298D45F" w14:textId="77777777" w:rsidR="001F3F40" w:rsidRPr="003567B9" w:rsidRDefault="001F3F40" w:rsidP="00EC15A4">
            <w:pPr>
              <w:pStyle w:val="In-tableHeading"/>
              <w:keepNext w:val="0"/>
              <w:jc w:val="right"/>
              <w:rPr>
                <w:b w:val="0"/>
                <w:bCs/>
              </w:rPr>
            </w:pPr>
            <w:r>
              <w:rPr>
                <w:b w:val="0"/>
                <w:bCs/>
              </w:rPr>
              <w:t>–</w:t>
            </w:r>
          </w:p>
        </w:tc>
        <w:tc>
          <w:tcPr>
            <w:tcW w:w="0" w:type="auto"/>
          </w:tcPr>
          <w:p w14:paraId="1C182CC9" w14:textId="77777777" w:rsidR="001F3F40" w:rsidRPr="003567B9" w:rsidRDefault="001F3F40" w:rsidP="00EC15A4">
            <w:pPr>
              <w:pStyle w:val="In-tableHeading"/>
              <w:keepNext w:val="0"/>
              <w:jc w:val="right"/>
              <w:rPr>
                <w:b w:val="0"/>
                <w:bCs/>
              </w:rPr>
            </w:pPr>
            <w:r w:rsidRPr="003567B9">
              <w:rPr>
                <w:b w:val="0"/>
                <w:bCs/>
              </w:rPr>
              <w:t>–</w:t>
            </w:r>
          </w:p>
        </w:tc>
        <w:tc>
          <w:tcPr>
            <w:tcW w:w="0" w:type="auto"/>
          </w:tcPr>
          <w:p w14:paraId="667AE08D" w14:textId="77777777" w:rsidR="001F3F40" w:rsidRPr="003567B9" w:rsidRDefault="001F3F40" w:rsidP="00EC15A4">
            <w:pPr>
              <w:pStyle w:val="In-tableHeading"/>
              <w:keepNext w:val="0"/>
              <w:jc w:val="right"/>
              <w:rPr>
                <w:b w:val="0"/>
                <w:bCs/>
              </w:rPr>
            </w:pPr>
            <w:r w:rsidRPr="003567B9">
              <w:rPr>
                <w:b w:val="0"/>
                <w:bCs/>
              </w:rPr>
              <w:t>–</w:t>
            </w:r>
          </w:p>
        </w:tc>
        <w:tc>
          <w:tcPr>
            <w:tcW w:w="0" w:type="auto"/>
          </w:tcPr>
          <w:p w14:paraId="130570A5" w14:textId="77777777" w:rsidR="001F3F40" w:rsidRPr="003567B9" w:rsidRDefault="001F3F40" w:rsidP="00EC15A4">
            <w:pPr>
              <w:pStyle w:val="In-tableHeading"/>
              <w:keepNext w:val="0"/>
              <w:jc w:val="right"/>
              <w:rPr>
                <w:b w:val="0"/>
                <w:bCs/>
              </w:rPr>
            </w:pPr>
            <w:r w:rsidRPr="003567B9">
              <w:rPr>
                <w:b w:val="0"/>
                <w:bCs/>
              </w:rPr>
              <w:t>–</w:t>
            </w:r>
          </w:p>
        </w:tc>
        <w:tc>
          <w:tcPr>
            <w:tcW w:w="0" w:type="auto"/>
          </w:tcPr>
          <w:p w14:paraId="52BF213D" w14:textId="77777777" w:rsidR="001F3F40" w:rsidRPr="003567B9" w:rsidRDefault="001F3F40" w:rsidP="00EC15A4">
            <w:pPr>
              <w:pStyle w:val="In-tableHeading"/>
              <w:keepNext w:val="0"/>
              <w:jc w:val="right"/>
              <w:rPr>
                <w:b w:val="0"/>
                <w:bCs/>
              </w:rPr>
            </w:pPr>
            <w:r w:rsidRPr="003567B9">
              <w:rPr>
                <w:b w:val="0"/>
                <w:bCs/>
              </w:rPr>
              <w:t>–</w:t>
            </w:r>
          </w:p>
        </w:tc>
      </w:tr>
      <w:tr w:rsidR="00E4153F" w:rsidRPr="009A290A" w14:paraId="5A89F62B" w14:textId="77777777" w:rsidTr="007229D6">
        <w:tc>
          <w:tcPr>
            <w:tcW w:w="0" w:type="auto"/>
          </w:tcPr>
          <w:p w14:paraId="6876BD4F" w14:textId="77777777" w:rsidR="001F3F40" w:rsidRPr="009A290A" w:rsidRDefault="001F3F40" w:rsidP="00EC15A4">
            <w:pPr>
              <w:pStyle w:val="TableText"/>
            </w:pPr>
            <w:r w:rsidRPr="009A290A">
              <w:t>N</w:t>
            </w:r>
            <w:r>
              <w:t xml:space="preserve">umber of live births </w:t>
            </w:r>
            <w:r w:rsidRPr="004D0D6E">
              <w:rPr>
                <w:vertAlign w:val="superscript"/>
              </w:rPr>
              <w:t>a</w:t>
            </w:r>
          </w:p>
        </w:tc>
        <w:tc>
          <w:tcPr>
            <w:tcW w:w="0" w:type="auto"/>
          </w:tcPr>
          <w:p w14:paraId="2E496108" w14:textId="77777777" w:rsidR="001F3F40" w:rsidRPr="009A290A" w:rsidRDefault="001F3F40" w:rsidP="00EC15A4">
            <w:pPr>
              <w:pStyle w:val="TableText"/>
              <w:jc w:val="right"/>
            </w:pPr>
            <w:r w:rsidRPr="00292342">
              <w:t>306,803</w:t>
            </w:r>
          </w:p>
        </w:tc>
        <w:tc>
          <w:tcPr>
            <w:tcW w:w="0" w:type="auto"/>
          </w:tcPr>
          <w:p w14:paraId="501C47DF" w14:textId="77777777" w:rsidR="001F3F40" w:rsidRPr="009A290A" w:rsidRDefault="001F3F40" w:rsidP="00EC15A4">
            <w:pPr>
              <w:pStyle w:val="TableText"/>
              <w:jc w:val="right"/>
            </w:pPr>
            <w:r w:rsidRPr="00292342">
              <w:t>306,959</w:t>
            </w:r>
          </w:p>
        </w:tc>
        <w:tc>
          <w:tcPr>
            <w:tcW w:w="0" w:type="auto"/>
          </w:tcPr>
          <w:p w14:paraId="67FE194A" w14:textId="77777777" w:rsidR="001F3F40" w:rsidRPr="009A290A" w:rsidRDefault="001F3F40" w:rsidP="00EC15A4">
            <w:pPr>
              <w:pStyle w:val="TableText"/>
              <w:jc w:val="right"/>
            </w:pPr>
            <w:r w:rsidRPr="00292342">
              <w:t>307,115</w:t>
            </w:r>
          </w:p>
        </w:tc>
        <w:tc>
          <w:tcPr>
            <w:tcW w:w="0" w:type="auto"/>
          </w:tcPr>
          <w:p w14:paraId="1A1D1F93" w14:textId="77777777" w:rsidR="001F3F40" w:rsidRPr="009A290A" w:rsidRDefault="001F3F40" w:rsidP="00EC15A4">
            <w:pPr>
              <w:pStyle w:val="TableText"/>
              <w:jc w:val="right"/>
            </w:pPr>
            <w:r w:rsidRPr="00292342">
              <w:t>307,271</w:t>
            </w:r>
          </w:p>
        </w:tc>
        <w:tc>
          <w:tcPr>
            <w:tcW w:w="0" w:type="auto"/>
          </w:tcPr>
          <w:p w14:paraId="6A510F42" w14:textId="77777777" w:rsidR="001F3F40" w:rsidRPr="009A290A" w:rsidRDefault="001F3F40" w:rsidP="00EC15A4">
            <w:pPr>
              <w:pStyle w:val="TableText"/>
              <w:jc w:val="right"/>
            </w:pPr>
            <w:r w:rsidRPr="00292342">
              <w:t>307,427</w:t>
            </w:r>
          </w:p>
        </w:tc>
        <w:tc>
          <w:tcPr>
            <w:tcW w:w="0" w:type="auto"/>
          </w:tcPr>
          <w:p w14:paraId="42C35468" w14:textId="77777777" w:rsidR="001F3F40" w:rsidRPr="009A290A" w:rsidRDefault="001F3F40" w:rsidP="00EC15A4">
            <w:pPr>
              <w:pStyle w:val="TableText"/>
              <w:jc w:val="right"/>
            </w:pPr>
            <w:r w:rsidRPr="00292342">
              <w:t>307,583</w:t>
            </w:r>
          </w:p>
        </w:tc>
      </w:tr>
      <w:tr w:rsidR="00E4153F" w:rsidRPr="009A290A" w14:paraId="3C5EEB74" w14:textId="77777777" w:rsidTr="007229D6">
        <w:tc>
          <w:tcPr>
            <w:tcW w:w="0" w:type="auto"/>
          </w:tcPr>
          <w:p w14:paraId="79B5A809" w14:textId="77777777" w:rsidR="001F3F40" w:rsidRPr="009A290A" w:rsidRDefault="001F3F40" w:rsidP="00EC15A4">
            <w:pPr>
              <w:pStyle w:val="TableText"/>
            </w:pPr>
            <w:r w:rsidRPr="00617592">
              <w:t>Number of babies who uptake NBS (99.3%)</w:t>
            </w:r>
          </w:p>
        </w:tc>
        <w:tc>
          <w:tcPr>
            <w:tcW w:w="0" w:type="auto"/>
          </w:tcPr>
          <w:p w14:paraId="48FC47FF" w14:textId="77777777" w:rsidR="001F3F40" w:rsidRPr="009A290A" w:rsidRDefault="001F3F40" w:rsidP="00EC15A4">
            <w:pPr>
              <w:pStyle w:val="TableText"/>
              <w:jc w:val="right"/>
            </w:pPr>
            <w:r w:rsidRPr="003416DA">
              <w:t>304,655</w:t>
            </w:r>
          </w:p>
        </w:tc>
        <w:tc>
          <w:tcPr>
            <w:tcW w:w="0" w:type="auto"/>
          </w:tcPr>
          <w:p w14:paraId="1162DCAE" w14:textId="77777777" w:rsidR="001F3F40" w:rsidRPr="009A290A" w:rsidRDefault="001F3F40" w:rsidP="00EC15A4">
            <w:pPr>
              <w:pStyle w:val="TableText"/>
              <w:jc w:val="right"/>
            </w:pPr>
            <w:r w:rsidRPr="003416DA">
              <w:t>304,810</w:t>
            </w:r>
          </w:p>
        </w:tc>
        <w:tc>
          <w:tcPr>
            <w:tcW w:w="0" w:type="auto"/>
          </w:tcPr>
          <w:p w14:paraId="18B8A6ED" w14:textId="77777777" w:rsidR="001F3F40" w:rsidRPr="009A290A" w:rsidRDefault="001F3F40" w:rsidP="00EC15A4">
            <w:pPr>
              <w:pStyle w:val="TableText"/>
              <w:jc w:val="right"/>
            </w:pPr>
            <w:r w:rsidRPr="003416DA">
              <w:t>304,965</w:t>
            </w:r>
          </w:p>
        </w:tc>
        <w:tc>
          <w:tcPr>
            <w:tcW w:w="0" w:type="auto"/>
          </w:tcPr>
          <w:p w14:paraId="7EE88FE9" w14:textId="77777777" w:rsidR="001F3F40" w:rsidRPr="009A290A" w:rsidRDefault="001F3F40" w:rsidP="00EC15A4">
            <w:pPr>
              <w:pStyle w:val="TableText"/>
              <w:jc w:val="right"/>
            </w:pPr>
            <w:r w:rsidRPr="003416DA">
              <w:t>305,120</w:t>
            </w:r>
          </w:p>
        </w:tc>
        <w:tc>
          <w:tcPr>
            <w:tcW w:w="0" w:type="auto"/>
          </w:tcPr>
          <w:p w14:paraId="3AE5D83A" w14:textId="77777777" w:rsidR="001F3F40" w:rsidRPr="009A290A" w:rsidRDefault="001F3F40" w:rsidP="00EC15A4">
            <w:pPr>
              <w:pStyle w:val="TableText"/>
              <w:jc w:val="right"/>
            </w:pPr>
            <w:r w:rsidRPr="003416DA">
              <w:t>305,275</w:t>
            </w:r>
          </w:p>
        </w:tc>
        <w:tc>
          <w:tcPr>
            <w:tcW w:w="0" w:type="auto"/>
          </w:tcPr>
          <w:p w14:paraId="1EA50935" w14:textId="77777777" w:rsidR="001F3F40" w:rsidRPr="009A290A" w:rsidRDefault="001F3F40" w:rsidP="00EC15A4">
            <w:pPr>
              <w:pStyle w:val="TableText"/>
              <w:jc w:val="right"/>
            </w:pPr>
            <w:r w:rsidRPr="003416DA">
              <w:t>305,430</w:t>
            </w:r>
          </w:p>
        </w:tc>
      </w:tr>
      <w:tr w:rsidR="00E4153F" w:rsidRPr="009A290A" w14:paraId="124D3062" w14:textId="77777777" w:rsidTr="007229D6">
        <w:tc>
          <w:tcPr>
            <w:tcW w:w="0" w:type="auto"/>
          </w:tcPr>
          <w:p w14:paraId="207B99A2" w14:textId="77777777" w:rsidR="001F3F40" w:rsidRPr="00D2511D" w:rsidRDefault="001F3F40" w:rsidP="00EC15A4">
            <w:pPr>
              <w:pStyle w:val="TableText"/>
            </w:pPr>
            <w:r w:rsidRPr="00617592">
              <w:t xml:space="preserve">Total number of first-tier tests (including </w:t>
            </w:r>
            <w:r>
              <w:t xml:space="preserve">2% </w:t>
            </w:r>
            <w:r w:rsidRPr="00617592">
              <w:t>re</w:t>
            </w:r>
            <w:r>
              <w:t>-assays</w:t>
            </w:r>
            <w:r w:rsidRPr="00617592">
              <w:t>)</w:t>
            </w:r>
          </w:p>
        </w:tc>
        <w:tc>
          <w:tcPr>
            <w:tcW w:w="0" w:type="auto"/>
          </w:tcPr>
          <w:p w14:paraId="40C1A32F" w14:textId="77777777" w:rsidR="001F3F40" w:rsidRPr="0021607B" w:rsidRDefault="001F3F40" w:rsidP="00EC15A4">
            <w:pPr>
              <w:pStyle w:val="TableText"/>
              <w:jc w:val="right"/>
            </w:pPr>
            <w:r w:rsidRPr="003416DA">
              <w:t>310,748</w:t>
            </w:r>
          </w:p>
        </w:tc>
        <w:tc>
          <w:tcPr>
            <w:tcW w:w="0" w:type="auto"/>
          </w:tcPr>
          <w:p w14:paraId="5F9E18EA" w14:textId="77777777" w:rsidR="001F3F40" w:rsidRPr="0021607B" w:rsidRDefault="001F3F40" w:rsidP="00EC15A4">
            <w:pPr>
              <w:pStyle w:val="TableText"/>
              <w:jc w:val="right"/>
            </w:pPr>
            <w:r w:rsidRPr="003416DA">
              <w:t>310,907</w:t>
            </w:r>
          </w:p>
        </w:tc>
        <w:tc>
          <w:tcPr>
            <w:tcW w:w="0" w:type="auto"/>
          </w:tcPr>
          <w:p w14:paraId="4F2EB6DA" w14:textId="77777777" w:rsidR="001F3F40" w:rsidRPr="0021607B" w:rsidRDefault="001F3F40" w:rsidP="00EC15A4">
            <w:pPr>
              <w:pStyle w:val="TableText"/>
              <w:jc w:val="right"/>
            </w:pPr>
            <w:r w:rsidRPr="003416DA">
              <w:t>311,065</w:t>
            </w:r>
          </w:p>
        </w:tc>
        <w:tc>
          <w:tcPr>
            <w:tcW w:w="0" w:type="auto"/>
          </w:tcPr>
          <w:p w14:paraId="4E29ADF9" w14:textId="77777777" w:rsidR="001F3F40" w:rsidRPr="0021607B" w:rsidRDefault="001F3F40" w:rsidP="00EC15A4">
            <w:pPr>
              <w:pStyle w:val="TableText"/>
              <w:jc w:val="right"/>
            </w:pPr>
            <w:r w:rsidRPr="003416DA">
              <w:t>311,223</w:t>
            </w:r>
          </w:p>
        </w:tc>
        <w:tc>
          <w:tcPr>
            <w:tcW w:w="0" w:type="auto"/>
          </w:tcPr>
          <w:p w14:paraId="30040F10" w14:textId="77777777" w:rsidR="001F3F40" w:rsidRPr="0021607B" w:rsidRDefault="001F3F40" w:rsidP="00EC15A4">
            <w:pPr>
              <w:pStyle w:val="TableText"/>
              <w:jc w:val="right"/>
            </w:pPr>
            <w:r w:rsidRPr="003416DA">
              <w:t>311,381</w:t>
            </w:r>
          </w:p>
        </w:tc>
        <w:tc>
          <w:tcPr>
            <w:tcW w:w="0" w:type="auto"/>
          </w:tcPr>
          <w:p w14:paraId="26C297FB" w14:textId="77777777" w:rsidR="001F3F40" w:rsidRPr="0021607B" w:rsidRDefault="001F3F40" w:rsidP="00EC15A4">
            <w:pPr>
              <w:pStyle w:val="TableText"/>
              <w:jc w:val="right"/>
            </w:pPr>
            <w:r w:rsidRPr="003416DA">
              <w:t>311,539</w:t>
            </w:r>
          </w:p>
        </w:tc>
      </w:tr>
      <w:tr w:rsidR="00E4153F" w:rsidRPr="00E66C21" w14:paraId="31075EF9" w14:textId="77777777" w:rsidTr="007229D6">
        <w:tc>
          <w:tcPr>
            <w:tcW w:w="0" w:type="auto"/>
          </w:tcPr>
          <w:p w14:paraId="3645DBEB" w14:textId="1B17C686" w:rsidR="00E4153F" w:rsidRPr="00E66C21" w:rsidRDefault="00E4153F" w:rsidP="00E4153F">
            <w:pPr>
              <w:pStyle w:val="TableText"/>
              <w:rPr>
                <w:bCs/>
              </w:rPr>
            </w:pPr>
            <w:r w:rsidRPr="00E66C21">
              <w:rPr>
                <w:bCs/>
              </w:rPr>
              <w:t>Cost of first-tier screening ($</w:t>
            </w:r>
            <w:r>
              <w:rPr>
                <w:b/>
                <w:bCs/>
                <w:color w:val="000000"/>
                <w:szCs w:val="20"/>
              </w:rPr>
              <w:t>Redacted</w:t>
            </w:r>
            <w:r w:rsidRPr="00E66C21">
              <w:rPr>
                <w:bCs/>
              </w:rPr>
              <w:t xml:space="preserve"> per sample screened)</w:t>
            </w:r>
            <w:r>
              <w:rPr>
                <w:bCs/>
              </w:rPr>
              <w:t xml:space="preserve"> </w:t>
            </w:r>
            <w:r w:rsidR="00A557B4">
              <w:rPr>
                <w:bCs/>
              </w:rPr>
              <w:t>(</w:t>
            </w:r>
            <w:r>
              <w:rPr>
                <w:bCs/>
              </w:rPr>
              <w:t>$</w:t>
            </w:r>
            <w:r w:rsidR="00A557B4">
              <w:rPr>
                <w:bCs/>
              </w:rPr>
              <w:t>)</w:t>
            </w:r>
          </w:p>
        </w:tc>
        <w:tc>
          <w:tcPr>
            <w:tcW w:w="0" w:type="auto"/>
          </w:tcPr>
          <w:p w14:paraId="3112A8AE" w14:textId="60F668EF" w:rsidR="00E4153F" w:rsidRPr="00E66C21" w:rsidRDefault="00E4153F" w:rsidP="00E4153F">
            <w:pPr>
              <w:pStyle w:val="TableText"/>
              <w:jc w:val="right"/>
              <w:rPr>
                <w:bCs/>
              </w:rPr>
            </w:pPr>
            <w:r w:rsidRPr="00CE29CA">
              <w:rPr>
                <w:b/>
                <w:bCs/>
                <w:color w:val="000000"/>
                <w:szCs w:val="20"/>
              </w:rPr>
              <w:t>Redacted</w:t>
            </w:r>
          </w:p>
        </w:tc>
        <w:tc>
          <w:tcPr>
            <w:tcW w:w="0" w:type="auto"/>
          </w:tcPr>
          <w:p w14:paraId="33DDDAAD" w14:textId="5E999884" w:rsidR="00E4153F" w:rsidRPr="00E66C21" w:rsidRDefault="00E4153F" w:rsidP="00E4153F">
            <w:pPr>
              <w:pStyle w:val="TableText"/>
              <w:jc w:val="right"/>
              <w:rPr>
                <w:bCs/>
              </w:rPr>
            </w:pPr>
            <w:r w:rsidRPr="00CE29CA">
              <w:rPr>
                <w:b/>
                <w:bCs/>
                <w:color w:val="000000"/>
                <w:szCs w:val="20"/>
              </w:rPr>
              <w:t>Redacted</w:t>
            </w:r>
          </w:p>
        </w:tc>
        <w:tc>
          <w:tcPr>
            <w:tcW w:w="0" w:type="auto"/>
          </w:tcPr>
          <w:p w14:paraId="611AF2EA" w14:textId="63FDD86C" w:rsidR="00E4153F" w:rsidRPr="00E66C21" w:rsidRDefault="00E4153F" w:rsidP="00E4153F">
            <w:pPr>
              <w:pStyle w:val="TableText"/>
              <w:jc w:val="right"/>
              <w:rPr>
                <w:bCs/>
              </w:rPr>
            </w:pPr>
            <w:r w:rsidRPr="00CE29CA">
              <w:rPr>
                <w:b/>
                <w:bCs/>
                <w:color w:val="000000"/>
                <w:szCs w:val="20"/>
              </w:rPr>
              <w:t>Redacted</w:t>
            </w:r>
          </w:p>
        </w:tc>
        <w:tc>
          <w:tcPr>
            <w:tcW w:w="0" w:type="auto"/>
          </w:tcPr>
          <w:p w14:paraId="61E5F391" w14:textId="59000D52" w:rsidR="00E4153F" w:rsidRPr="00E66C21" w:rsidRDefault="00E4153F" w:rsidP="00E4153F">
            <w:pPr>
              <w:pStyle w:val="TableText"/>
              <w:jc w:val="right"/>
              <w:rPr>
                <w:bCs/>
              </w:rPr>
            </w:pPr>
            <w:r w:rsidRPr="00CE29CA">
              <w:rPr>
                <w:b/>
                <w:bCs/>
                <w:color w:val="000000"/>
                <w:szCs w:val="20"/>
              </w:rPr>
              <w:t>Redacted</w:t>
            </w:r>
          </w:p>
        </w:tc>
        <w:tc>
          <w:tcPr>
            <w:tcW w:w="0" w:type="auto"/>
          </w:tcPr>
          <w:p w14:paraId="4DBDE57B" w14:textId="4D273222" w:rsidR="00E4153F" w:rsidRPr="00E66C21" w:rsidRDefault="00E4153F" w:rsidP="00E4153F">
            <w:pPr>
              <w:pStyle w:val="TableText"/>
              <w:jc w:val="right"/>
              <w:rPr>
                <w:bCs/>
              </w:rPr>
            </w:pPr>
            <w:r w:rsidRPr="00CE29CA">
              <w:rPr>
                <w:b/>
                <w:bCs/>
                <w:color w:val="000000"/>
                <w:szCs w:val="20"/>
              </w:rPr>
              <w:t>Redacted</w:t>
            </w:r>
          </w:p>
        </w:tc>
        <w:tc>
          <w:tcPr>
            <w:tcW w:w="0" w:type="auto"/>
          </w:tcPr>
          <w:p w14:paraId="0919776E" w14:textId="6C355578" w:rsidR="00E4153F" w:rsidRPr="00E66C21" w:rsidRDefault="00E4153F" w:rsidP="00E4153F">
            <w:pPr>
              <w:pStyle w:val="TableText"/>
              <w:jc w:val="right"/>
              <w:rPr>
                <w:bCs/>
              </w:rPr>
            </w:pPr>
            <w:r w:rsidRPr="00CE29CA">
              <w:rPr>
                <w:b/>
                <w:bCs/>
                <w:color w:val="000000"/>
                <w:szCs w:val="20"/>
              </w:rPr>
              <w:t>Redacted</w:t>
            </w:r>
          </w:p>
        </w:tc>
      </w:tr>
      <w:tr w:rsidR="00E4153F" w:rsidRPr="00E66C21" w14:paraId="79D02413" w14:textId="77777777" w:rsidTr="007229D6">
        <w:tc>
          <w:tcPr>
            <w:tcW w:w="0" w:type="auto"/>
          </w:tcPr>
          <w:p w14:paraId="02D35026" w14:textId="77777777" w:rsidR="001F3F40" w:rsidRPr="00E66C21" w:rsidRDefault="001F3F40" w:rsidP="00083194">
            <w:pPr>
              <w:pStyle w:val="TableText"/>
              <w:rPr>
                <w:bCs/>
              </w:rPr>
            </w:pPr>
            <w:r w:rsidRPr="005831D6">
              <w:t xml:space="preserve">Total number of first-tier screen positives for </w:t>
            </w:r>
            <w:r>
              <w:t>GSD I</w:t>
            </w:r>
            <w:r w:rsidRPr="005831D6">
              <w:t>I</w:t>
            </w:r>
          </w:p>
        </w:tc>
        <w:tc>
          <w:tcPr>
            <w:tcW w:w="0" w:type="auto"/>
            <w:vAlign w:val="center"/>
          </w:tcPr>
          <w:p w14:paraId="7FB68589" w14:textId="77777777" w:rsidR="001F3F40" w:rsidRPr="00E66C21" w:rsidRDefault="001F3F40" w:rsidP="00083194">
            <w:pPr>
              <w:pStyle w:val="TableText"/>
              <w:jc w:val="right"/>
              <w:rPr>
                <w:bCs/>
              </w:rPr>
            </w:pPr>
            <w:r>
              <w:rPr>
                <w:color w:val="000000"/>
                <w:szCs w:val="20"/>
              </w:rPr>
              <w:t>58</w:t>
            </w:r>
          </w:p>
        </w:tc>
        <w:tc>
          <w:tcPr>
            <w:tcW w:w="0" w:type="auto"/>
            <w:vAlign w:val="center"/>
          </w:tcPr>
          <w:p w14:paraId="182DE0C5" w14:textId="77777777" w:rsidR="001F3F40" w:rsidRPr="00E66C21" w:rsidRDefault="001F3F40" w:rsidP="00083194">
            <w:pPr>
              <w:pStyle w:val="TableText"/>
              <w:jc w:val="right"/>
              <w:rPr>
                <w:bCs/>
              </w:rPr>
            </w:pPr>
            <w:r>
              <w:rPr>
                <w:color w:val="000000"/>
                <w:szCs w:val="20"/>
              </w:rPr>
              <w:t>58</w:t>
            </w:r>
          </w:p>
        </w:tc>
        <w:tc>
          <w:tcPr>
            <w:tcW w:w="0" w:type="auto"/>
            <w:vAlign w:val="center"/>
          </w:tcPr>
          <w:p w14:paraId="3314A3AF" w14:textId="77777777" w:rsidR="001F3F40" w:rsidRPr="00E66C21" w:rsidRDefault="001F3F40" w:rsidP="00083194">
            <w:pPr>
              <w:pStyle w:val="TableText"/>
              <w:jc w:val="right"/>
              <w:rPr>
                <w:bCs/>
              </w:rPr>
            </w:pPr>
            <w:r>
              <w:rPr>
                <w:color w:val="000000"/>
                <w:szCs w:val="20"/>
              </w:rPr>
              <w:t>58</w:t>
            </w:r>
          </w:p>
        </w:tc>
        <w:tc>
          <w:tcPr>
            <w:tcW w:w="0" w:type="auto"/>
            <w:vAlign w:val="center"/>
          </w:tcPr>
          <w:p w14:paraId="39D83A4E" w14:textId="77777777" w:rsidR="001F3F40" w:rsidRPr="00E66C21" w:rsidRDefault="001F3F40" w:rsidP="00083194">
            <w:pPr>
              <w:pStyle w:val="TableText"/>
              <w:jc w:val="right"/>
              <w:rPr>
                <w:bCs/>
              </w:rPr>
            </w:pPr>
            <w:r>
              <w:rPr>
                <w:color w:val="000000"/>
                <w:szCs w:val="20"/>
              </w:rPr>
              <w:t>58</w:t>
            </w:r>
          </w:p>
        </w:tc>
        <w:tc>
          <w:tcPr>
            <w:tcW w:w="0" w:type="auto"/>
            <w:vAlign w:val="center"/>
          </w:tcPr>
          <w:p w14:paraId="374191FC" w14:textId="77777777" w:rsidR="001F3F40" w:rsidRPr="00E66C21" w:rsidRDefault="001F3F40" w:rsidP="00083194">
            <w:pPr>
              <w:pStyle w:val="TableText"/>
              <w:jc w:val="right"/>
              <w:rPr>
                <w:bCs/>
              </w:rPr>
            </w:pPr>
            <w:r>
              <w:rPr>
                <w:color w:val="000000"/>
                <w:szCs w:val="20"/>
              </w:rPr>
              <w:t>58</w:t>
            </w:r>
          </w:p>
        </w:tc>
        <w:tc>
          <w:tcPr>
            <w:tcW w:w="0" w:type="auto"/>
            <w:vAlign w:val="center"/>
          </w:tcPr>
          <w:p w14:paraId="698A4D9B" w14:textId="77777777" w:rsidR="001F3F40" w:rsidRPr="00E66C21" w:rsidRDefault="001F3F40" w:rsidP="00083194">
            <w:pPr>
              <w:pStyle w:val="TableText"/>
              <w:jc w:val="right"/>
              <w:rPr>
                <w:bCs/>
              </w:rPr>
            </w:pPr>
            <w:r>
              <w:rPr>
                <w:color w:val="000000"/>
                <w:szCs w:val="20"/>
              </w:rPr>
              <w:t>58</w:t>
            </w:r>
          </w:p>
        </w:tc>
      </w:tr>
      <w:tr w:rsidR="00E4153F" w:rsidRPr="00E66C21" w14:paraId="4A0A49FA" w14:textId="77777777" w:rsidTr="007229D6">
        <w:tc>
          <w:tcPr>
            <w:tcW w:w="0" w:type="auto"/>
          </w:tcPr>
          <w:p w14:paraId="4104D4E7" w14:textId="77777777" w:rsidR="001F3F40" w:rsidRPr="00E66C21" w:rsidRDefault="001F3F40" w:rsidP="00083194">
            <w:pPr>
              <w:pStyle w:val="TableText"/>
              <w:rPr>
                <w:bCs/>
              </w:rPr>
            </w:pPr>
            <w:r w:rsidRPr="005831D6">
              <w:t>Cost of second-tier screening ($</w:t>
            </w:r>
            <w:r>
              <w:t>500</w:t>
            </w:r>
            <w:r w:rsidRPr="005831D6">
              <w:t xml:space="preserve"> per test)</w:t>
            </w:r>
          </w:p>
        </w:tc>
        <w:tc>
          <w:tcPr>
            <w:tcW w:w="0" w:type="auto"/>
            <w:vAlign w:val="center"/>
          </w:tcPr>
          <w:p w14:paraId="71688040" w14:textId="77777777" w:rsidR="001F3F40" w:rsidRPr="00E66C21" w:rsidRDefault="001F3F40" w:rsidP="00083194">
            <w:pPr>
              <w:pStyle w:val="TableText"/>
              <w:jc w:val="right"/>
              <w:rPr>
                <w:bCs/>
              </w:rPr>
            </w:pPr>
            <w:r>
              <w:rPr>
                <w:color w:val="000000"/>
              </w:rPr>
              <w:t>$28,850</w:t>
            </w:r>
          </w:p>
        </w:tc>
        <w:tc>
          <w:tcPr>
            <w:tcW w:w="0" w:type="auto"/>
            <w:vAlign w:val="center"/>
          </w:tcPr>
          <w:p w14:paraId="510D0B63" w14:textId="77777777" w:rsidR="001F3F40" w:rsidRPr="00E66C21" w:rsidRDefault="001F3F40" w:rsidP="00083194">
            <w:pPr>
              <w:pStyle w:val="TableText"/>
              <w:jc w:val="right"/>
              <w:rPr>
                <w:bCs/>
              </w:rPr>
            </w:pPr>
            <w:r>
              <w:rPr>
                <w:color w:val="000000"/>
              </w:rPr>
              <w:t>$28,850</w:t>
            </w:r>
          </w:p>
        </w:tc>
        <w:tc>
          <w:tcPr>
            <w:tcW w:w="0" w:type="auto"/>
            <w:vAlign w:val="center"/>
          </w:tcPr>
          <w:p w14:paraId="7C7AC3C8" w14:textId="77777777" w:rsidR="001F3F40" w:rsidRPr="00E66C21" w:rsidRDefault="001F3F40" w:rsidP="00083194">
            <w:pPr>
              <w:pStyle w:val="TableText"/>
              <w:jc w:val="right"/>
              <w:rPr>
                <w:bCs/>
              </w:rPr>
            </w:pPr>
            <w:r>
              <w:rPr>
                <w:color w:val="000000"/>
              </w:rPr>
              <w:t>$28,850</w:t>
            </w:r>
          </w:p>
        </w:tc>
        <w:tc>
          <w:tcPr>
            <w:tcW w:w="0" w:type="auto"/>
            <w:vAlign w:val="center"/>
          </w:tcPr>
          <w:p w14:paraId="0CB5C24D" w14:textId="77777777" w:rsidR="001F3F40" w:rsidRPr="00E66C21" w:rsidRDefault="001F3F40" w:rsidP="00083194">
            <w:pPr>
              <w:pStyle w:val="TableText"/>
              <w:jc w:val="right"/>
              <w:rPr>
                <w:bCs/>
              </w:rPr>
            </w:pPr>
            <w:r>
              <w:rPr>
                <w:color w:val="000000"/>
              </w:rPr>
              <w:t>$28,850</w:t>
            </w:r>
          </w:p>
        </w:tc>
        <w:tc>
          <w:tcPr>
            <w:tcW w:w="0" w:type="auto"/>
            <w:vAlign w:val="center"/>
          </w:tcPr>
          <w:p w14:paraId="33EBB427" w14:textId="77777777" w:rsidR="001F3F40" w:rsidRPr="00E66C21" w:rsidRDefault="001F3F40" w:rsidP="00083194">
            <w:pPr>
              <w:pStyle w:val="TableText"/>
              <w:jc w:val="right"/>
              <w:rPr>
                <w:bCs/>
              </w:rPr>
            </w:pPr>
            <w:r>
              <w:rPr>
                <w:color w:val="000000"/>
              </w:rPr>
              <w:t>$28,900</w:t>
            </w:r>
          </w:p>
        </w:tc>
        <w:tc>
          <w:tcPr>
            <w:tcW w:w="0" w:type="auto"/>
            <w:vAlign w:val="center"/>
          </w:tcPr>
          <w:p w14:paraId="746B0E23" w14:textId="77777777" w:rsidR="001F3F40" w:rsidRPr="00E66C21" w:rsidRDefault="001F3F40" w:rsidP="00083194">
            <w:pPr>
              <w:pStyle w:val="TableText"/>
              <w:jc w:val="right"/>
              <w:rPr>
                <w:bCs/>
              </w:rPr>
            </w:pPr>
            <w:r>
              <w:rPr>
                <w:color w:val="000000"/>
              </w:rPr>
              <w:t>$28,900</w:t>
            </w:r>
          </w:p>
        </w:tc>
      </w:tr>
      <w:tr w:rsidR="00E4153F" w:rsidRPr="00B950FD" w14:paraId="16F812A9" w14:textId="77777777" w:rsidTr="007229D6">
        <w:tc>
          <w:tcPr>
            <w:tcW w:w="0" w:type="auto"/>
          </w:tcPr>
          <w:p w14:paraId="07C4E001" w14:textId="5ED97DC5" w:rsidR="00E4153F" w:rsidRPr="00B950FD" w:rsidRDefault="00E4153F" w:rsidP="00E4153F">
            <w:pPr>
              <w:pStyle w:val="TableText"/>
              <w:rPr>
                <w:b/>
                <w:bCs/>
              </w:rPr>
            </w:pPr>
            <w:r w:rsidRPr="00B950FD">
              <w:rPr>
                <w:b/>
                <w:bCs/>
              </w:rPr>
              <w:t xml:space="preserve">Total cost to </w:t>
            </w:r>
            <w:r w:rsidRPr="00B950FD" w:rsidDel="004B3059">
              <w:rPr>
                <w:b/>
                <w:bCs/>
              </w:rPr>
              <w:t xml:space="preserve">the </w:t>
            </w:r>
            <w:r w:rsidRPr="00B950FD">
              <w:rPr>
                <w:b/>
                <w:bCs/>
              </w:rPr>
              <w:t>NBS</w:t>
            </w:r>
            <w:r>
              <w:rPr>
                <w:b/>
                <w:bCs/>
              </w:rPr>
              <w:t xml:space="preserve"> program </w:t>
            </w:r>
            <w:r w:rsidR="00A557B4">
              <w:rPr>
                <w:b/>
                <w:bCs/>
              </w:rPr>
              <w:t>(</w:t>
            </w:r>
            <w:r>
              <w:rPr>
                <w:b/>
                <w:bCs/>
              </w:rPr>
              <w:t>$</w:t>
            </w:r>
            <w:r w:rsidR="00A557B4">
              <w:rPr>
                <w:b/>
                <w:bCs/>
              </w:rPr>
              <w:t>)</w:t>
            </w:r>
          </w:p>
        </w:tc>
        <w:tc>
          <w:tcPr>
            <w:tcW w:w="0" w:type="auto"/>
          </w:tcPr>
          <w:p w14:paraId="26D23439" w14:textId="779DBD5A" w:rsidR="00E4153F" w:rsidRPr="00B950FD" w:rsidRDefault="00E4153F" w:rsidP="00E4153F">
            <w:pPr>
              <w:pStyle w:val="TableText"/>
              <w:jc w:val="right"/>
              <w:rPr>
                <w:b/>
                <w:bCs/>
              </w:rPr>
            </w:pPr>
            <w:r w:rsidRPr="00FD62C3">
              <w:rPr>
                <w:b/>
                <w:bCs/>
                <w:color w:val="000000"/>
                <w:szCs w:val="20"/>
              </w:rPr>
              <w:t>Redacted</w:t>
            </w:r>
          </w:p>
        </w:tc>
        <w:tc>
          <w:tcPr>
            <w:tcW w:w="0" w:type="auto"/>
          </w:tcPr>
          <w:p w14:paraId="692A2879" w14:textId="4203980C" w:rsidR="00E4153F" w:rsidRPr="00B950FD" w:rsidRDefault="00E4153F" w:rsidP="00E4153F">
            <w:pPr>
              <w:pStyle w:val="TableText"/>
              <w:jc w:val="right"/>
              <w:rPr>
                <w:b/>
                <w:bCs/>
              </w:rPr>
            </w:pPr>
            <w:r w:rsidRPr="00FD62C3">
              <w:rPr>
                <w:b/>
                <w:bCs/>
                <w:color w:val="000000"/>
                <w:szCs w:val="20"/>
              </w:rPr>
              <w:t>Redacted</w:t>
            </w:r>
          </w:p>
        </w:tc>
        <w:tc>
          <w:tcPr>
            <w:tcW w:w="0" w:type="auto"/>
          </w:tcPr>
          <w:p w14:paraId="115FABE3" w14:textId="7F62E437" w:rsidR="00E4153F" w:rsidRPr="00B950FD" w:rsidRDefault="00E4153F" w:rsidP="00E4153F">
            <w:pPr>
              <w:pStyle w:val="TableText"/>
              <w:jc w:val="right"/>
              <w:rPr>
                <w:b/>
                <w:bCs/>
              </w:rPr>
            </w:pPr>
            <w:r w:rsidRPr="00FD62C3">
              <w:rPr>
                <w:b/>
                <w:bCs/>
                <w:color w:val="000000"/>
                <w:szCs w:val="20"/>
              </w:rPr>
              <w:t>Redacted</w:t>
            </w:r>
          </w:p>
        </w:tc>
        <w:tc>
          <w:tcPr>
            <w:tcW w:w="0" w:type="auto"/>
          </w:tcPr>
          <w:p w14:paraId="1E51D598" w14:textId="39F2FE1A" w:rsidR="00E4153F" w:rsidRPr="00B950FD" w:rsidRDefault="00E4153F" w:rsidP="00E4153F">
            <w:pPr>
              <w:pStyle w:val="TableText"/>
              <w:jc w:val="right"/>
              <w:rPr>
                <w:b/>
                <w:bCs/>
              </w:rPr>
            </w:pPr>
            <w:r w:rsidRPr="00FD62C3">
              <w:rPr>
                <w:b/>
                <w:bCs/>
                <w:color w:val="000000"/>
                <w:szCs w:val="20"/>
              </w:rPr>
              <w:t>Redacted</w:t>
            </w:r>
          </w:p>
        </w:tc>
        <w:tc>
          <w:tcPr>
            <w:tcW w:w="0" w:type="auto"/>
          </w:tcPr>
          <w:p w14:paraId="447BEF8D" w14:textId="50FF53E9" w:rsidR="00E4153F" w:rsidRPr="00B950FD" w:rsidRDefault="00E4153F" w:rsidP="00E4153F">
            <w:pPr>
              <w:pStyle w:val="TableText"/>
              <w:jc w:val="right"/>
              <w:rPr>
                <w:b/>
                <w:bCs/>
              </w:rPr>
            </w:pPr>
            <w:r w:rsidRPr="00FD62C3">
              <w:rPr>
                <w:b/>
                <w:bCs/>
                <w:color w:val="000000"/>
                <w:szCs w:val="20"/>
              </w:rPr>
              <w:t>Redacted</w:t>
            </w:r>
          </w:p>
        </w:tc>
        <w:tc>
          <w:tcPr>
            <w:tcW w:w="0" w:type="auto"/>
          </w:tcPr>
          <w:p w14:paraId="61A1CB10" w14:textId="19451ABB" w:rsidR="00E4153F" w:rsidRPr="00B950FD" w:rsidRDefault="00E4153F" w:rsidP="00E4153F">
            <w:pPr>
              <w:pStyle w:val="TableText"/>
              <w:jc w:val="right"/>
              <w:rPr>
                <w:b/>
                <w:bCs/>
              </w:rPr>
            </w:pPr>
            <w:r w:rsidRPr="00FD62C3">
              <w:rPr>
                <w:b/>
                <w:bCs/>
                <w:color w:val="000000"/>
                <w:szCs w:val="20"/>
              </w:rPr>
              <w:t>Redacted</w:t>
            </w:r>
          </w:p>
        </w:tc>
      </w:tr>
    </w:tbl>
    <w:p w14:paraId="45F09BCF" w14:textId="07267857" w:rsidR="001F3F40" w:rsidRDefault="0030097A" w:rsidP="008B6BB7">
      <w:pPr>
        <w:pStyle w:val="Tablenotes"/>
        <w:contextualSpacing w:val="0"/>
      </w:pPr>
      <w:r>
        <w:t>GSD I</w:t>
      </w:r>
      <w:r w:rsidR="001F3F40">
        <w:t>I = Type I; NBS = newborn bloodspot screening</w:t>
      </w:r>
    </w:p>
    <w:p w14:paraId="3A9639CD" w14:textId="77777777" w:rsidR="001F3F40" w:rsidRDefault="001F3F40" w:rsidP="00C4724C">
      <w:pPr>
        <w:pStyle w:val="Tablenotes"/>
      </w:pPr>
      <w:r w:rsidRPr="00877B93">
        <w:rPr>
          <w:vertAlign w:val="superscript"/>
        </w:rPr>
        <w:t>a</w:t>
      </w:r>
      <w:r w:rsidRPr="00877B93">
        <w:t xml:space="preserve"> </w:t>
      </w:r>
      <w:r>
        <w:t xml:space="preserve">Based on </w:t>
      </w:r>
      <w:r w:rsidRPr="00877B93">
        <w:t>project</w:t>
      </w:r>
      <w:r>
        <w:t>ed number of births in Australia based on number of registered births data in 2008–2022 in Australia</w:t>
      </w:r>
      <w:r w:rsidRPr="00877B93">
        <w:t>.</w:t>
      </w:r>
    </w:p>
    <w:p w14:paraId="30345300" w14:textId="77777777" w:rsidR="001F3F40" w:rsidRPr="00492AB6" w:rsidRDefault="001F3F40" w:rsidP="00ED5CB7">
      <w:pPr>
        <w:keepNext/>
        <w:keepLines/>
        <w:rPr>
          <w:u w:val="single"/>
        </w:rPr>
      </w:pPr>
      <w:r w:rsidRPr="00492AB6">
        <w:rPr>
          <w:u w:val="single"/>
        </w:rPr>
        <w:t>Cost implications for other health budgets</w:t>
      </w:r>
    </w:p>
    <w:p w14:paraId="6261058F" w14:textId="77777777" w:rsidR="001F3F40" w:rsidRDefault="001F3F40" w:rsidP="00ED5CB7">
      <w:pPr>
        <w:keepNext/>
        <w:keepLines/>
      </w:pPr>
      <w:r w:rsidDel="00992E17">
        <w:t>M</w:t>
      </w:r>
      <w:r>
        <w:t>edical services included in monitoring and treatment of newborns with GSD II detected through NBS programs may also use other Commonwealth funding sources such as the Medicare Benefits Scheme</w:t>
      </w:r>
      <w:r w:rsidRPr="00E92425">
        <w:t xml:space="preserve"> </w:t>
      </w:r>
      <w:r>
        <w:t xml:space="preserve">(MBS) and Pharmaceutical Benefits Scheme (PBS), LSDP and other state/territory health budgets. </w:t>
      </w:r>
    </w:p>
    <w:p w14:paraId="3F1F21A1" w14:textId="7FF9672A" w:rsidR="001F3F40" w:rsidRDefault="001F3F40" w:rsidP="002B4473">
      <w:r>
        <w:t xml:space="preserve">The estimated cost of monitoring, diagnostic </w:t>
      </w:r>
      <w:r w:rsidR="00F858A6">
        <w:t>delay</w:t>
      </w:r>
      <w:r>
        <w:t xml:space="preserve"> and confirmatory testing were disaggregated based on the potential funding providers. Total costs for services that are listed on MBS were aggregated and MBS rebates were estimated. MBS rebates 85% of the scheduled fee for Medicare services which have an MBS fee of $683 or less, for those with fee equal or higher than $683 attracts the rebate of difference of MBS fee and greatest permissible gap (GPG) set at $102.40 from 1 November 2024. Cost of services that were not listed on MBS and were provided by state pathology or as outpatient or inpatient hospital services were attributed to state and territories health budgets. This included services such as HEX4 test, enzyme studies, GAA activity test, visit to metabolic clinics, genetic testing in probands and family members.</w:t>
      </w:r>
    </w:p>
    <w:p w14:paraId="2859FFCC" w14:textId="7281093A" w:rsidR="001F3F40" w:rsidRPr="00D566A0" w:rsidRDefault="00707D22" w:rsidP="00693080">
      <w:pPr>
        <w:spacing w:before="240"/>
      </w:pPr>
      <w:r>
        <w:t>Table 15</w:t>
      </w:r>
      <w:r w:rsidR="001F3F40">
        <w:t xml:space="preserve"> and </w:t>
      </w:r>
      <w:r>
        <w:t>Table 16</w:t>
      </w:r>
      <w:r w:rsidR="00B010D2">
        <w:t xml:space="preserve"> </w:t>
      </w:r>
      <w:r w:rsidR="001F3F40">
        <w:t>present the estimated net cost implications to the state and territories health budgets and net cost to MBS due to the introduction of GSD II on the NBS panel.</w:t>
      </w:r>
    </w:p>
    <w:p w14:paraId="1FB6F493" w14:textId="706020CE" w:rsidR="001F3F40" w:rsidRPr="00350FBE" w:rsidRDefault="001F3F40" w:rsidP="00ED5CB7">
      <w:pPr>
        <w:pStyle w:val="Caption"/>
        <w:keepLines/>
        <w:rPr>
          <w:vertAlign w:val="superscript"/>
        </w:rPr>
      </w:pPr>
      <w:bookmarkStart w:id="63" w:name="_Ref181819953"/>
      <w:r>
        <w:t>Table</w:t>
      </w:r>
      <w:r w:rsidR="00B010D2">
        <w:t xml:space="preserve"> </w:t>
      </w:r>
      <w:r w:rsidR="00707D22">
        <w:t>15</w:t>
      </w:r>
      <w:bookmarkEnd w:id="63"/>
      <w:r>
        <w:tab/>
        <w:t xml:space="preserve">Cost implications to state and </w:t>
      </w:r>
      <w:r w:rsidR="00063282">
        <w:t xml:space="preserve">territory </w:t>
      </w:r>
      <w:r>
        <w:t xml:space="preserve">(S/T) health budgets due to NBS of GSD II </w:t>
      </w:r>
      <w:r w:rsidR="008B6BB7">
        <w:rPr>
          <w:vertAlign w:val="superscript"/>
        </w:rPr>
        <w:t>a</w:t>
      </w:r>
    </w:p>
    <w:tbl>
      <w:tblPr>
        <w:tblStyle w:val="TableGrid11"/>
        <w:tblW w:w="5000" w:type="pct"/>
        <w:tblLayout w:type="fixed"/>
        <w:tblLook w:val="04A0" w:firstRow="1" w:lastRow="0" w:firstColumn="1" w:lastColumn="0" w:noHBand="0" w:noVBand="1"/>
      </w:tblPr>
      <w:tblGrid>
        <w:gridCol w:w="3145"/>
        <w:gridCol w:w="900"/>
        <w:gridCol w:w="990"/>
        <w:gridCol w:w="990"/>
        <w:gridCol w:w="1080"/>
        <w:gridCol w:w="990"/>
        <w:gridCol w:w="921"/>
      </w:tblGrid>
      <w:tr w:rsidR="001F3F40" w:rsidRPr="00F87241" w14:paraId="748A1A48" w14:textId="77777777" w:rsidTr="00175863">
        <w:trPr>
          <w:cnfStyle w:val="100000000000" w:firstRow="1" w:lastRow="0" w:firstColumn="0" w:lastColumn="0" w:oddVBand="0" w:evenVBand="0" w:oddHBand="0" w:evenHBand="0" w:firstRowFirstColumn="0" w:firstRowLastColumn="0" w:lastRowFirstColumn="0" w:lastRowLastColumn="0"/>
          <w:trHeight w:val="255"/>
          <w:tblHeader/>
        </w:trPr>
        <w:tc>
          <w:tcPr>
            <w:tcW w:w="1744" w:type="pct"/>
            <w:tcBorders>
              <w:bottom w:val="single" w:sz="4" w:space="0" w:color="auto"/>
            </w:tcBorders>
            <w:noWrap/>
            <w:hideMark/>
          </w:tcPr>
          <w:p w14:paraId="48D17F79" w14:textId="77777777" w:rsidR="001F3F40" w:rsidRPr="00F87241" w:rsidRDefault="001F3F40" w:rsidP="00ED5CB7">
            <w:pPr>
              <w:keepNext/>
              <w:keepLines/>
              <w:spacing w:before="0" w:after="0"/>
              <w:rPr>
                <w:rFonts w:ascii="Arial Narrow" w:hAnsi="Arial Narrow"/>
                <w:color w:val="000000"/>
              </w:rPr>
            </w:pPr>
            <w:r w:rsidRPr="00F87241">
              <w:rPr>
                <w:rFonts w:ascii="Arial Narrow" w:hAnsi="Arial Narrow"/>
                <w:color w:val="000000"/>
              </w:rPr>
              <w:t> </w:t>
            </w:r>
          </w:p>
        </w:tc>
        <w:tc>
          <w:tcPr>
            <w:tcW w:w="499" w:type="pct"/>
            <w:tcBorders>
              <w:bottom w:val="single" w:sz="4" w:space="0" w:color="auto"/>
            </w:tcBorders>
            <w:noWrap/>
            <w:hideMark/>
          </w:tcPr>
          <w:p w14:paraId="28141728" w14:textId="77777777" w:rsidR="001F3F40" w:rsidRPr="00F87241" w:rsidRDefault="001F3F40" w:rsidP="00ED5CB7">
            <w:pPr>
              <w:keepNext/>
              <w:keepLines/>
              <w:spacing w:before="0" w:after="0"/>
              <w:jc w:val="center"/>
              <w:rPr>
                <w:rFonts w:ascii="Arial Narrow" w:hAnsi="Arial Narrow"/>
                <w:b/>
                <w:bCs/>
                <w:color w:val="000000"/>
              </w:rPr>
            </w:pPr>
            <w:r w:rsidRPr="00F87241">
              <w:rPr>
                <w:rFonts w:ascii="Arial Narrow" w:hAnsi="Arial Narrow"/>
                <w:b/>
                <w:bCs/>
                <w:color w:val="000000"/>
              </w:rPr>
              <w:t>2025−26</w:t>
            </w:r>
          </w:p>
        </w:tc>
        <w:tc>
          <w:tcPr>
            <w:tcW w:w="549" w:type="pct"/>
            <w:tcBorders>
              <w:bottom w:val="single" w:sz="4" w:space="0" w:color="auto"/>
            </w:tcBorders>
            <w:noWrap/>
            <w:hideMark/>
          </w:tcPr>
          <w:p w14:paraId="25C916F9" w14:textId="77777777" w:rsidR="001F3F40" w:rsidRPr="00F87241" w:rsidRDefault="001F3F40" w:rsidP="00ED5CB7">
            <w:pPr>
              <w:keepNext/>
              <w:keepLines/>
              <w:spacing w:before="0" w:after="0"/>
              <w:jc w:val="center"/>
              <w:rPr>
                <w:rFonts w:ascii="Arial Narrow" w:hAnsi="Arial Narrow"/>
                <w:b/>
                <w:bCs/>
                <w:color w:val="000000"/>
              </w:rPr>
            </w:pPr>
            <w:r w:rsidRPr="00F87241">
              <w:rPr>
                <w:rFonts w:ascii="Arial Narrow" w:hAnsi="Arial Narrow"/>
                <w:b/>
                <w:bCs/>
                <w:color w:val="000000"/>
              </w:rPr>
              <w:t>2026−27</w:t>
            </w:r>
          </w:p>
        </w:tc>
        <w:tc>
          <w:tcPr>
            <w:tcW w:w="549" w:type="pct"/>
            <w:tcBorders>
              <w:bottom w:val="single" w:sz="4" w:space="0" w:color="auto"/>
            </w:tcBorders>
            <w:noWrap/>
            <w:hideMark/>
          </w:tcPr>
          <w:p w14:paraId="2E832633" w14:textId="77777777" w:rsidR="001F3F40" w:rsidRPr="00F87241" w:rsidRDefault="001F3F40" w:rsidP="00ED5CB7">
            <w:pPr>
              <w:keepNext/>
              <w:keepLines/>
              <w:spacing w:before="0" w:after="0"/>
              <w:jc w:val="center"/>
              <w:rPr>
                <w:rFonts w:ascii="Arial Narrow" w:hAnsi="Arial Narrow"/>
                <w:b/>
                <w:bCs/>
                <w:color w:val="000000"/>
              </w:rPr>
            </w:pPr>
            <w:r w:rsidRPr="00F87241">
              <w:rPr>
                <w:rFonts w:ascii="Arial Narrow" w:hAnsi="Arial Narrow"/>
                <w:b/>
                <w:bCs/>
                <w:color w:val="000000"/>
              </w:rPr>
              <w:t>2027−28</w:t>
            </w:r>
          </w:p>
        </w:tc>
        <w:tc>
          <w:tcPr>
            <w:tcW w:w="599" w:type="pct"/>
            <w:tcBorders>
              <w:bottom w:val="single" w:sz="4" w:space="0" w:color="auto"/>
            </w:tcBorders>
            <w:noWrap/>
            <w:hideMark/>
          </w:tcPr>
          <w:p w14:paraId="785D40E6" w14:textId="77777777" w:rsidR="001F3F40" w:rsidRPr="00F87241" w:rsidRDefault="001F3F40" w:rsidP="00ED5CB7">
            <w:pPr>
              <w:keepNext/>
              <w:keepLines/>
              <w:spacing w:before="0" w:after="0"/>
              <w:jc w:val="center"/>
              <w:rPr>
                <w:rFonts w:ascii="Arial Narrow" w:hAnsi="Arial Narrow"/>
                <w:b/>
                <w:bCs/>
                <w:color w:val="000000"/>
              </w:rPr>
            </w:pPr>
            <w:r w:rsidRPr="00F87241">
              <w:rPr>
                <w:rFonts w:ascii="Arial Narrow" w:hAnsi="Arial Narrow"/>
                <w:b/>
                <w:bCs/>
                <w:color w:val="000000"/>
              </w:rPr>
              <w:t>2028−29</w:t>
            </w:r>
          </w:p>
        </w:tc>
        <w:tc>
          <w:tcPr>
            <w:tcW w:w="549" w:type="pct"/>
            <w:tcBorders>
              <w:bottom w:val="single" w:sz="4" w:space="0" w:color="auto"/>
            </w:tcBorders>
            <w:noWrap/>
            <w:hideMark/>
          </w:tcPr>
          <w:p w14:paraId="2C8FB79C" w14:textId="77777777" w:rsidR="001F3F40" w:rsidRPr="00F87241" w:rsidRDefault="001F3F40" w:rsidP="00ED5CB7">
            <w:pPr>
              <w:keepNext/>
              <w:keepLines/>
              <w:spacing w:before="0" w:after="0"/>
              <w:jc w:val="center"/>
              <w:rPr>
                <w:rFonts w:ascii="Arial Narrow" w:hAnsi="Arial Narrow"/>
                <w:b/>
                <w:bCs/>
                <w:color w:val="000000"/>
              </w:rPr>
            </w:pPr>
            <w:r w:rsidRPr="00F87241">
              <w:rPr>
                <w:rFonts w:ascii="Arial Narrow" w:hAnsi="Arial Narrow"/>
                <w:b/>
                <w:bCs/>
                <w:color w:val="000000"/>
              </w:rPr>
              <w:t>2029−30</w:t>
            </w:r>
          </w:p>
        </w:tc>
        <w:tc>
          <w:tcPr>
            <w:tcW w:w="511" w:type="pct"/>
            <w:tcBorders>
              <w:bottom w:val="single" w:sz="4" w:space="0" w:color="auto"/>
            </w:tcBorders>
            <w:noWrap/>
            <w:hideMark/>
          </w:tcPr>
          <w:p w14:paraId="20839F7C" w14:textId="77777777" w:rsidR="001F3F40" w:rsidRPr="00F87241" w:rsidRDefault="001F3F40" w:rsidP="00ED5CB7">
            <w:pPr>
              <w:keepNext/>
              <w:keepLines/>
              <w:spacing w:before="0" w:after="0"/>
              <w:jc w:val="center"/>
              <w:rPr>
                <w:rFonts w:ascii="Arial Narrow" w:hAnsi="Arial Narrow"/>
                <w:b/>
                <w:bCs/>
                <w:color w:val="000000"/>
              </w:rPr>
            </w:pPr>
            <w:r w:rsidRPr="00F87241">
              <w:rPr>
                <w:rFonts w:ascii="Arial Narrow" w:hAnsi="Arial Narrow"/>
                <w:b/>
                <w:bCs/>
                <w:color w:val="000000"/>
              </w:rPr>
              <w:t>2030−31</w:t>
            </w:r>
          </w:p>
        </w:tc>
      </w:tr>
      <w:tr w:rsidR="001F3F40" w:rsidRPr="00F70526" w14:paraId="7122ECEE" w14:textId="77777777" w:rsidTr="00175863">
        <w:trPr>
          <w:trHeight w:val="255"/>
        </w:trPr>
        <w:tc>
          <w:tcPr>
            <w:tcW w:w="1744" w:type="pct"/>
            <w:tcBorders>
              <w:right w:val="nil"/>
            </w:tcBorders>
            <w:noWrap/>
          </w:tcPr>
          <w:p w14:paraId="711F2BDF" w14:textId="77777777" w:rsidR="001F3F40" w:rsidRPr="00F70526" w:rsidRDefault="001F3F40" w:rsidP="00ED5CB7">
            <w:pPr>
              <w:keepNext/>
              <w:keepLines/>
              <w:spacing w:before="0" w:after="0"/>
              <w:rPr>
                <w:rFonts w:ascii="Arial Narrow" w:hAnsi="Arial Narrow"/>
                <w:b/>
                <w:bCs/>
                <w:color w:val="000000"/>
              </w:rPr>
            </w:pPr>
            <w:r w:rsidRPr="00F70526">
              <w:rPr>
                <w:rFonts w:ascii="Arial Narrow" w:hAnsi="Arial Narrow"/>
                <w:b/>
                <w:bCs/>
                <w:color w:val="000000"/>
              </w:rPr>
              <w:t>Universal NBS</w:t>
            </w:r>
          </w:p>
        </w:tc>
        <w:tc>
          <w:tcPr>
            <w:tcW w:w="499" w:type="pct"/>
            <w:tcBorders>
              <w:left w:val="nil"/>
              <w:right w:val="nil"/>
            </w:tcBorders>
            <w:noWrap/>
          </w:tcPr>
          <w:p w14:paraId="53E3039F" w14:textId="77777777" w:rsidR="001F3F40" w:rsidRPr="00F70526" w:rsidRDefault="001F3F40" w:rsidP="00ED5CB7">
            <w:pPr>
              <w:keepNext/>
              <w:keepLines/>
              <w:spacing w:before="0" w:after="0"/>
              <w:jc w:val="right"/>
              <w:rPr>
                <w:rFonts w:ascii="Arial Narrow" w:hAnsi="Arial Narrow"/>
                <w:b/>
                <w:bCs/>
                <w:color w:val="000000"/>
              </w:rPr>
            </w:pPr>
          </w:p>
        </w:tc>
        <w:tc>
          <w:tcPr>
            <w:tcW w:w="549" w:type="pct"/>
            <w:tcBorders>
              <w:left w:val="nil"/>
              <w:right w:val="nil"/>
            </w:tcBorders>
            <w:noWrap/>
          </w:tcPr>
          <w:p w14:paraId="470EBD1C" w14:textId="77777777" w:rsidR="001F3F40" w:rsidRPr="00F70526" w:rsidRDefault="001F3F40" w:rsidP="00ED5CB7">
            <w:pPr>
              <w:keepNext/>
              <w:keepLines/>
              <w:spacing w:before="0" w:after="0"/>
              <w:jc w:val="right"/>
              <w:rPr>
                <w:rFonts w:ascii="Arial Narrow" w:hAnsi="Arial Narrow"/>
                <w:b/>
                <w:bCs/>
                <w:color w:val="000000"/>
              </w:rPr>
            </w:pPr>
          </w:p>
        </w:tc>
        <w:tc>
          <w:tcPr>
            <w:tcW w:w="549" w:type="pct"/>
            <w:tcBorders>
              <w:left w:val="nil"/>
              <w:right w:val="nil"/>
            </w:tcBorders>
            <w:noWrap/>
          </w:tcPr>
          <w:p w14:paraId="1B79A68D" w14:textId="77777777" w:rsidR="001F3F40" w:rsidRPr="00F70526" w:rsidRDefault="001F3F40" w:rsidP="00ED5CB7">
            <w:pPr>
              <w:keepNext/>
              <w:keepLines/>
              <w:spacing w:before="0" w:after="0"/>
              <w:jc w:val="right"/>
              <w:rPr>
                <w:rFonts w:ascii="Arial Narrow" w:hAnsi="Arial Narrow"/>
                <w:b/>
                <w:bCs/>
                <w:color w:val="000000"/>
              </w:rPr>
            </w:pPr>
          </w:p>
        </w:tc>
        <w:tc>
          <w:tcPr>
            <w:tcW w:w="599" w:type="pct"/>
            <w:tcBorders>
              <w:left w:val="nil"/>
              <w:right w:val="nil"/>
            </w:tcBorders>
            <w:noWrap/>
          </w:tcPr>
          <w:p w14:paraId="24F73EB9" w14:textId="77777777" w:rsidR="001F3F40" w:rsidRPr="00F70526" w:rsidRDefault="001F3F40" w:rsidP="00ED5CB7">
            <w:pPr>
              <w:keepNext/>
              <w:keepLines/>
              <w:spacing w:before="0" w:after="0"/>
              <w:jc w:val="right"/>
              <w:rPr>
                <w:rFonts w:ascii="Arial Narrow" w:hAnsi="Arial Narrow"/>
                <w:b/>
                <w:bCs/>
                <w:color w:val="000000"/>
              </w:rPr>
            </w:pPr>
          </w:p>
        </w:tc>
        <w:tc>
          <w:tcPr>
            <w:tcW w:w="549" w:type="pct"/>
            <w:tcBorders>
              <w:left w:val="nil"/>
              <w:right w:val="nil"/>
            </w:tcBorders>
            <w:noWrap/>
          </w:tcPr>
          <w:p w14:paraId="3C2E0E55" w14:textId="77777777" w:rsidR="001F3F40" w:rsidRPr="00F70526" w:rsidRDefault="001F3F40" w:rsidP="00ED5CB7">
            <w:pPr>
              <w:keepNext/>
              <w:keepLines/>
              <w:spacing w:before="0" w:after="0"/>
              <w:jc w:val="right"/>
              <w:rPr>
                <w:rFonts w:ascii="Arial Narrow" w:hAnsi="Arial Narrow"/>
                <w:b/>
                <w:bCs/>
                <w:color w:val="000000"/>
              </w:rPr>
            </w:pPr>
          </w:p>
        </w:tc>
        <w:tc>
          <w:tcPr>
            <w:tcW w:w="511" w:type="pct"/>
            <w:tcBorders>
              <w:left w:val="nil"/>
            </w:tcBorders>
            <w:noWrap/>
          </w:tcPr>
          <w:p w14:paraId="4DE8A586" w14:textId="77777777" w:rsidR="001F3F40" w:rsidRPr="00F70526" w:rsidRDefault="001F3F40" w:rsidP="00ED5CB7">
            <w:pPr>
              <w:keepNext/>
              <w:keepLines/>
              <w:spacing w:before="0" w:after="0"/>
              <w:jc w:val="right"/>
              <w:rPr>
                <w:rFonts w:ascii="Arial Narrow" w:hAnsi="Arial Narrow"/>
                <w:b/>
                <w:bCs/>
                <w:color w:val="000000"/>
              </w:rPr>
            </w:pPr>
          </w:p>
        </w:tc>
      </w:tr>
      <w:tr w:rsidR="001F3F40" w:rsidRPr="00F87241" w14:paraId="55D7FD09" w14:textId="77777777" w:rsidTr="00175863">
        <w:trPr>
          <w:trHeight w:val="255"/>
        </w:trPr>
        <w:tc>
          <w:tcPr>
            <w:tcW w:w="1744" w:type="pct"/>
            <w:noWrap/>
            <w:hideMark/>
          </w:tcPr>
          <w:p w14:paraId="63E84BD6" w14:textId="77777777" w:rsidR="001F3F40" w:rsidRPr="00F87241" w:rsidRDefault="001F3F40" w:rsidP="00ED5CB7">
            <w:pPr>
              <w:keepNext/>
              <w:keepLines/>
              <w:spacing w:before="0" w:after="0"/>
              <w:rPr>
                <w:rFonts w:ascii="Arial Narrow" w:hAnsi="Arial Narrow"/>
                <w:color w:val="000000"/>
              </w:rPr>
            </w:pPr>
            <w:r w:rsidRPr="00F87241">
              <w:rPr>
                <w:rFonts w:ascii="Arial Narrow" w:hAnsi="Arial Narrow"/>
                <w:color w:val="000000"/>
              </w:rPr>
              <w:t>Number of GSD II cases diagnosed</w:t>
            </w:r>
          </w:p>
        </w:tc>
        <w:tc>
          <w:tcPr>
            <w:tcW w:w="499" w:type="pct"/>
            <w:noWrap/>
            <w:hideMark/>
          </w:tcPr>
          <w:p w14:paraId="61B247CD"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10.60</w:t>
            </w:r>
          </w:p>
        </w:tc>
        <w:tc>
          <w:tcPr>
            <w:tcW w:w="549" w:type="pct"/>
            <w:noWrap/>
            <w:hideMark/>
          </w:tcPr>
          <w:p w14:paraId="0F79755E"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10.60</w:t>
            </w:r>
          </w:p>
        </w:tc>
        <w:tc>
          <w:tcPr>
            <w:tcW w:w="549" w:type="pct"/>
            <w:noWrap/>
            <w:hideMark/>
          </w:tcPr>
          <w:p w14:paraId="41984E39"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10.60</w:t>
            </w:r>
          </w:p>
        </w:tc>
        <w:tc>
          <w:tcPr>
            <w:tcW w:w="599" w:type="pct"/>
            <w:noWrap/>
            <w:hideMark/>
          </w:tcPr>
          <w:p w14:paraId="0AFDA798"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10.60</w:t>
            </w:r>
          </w:p>
        </w:tc>
        <w:tc>
          <w:tcPr>
            <w:tcW w:w="549" w:type="pct"/>
            <w:noWrap/>
            <w:hideMark/>
          </w:tcPr>
          <w:p w14:paraId="40131F40"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10.60</w:t>
            </w:r>
          </w:p>
        </w:tc>
        <w:tc>
          <w:tcPr>
            <w:tcW w:w="511" w:type="pct"/>
            <w:noWrap/>
            <w:hideMark/>
          </w:tcPr>
          <w:p w14:paraId="38A2BA75"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10.60</w:t>
            </w:r>
          </w:p>
        </w:tc>
      </w:tr>
      <w:tr w:rsidR="001F3F40" w:rsidRPr="00F87241" w14:paraId="45B5D051" w14:textId="77777777" w:rsidTr="00175863">
        <w:trPr>
          <w:trHeight w:val="255"/>
        </w:trPr>
        <w:tc>
          <w:tcPr>
            <w:tcW w:w="1744" w:type="pct"/>
            <w:noWrap/>
            <w:hideMark/>
          </w:tcPr>
          <w:p w14:paraId="5A1316A3" w14:textId="77777777" w:rsidR="001F3F40" w:rsidRPr="00F87241" w:rsidRDefault="001F3F40" w:rsidP="00ED5CB7">
            <w:pPr>
              <w:keepNext/>
              <w:keepLines/>
              <w:spacing w:before="0" w:after="0"/>
              <w:ind w:firstLineChars="100" w:firstLine="200"/>
              <w:rPr>
                <w:rFonts w:ascii="Arial Narrow" w:hAnsi="Arial Narrow"/>
                <w:color w:val="000000"/>
              </w:rPr>
            </w:pPr>
            <w:r w:rsidRPr="00F87241">
              <w:rPr>
                <w:rFonts w:ascii="Arial Narrow" w:hAnsi="Arial Narrow"/>
                <w:color w:val="000000"/>
              </w:rPr>
              <w:t>Number of affected cases with IOGSD II</w:t>
            </w:r>
          </w:p>
        </w:tc>
        <w:tc>
          <w:tcPr>
            <w:tcW w:w="499" w:type="pct"/>
            <w:noWrap/>
            <w:hideMark/>
          </w:tcPr>
          <w:p w14:paraId="29585949"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1.00</w:t>
            </w:r>
          </w:p>
        </w:tc>
        <w:tc>
          <w:tcPr>
            <w:tcW w:w="549" w:type="pct"/>
            <w:noWrap/>
            <w:hideMark/>
          </w:tcPr>
          <w:p w14:paraId="3D6618D7"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1.00</w:t>
            </w:r>
          </w:p>
        </w:tc>
        <w:tc>
          <w:tcPr>
            <w:tcW w:w="549" w:type="pct"/>
            <w:noWrap/>
            <w:hideMark/>
          </w:tcPr>
          <w:p w14:paraId="10D3C959"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1.00</w:t>
            </w:r>
          </w:p>
        </w:tc>
        <w:tc>
          <w:tcPr>
            <w:tcW w:w="599" w:type="pct"/>
            <w:noWrap/>
            <w:hideMark/>
          </w:tcPr>
          <w:p w14:paraId="27E01B9F"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1.00</w:t>
            </w:r>
          </w:p>
        </w:tc>
        <w:tc>
          <w:tcPr>
            <w:tcW w:w="549" w:type="pct"/>
            <w:noWrap/>
            <w:hideMark/>
          </w:tcPr>
          <w:p w14:paraId="5B9076C1"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1.00</w:t>
            </w:r>
          </w:p>
        </w:tc>
        <w:tc>
          <w:tcPr>
            <w:tcW w:w="511" w:type="pct"/>
            <w:noWrap/>
            <w:hideMark/>
          </w:tcPr>
          <w:p w14:paraId="5028BBB4"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1.00</w:t>
            </w:r>
          </w:p>
        </w:tc>
      </w:tr>
      <w:tr w:rsidR="001F3F40" w:rsidRPr="00F87241" w14:paraId="67A70243" w14:textId="77777777" w:rsidTr="00175863">
        <w:trPr>
          <w:trHeight w:val="255"/>
        </w:trPr>
        <w:tc>
          <w:tcPr>
            <w:tcW w:w="1744" w:type="pct"/>
            <w:noWrap/>
            <w:hideMark/>
          </w:tcPr>
          <w:p w14:paraId="6B058ACA" w14:textId="77777777" w:rsidR="001F3F40" w:rsidRPr="00F87241" w:rsidRDefault="001F3F40" w:rsidP="00ED5CB7">
            <w:pPr>
              <w:keepNext/>
              <w:keepLines/>
              <w:spacing w:before="0" w:after="0"/>
              <w:ind w:firstLineChars="100" w:firstLine="200"/>
              <w:rPr>
                <w:rFonts w:ascii="Arial Narrow" w:hAnsi="Arial Narrow"/>
                <w:color w:val="000000"/>
              </w:rPr>
            </w:pPr>
            <w:r w:rsidRPr="00F87241">
              <w:rPr>
                <w:rFonts w:ascii="Arial Narrow" w:hAnsi="Arial Narrow"/>
                <w:color w:val="000000"/>
              </w:rPr>
              <w:t>Number of affected cases with LOGSD II</w:t>
            </w:r>
          </w:p>
        </w:tc>
        <w:tc>
          <w:tcPr>
            <w:tcW w:w="499" w:type="pct"/>
            <w:noWrap/>
            <w:hideMark/>
          </w:tcPr>
          <w:p w14:paraId="4EAA5FA4"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9.60</w:t>
            </w:r>
          </w:p>
        </w:tc>
        <w:tc>
          <w:tcPr>
            <w:tcW w:w="549" w:type="pct"/>
            <w:noWrap/>
            <w:hideMark/>
          </w:tcPr>
          <w:p w14:paraId="792404F2"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9.60</w:t>
            </w:r>
          </w:p>
        </w:tc>
        <w:tc>
          <w:tcPr>
            <w:tcW w:w="549" w:type="pct"/>
            <w:noWrap/>
            <w:hideMark/>
          </w:tcPr>
          <w:p w14:paraId="75DEA71B"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9.60</w:t>
            </w:r>
          </w:p>
        </w:tc>
        <w:tc>
          <w:tcPr>
            <w:tcW w:w="599" w:type="pct"/>
            <w:noWrap/>
            <w:hideMark/>
          </w:tcPr>
          <w:p w14:paraId="79BDA5ED"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9.60</w:t>
            </w:r>
          </w:p>
        </w:tc>
        <w:tc>
          <w:tcPr>
            <w:tcW w:w="549" w:type="pct"/>
            <w:noWrap/>
            <w:hideMark/>
          </w:tcPr>
          <w:p w14:paraId="7B935D52"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9.60</w:t>
            </w:r>
          </w:p>
        </w:tc>
        <w:tc>
          <w:tcPr>
            <w:tcW w:w="511" w:type="pct"/>
            <w:noWrap/>
            <w:hideMark/>
          </w:tcPr>
          <w:p w14:paraId="5F70061A" w14:textId="77777777" w:rsidR="001F3F40" w:rsidRPr="00F87241" w:rsidRDefault="001F3F40" w:rsidP="00ED5CB7">
            <w:pPr>
              <w:keepNext/>
              <w:keepLines/>
              <w:spacing w:before="0" w:after="0"/>
              <w:jc w:val="right"/>
              <w:rPr>
                <w:rFonts w:ascii="Arial Narrow" w:hAnsi="Arial Narrow"/>
                <w:color w:val="000000"/>
              </w:rPr>
            </w:pPr>
            <w:r w:rsidRPr="00BE774E">
              <w:rPr>
                <w:rFonts w:ascii="Arial Narrow" w:hAnsi="Arial Narrow"/>
              </w:rPr>
              <w:t>9.60</w:t>
            </w:r>
          </w:p>
        </w:tc>
      </w:tr>
      <w:tr w:rsidR="001F3F40" w:rsidRPr="00F87241" w14:paraId="7137EEB9" w14:textId="77777777" w:rsidTr="00175863">
        <w:trPr>
          <w:trHeight w:val="255"/>
        </w:trPr>
        <w:tc>
          <w:tcPr>
            <w:tcW w:w="1744" w:type="pct"/>
            <w:noWrap/>
            <w:hideMark/>
          </w:tcPr>
          <w:p w14:paraId="0D0EB6FC" w14:textId="77777777" w:rsidR="001F3F40" w:rsidRPr="00F87241" w:rsidRDefault="001F3F40" w:rsidP="00ED5CB7">
            <w:pPr>
              <w:keepNext/>
              <w:keepLines/>
              <w:spacing w:before="0" w:after="0"/>
              <w:rPr>
                <w:rFonts w:ascii="Arial Narrow" w:hAnsi="Arial Narrow"/>
                <w:color w:val="000000"/>
              </w:rPr>
            </w:pPr>
            <w:r w:rsidRPr="00F87241">
              <w:rPr>
                <w:rFonts w:ascii="Arial Narrow" w:hAnsi="Arial Narrow"/>
                <w:color w:val="000000"/>
              </w:rPr>
              <w:t xml:space="preserve">Cost of confirmatory diagnostic test </w:t>
            </w:r>
          </w:p>
        </w:tc>
        <w:tc>
          <w:tcPr>
            <w:tcW w:w="499" w:type="pct"/>
            <w:noWrap/>
            <w:vAlign w:val="center"/>
            <w:hideMark/>
          </w:tcPr>
          <w:p w14:paraId="088E9194"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$9,423</w:t>
            </w:r>
          </w:p>
        </w:tc>
        <w:tc>
          <w:tcPr>
            <w:tcW w:w="549" w:type="pct"/>
            <w:noWrap/>
            <w:vAlign w:val="center"/>
            <w:hideMark/>
          </w:tcPr>
          <w:p w14:paraId="60739ECD"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$9,423</w:t>
            </w:r>
          </w:p>
        </w:tc>
        <w:tc>
          <w:tcPr>
            <w:tcW w:w="549" w:type="pct"/>
            <w:noWrap/>
            <w:vAlign w:val="center"/>
            <w:hideMark/>
          </w:tcPr>
          <w:p w14:paraId="4E9FF59D"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$9,423</w:t>
            </w:r>
          </w:p>
        </w:tc>
        <w:tc>
          <w:tcPr>
            <w:tcW w:w="599" w:type="pct"/>
            <w:noWrap/>
            <w:vAlign w:val="center"/>
            <w:hideMark/>
          </w:tcPr>
          <w:p w14:paraId="699E6B63"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$9,423</w:t>
            </w:r>
          </w:p>
        </w:tc>
        <w:tc>
          <w:tcPr>
            <w:tcW w:w="549" w:type="pct"/>
            <w:noWrap/>
            <w:vAlign w:val="center"/>
            <w:hideMark/>
          </w:tcPr>
          <w:p w14:paraId="7D8AAF9E"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$9,423</w:t>
            </w:r>
          </w:p>
        </w:tc>
        <w:tc>
          <w:tcPr>
            <w:tcW w:w="511" w:type="pct"/>
            <w:noWrap/>
            <w:vAlign w:val="center"/>
            <w:hideMark/>
          </w:tcPr>
          <w:p w14:paraId="4C804DDD"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$9,423</w:t>
            </w:r>
          </w:p>
        </w:tc>
      </w:tr>
      <w:tr w:rsidR="001F3F40" w:rsidRPr="00F87241" w14:paraId="74593053" w14:textId="77777777" w:rsidTr="00175863">
        <w:trPr>
          <w:trHeight w:val="255"/>
        </w:trPr>
        <w:tc>
          <w:tcPr>
            <w:tcW w:w="1744" w:type="pct"/>
            <w:noWrap/>
            <w:hideMark/>
          </w:tcPr>
          <w:p w14:paraId="09CE2E70" w14:textId="77777777" w:rsidR="001F3F40" w:rsidRPr="00F87241" w:rsidRDefault="001F3F40" w:rsidP="00ED5CB7">
            <w:pPr>
              <w:keepNext/>
              <w:keepLines/>
              <w:spacing w:before="0" w:after="0"/>
              <w:rPr>
                <w:rFonts w:ascii="Arial Narrow" w:hAnsi="Arial Narrow"/>
                <w:color w:val="000000"/>
              </w:rPr>
            </w:pPr>
            <w:r w:rsidRPr="00F87241">
              <w:rPr>
                <w:rFonts w:ascii="Arial Narrow" w:hAnsi="Arial Narrow"/>
                <w:color w:val="000000"/>
              </w:rPr>
              <w:t>Cost of treatment monitoring (uptake in LOGSD II - 82.6%)</w:t>
            </w:r>
          </w:p>
        </w:tc>
        <w:tc>
          <w:tcPr>
            <w:tcW w:w="499" w:type="pct"/>
            <w:noWrap/>
            <w:vAlign w:val="bottom"/>
            <w:hideMark/>
          </w:tcPr>
          <w:p w14:paraId="45D842A6" w14:textId="02114595"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$22,752</w:t>
            </w:r>
          </w:p>
        </w:tc>
        <w:tc>
          <w:tcPr>
            <w:tcW w:w="549" w:type="pct"/>
            <w:noWrap/>
            <w:vAlign w:val="bottom"/>
            <w:hideMark/>
          </w:tcPr>
          <w:p w14:paraId="1481AA7B" w14:textId="6BA7063F"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$45,504</w:t>
            </w:r>
          </w:p>
        </w:tc>
        <w:tc>
          <w:tcPr>
            <w:tcW w:w="549" w:type="pct"/>
            <w:noWrap/>
            <w:vAlign w:val="bottom"/>
            <w:hideMark/>
          </w:tcPr>
          <w:p w14:paraId="4D75F1CC" w14:textId="01A783AC"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$66,823</w:t>
            </w:r>
          </w:p>
        </w:tc>
        <w:tc>
          <w:tcPr>
            <w:tcW w:w="599" w:type="pct"/>
            <w:noWrap/>
            <w:vAlign w:val="bottom"/>
            <w:hideMark/>
          </w:tcPr>
          <w:p w14:paraId="40C9F308" w14:textId="12730D5E"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$88,142</w:t>
            </w:r>
          </w:p>
        </w:tc>
        <w:tc>
          <w:tcPr>
            <w:tcW w:w="549" w:type="pct"/>
            <w:noWrap/>
            <w:vAlign w:val="bottom"/>
            <w:hideMark/>
          </w:tcPr>
          <w:p w14:paraId="1E7D3E2B" w14:textId="62D4853F"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$109,461</w:t>
            </w:r>
          </w:p>
        </w:tc>
        <w:tc>
          <w:tcPr>
            <w:tcW w:w="511" w:type="pct"/>
            <w:noWrap/>
            <w:vAlign w:val="bottom"/>
            <w:hideMark/>
          </w:tcPr>
          <w:p w14:paraId="45C6BD4E" w14:textId="0E08ACC6"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$130,779</w:t>
            </w:r>
          </w:p>
        </w:tc>
      </w:tr>
      <w:tr w:rsidR="001F3F40" w:rsidRPr="00F87241" w14:paraId="7D2CCF67" w14:textId="77777777" w:rsidTr="00175863">
        <w:trPr>
          <w:trHeight w:val="255"/>
        </w:trPr>
        <w:tc>
          <w:tcPr>
            <w:tcW w:w="1744" w:type="pct"/>
            <w:noWrap/>
            <w:hideMark/>
          </w:tcPr>
          <w:p w14:paraId="1C9FDBF0" w14:textId="1DF7ADB2" w:rsidR="001F3F40" w:rsidRPr="00F87241" w:rsidRDefault="00921A70" w:rsidP="00ED5CB7">
            <w:pPr>
              <w:keepNext/>
              <w:keepLines/>
              <w:spacing w:before="0" w:after="0"/>
              <w:rPr>
                <w:rFonts w:ascii="Arial Narrow" w:hAnsi="Arial Narrow"/>
                <w:color w:val="000000"/>
              </w:rPr>
            </w:pPr>
            <w:r>
              <w:rPr>
                <w:rFonts w:ascii="Arial Narrow" w:hAnsi="Arial Narrow"/>
                <w:color w:val="000000"/>
              </w:rPr>
              <w:t>Segregation</w:t>
            </w:r>
            <w:r w:rsidRPr="00F87241">
              <w:rPr>
                <w:rFonts w:ascii="Arial Narrow" w:hAnsi="Arial Narrow"/>
                <w:color w:val="000000"/>
              </w:rPr>
              <w:t xml:space="preserve"> </w:t>
            </w:r>
            <w:r w:rsidR="001F3F40" w:rsidRPr="00F87241">
              <w:rPr>
                <w:rFonts w:ascii="Arial Narrow" w:hAnsi="Arial Narrow"/>
                <w:color w:val="000000"/>
              </w:rPr>
              <w:t>tests in parents (one couple per affected case)</w:t>
            </w:r>
          </w:p>
        </w:tc>
        <w:tc>
          <w:tcPr>
            <w:tcW w:w="499" w:type="pct"/>
            <w:noWrap/>
            <w:vAlign w:val="center"/>
            <w:hideMark/>
          </w:tcPr>
          <w:p w14:paraId="3BC53C5C"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$8,480</w:t>
            </w:r>
          </w:p>
        </w:tc>
        <w:tc>
          <w:tcPr>
            <w:tcW w:w="549" w:type="pct"/>
            <w:noWrap/>
            <w:vAlign w:val="center"/>
            <w:hideMark/>
          </w:tcPr>
          <w:p w14:paraId="18A97BC7"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$8,480</w:t>
            </w:r>
          </w:p>
        </w:tc>
        <w:tc>
          <w:tcPr>
            <w:tcW w:w="549" w:type="pct"/>
            <w:noWrap/>
            <w:vAlign w:val="center"/>
            <w:hideMark/>
          </w:tcPr>
          <w:p w14:paraId="38FE396A"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$8,480</w:t>
            </w:r>
          </w:p>
        </w:tc>
        <w:tc>
          <w:tcPr>
            <w:tcW w:w="599" w:type="pct"/>
            <w:noWrap/>
            <w:vAlign w:val="center"/>
            <w:hideMark/>
          </w:tcPr>
          <w:p w14:paraId="0BED7339"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$8,480</w:t>
            </w:r>
          </w:p>
        </w:tc>
        <w:tc>
          <w:tcPr>
            <w:tcW w:w="549" w:type="pct"/>
            <w:noWrap/>
            <w:vAlign w:val="center"/>
            <w:hideMark/>
          </w:tcPr>
          <w:p w14:paraId="2F6A11C6"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$8,480</w:t>
            </w:r>
          </w:p>
        </w:tc>
        <w:tc>
          <w:tcPr>
            <w:tcW w:w="511" w:type="pct"/>
            <w:noWrap/>
            <w:vAlign w:val="center"/>
            <w:hideMark/>
          </w:tcPr>
          <w:p w14:paraId="13389806"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$8,480</w:t>
            </w:r>
          </w:p>
        </w:tc>
      </w:tr>
      <w:tr w:rsidR="001F3F40" w:rsidRPr="00F87241" w14:paraId="65E71FE2" w14:textId="77777777" w:rsidTr="00175863">
        <w:trPr>
          <w:trHeight w:val="255"/>
        </w:trPr>
        <w:tc>
          <w:tcPr>
            <w:tcW w:w="1744" w:type="pct"/>
            <w:noWrap/>
            <w:hideMark/>
          </w:tcPr>
          <w:p w14:paraId="3B1DAF95" w14:textId="7DD8F2DB" w:rsidR="001F3F40" w:rsidRPr="00F87241" w:rsidRDefault="001F3F40" w:rsidP="00ED5CB7">
            <w:pPr>
              <w:keepNext/>
              <w:keepLines/>
              <w:spacing w:before="0" w:after="0"/>
              <w:rPr>
                <w:rFonts w:ascii="Arial Narrow" w:hAnsi="Arial Narrow"/>
                <w:color w:val="000000"/>
              </w:rPr>
            </w:pPr>
            <w:r w:rsidRPr="00F87241">
              <w:rPr>
                <w:rFonts w:ascii="Arial Narrow" w:hAnsi="Arial Narrow"/>
                <w:color w:val="000000"/>
              </w:rPr>
              <w:t>Cascade tests in siblings (one sibling per affected case)</w:t>
            </w:r>
          </w:p>
        </w:tc>
        <w:tc>
          <w:tcPr>
            <w:tcW w:w="499" w:type="pct"/>
            <w:noWrap/>
            <w:vAlign w:val="center"/>
            <w:hideMark/>
          </w:tcPr>
          <w:p w14:paraId="7CE5C90F"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$9,423</w:t>
            </w:r>
          </w:p>
        </w:tc>
        <w:tc>
          <w:tcPr>
            <w:tcW w:w="549" w:type="pct"/>
            <w:noWrap/>
            <w:vAlign w:val="center"/>
            <w:hideMark/>
          </w:tcPr>
          <w:p w14:paraId="165F2DCD"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$9,423</w:t>
            </w:r>
          </w:p>
        </w:tc>
        <w:tc>
          <w:tcPr>
            <w:tcW w:w="549" w:type="pct"/>
            <w:noWrap/>
            <w:vAlign w:val="center"/>
            <w:hideMark/>
          </w:tcPr>
          <w:p w14:paraId="5C6CD3EF"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$9,423</w:t>
            </w:r>
          </w:p>
        </w:tc>
        <w:tc>
          <w:tcPr>
            <w:tcW w:w="599" w:type="pct"/>
            <w:noWrap/>
            <w:vAlign w:val="center"/>
            <w:hideMark/>
          </w:tcPr>
          <w:p w14:paraId="560B5615"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$9,423</w:t>
            </w:r>
          </w:p>
        </w:tc>
        <w:tc>
          <w:tcPr>
            <w:tcW w:w="549" w:type="pct"/>
            <w:noWrap/>
            <w:vAlign w:val="center"/>
            <w:hideMark/>
          </w:tcPr>
          <w:p w14:paraId="0BF250CE"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$9,423</w:t>
            </w:r>
          </w:p>
        </w:tc>
        <w:tc>
          <w:tcPr>
            <w:tcW w:w="511" w:type="pct"/>
            <w:noWrap/>
            <w:vAlign w:val="center"/>
            <w:hideMark/>
          </w:tcPr>
          <w:p w14:paraId="6A1294E6"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$9,423</w:t>
            </w:r>
          </w:p>
        </w:tc>
      </w:tr>
      <w:tr w:rsidR="001F3F40" w:rsidRPr="00123C4A" w14:paraId="44BD5F8C" w14:textId="77777777" w:rsidTr="00175863">
        <w:trPr>
          <w:trHeight w:val="255"/>
        </w:trPr>
        <w:tc>
          <w:tcPr>
            <w:tcW w:w="1744" w:type="pct"/>
            <w:tcBorders>
              <w:bottom w:val="single" w:sz="4" w:space="0" w:color="auto"/>
            </w:tcBorders>
            <w:noWrap/>
            <w:hideMark/>
          </w:tcPr>
          <w:p w14:paraId="6EBF0341" w14:textId="77777777" w:rsidR="001F3F40" w:rsidRPr="00F87241" w:rsidRDefault="001F3F40" w:rsidP="00ED5CB7">
            <w:pPr>
              <w:keepNext/>
              <w:keepLines/>
              <w:spacing w:before="0" w:after="0"/>
              <w:rPr>
                <w:rFonts w:ascii="Arial Narrow" w:hAnsi="Arial Narrow"/>
                <w:b/>
                <w:bCs/>
                <w:color w:val="000000"/>
              </w:rPr>
            </w:pPr>
            <w:r w:rsidRPr="00F87241">
              <w:rPr>
                <w:rFonts w:ascii="Arial Narrow" w:hAnsi="Arial Narrow"/>
                <w:b/>
                <w:bCs/>
                <w:color w:val="000000"/>
              </w:rPr>
              <w:t xml:space="preserve">Total cost to </w:t>
            </w:r>
            <w:r>
              <w:rPr>
                <w:rFonts w:ascii="Arial Narrow" w:hAnsi="Arial Narrow"/>
                <w:b/>
                <w:bCs/>
                <w:color w:val="000000"/>
              </w:rPr>
              <w:t xml:space="preserve">S/T health budgets </w:t>
            </w:r>
            <w:r w:rsidRPr="00F87241">
              <w:rPr>
                <w:rFonts w:ascii="Arial Narrow" w:hAnsi="Arial Narrow"/>
                <w:b/>
                <w:bCs/>
                <w:color w:val="000000"/>
              </w:rPr>
              <w:t>due to NBS</w:t>
            </w:r>
          </w:p>
        </w:tc>
        <w:tc>
          <w:tcPr>
            <w:tcW w:w="499" w:type="pct"/>
            <w:tcBorders>
              <w:bottom w:val="single" w:sz="4" w:space="0" w:color="auto"/>
            </w:tcBorders>
            <w:noWrap/>
            <w:vAlign w:val="bottom"/>
            <w:hideMark/>
          </w:tcPr>
          <w:p w14:paraId="30ECD2DE" w14:textId="06E9ADFA" w:rsidR="001F3F40" w:rsidRPr="00F87241" w:rsidRDefault="001F3F40" w:rsidP="00ED5CB7">
            <w:pPr>
              <w:keepNext/>
              <w:keepLines/>
              <w:spacing w:before="0" w:after="0"/>
              <w:jc w:val="right"/>
              <w:rPr>
                <w:rFonts w:ascii="Arial Narrow" w:hAnsi="Arial Narrow"/>
                <w:b/>
                <w:bCs/>
                <w:color w:val="000000"/>
              </w:rPr>
            </w:pPr>
            <w:r>
              <w:rPr>
                <w:rFonts w:ascii="Arial Narrow" w:hAnsi="Arial Narrow"/>
                <w:color w:val="000000"/>
              </w:rPr>
              <w:t>$50,079</w:t>
            </w:r>
          </w:p>
        </w:tc>
        <w:tc>
          <w:tcPr>
            <w:tcW w:w="549" w:type="pct"/>
            <w:tcBorders>
              <w:bottom w:val="single" w:sz="4" w:space="0" w:color="auto"/>
            </w:tcBorders>
            <w:noWrap/>
            <w:vAlign w:val="bottom"/>
            <w:hideMark/>
          </w:tcPr>
          <w:p w14:paraId="08626B0A" w14:textId="4DC41162" w:rsidR="001F3F40" w:rsidRPr="00F87241" w:rsidRDefault="001F3F40" w:rsidP="00ED5CB7">
            <w:pPr>
              <w:keepNext/>
              <w:keepLines/>
              <w:spacing w:before="0" w:after="0"/>
              <w:jc w:val="right"/>
              <w:rPr>
                <w:rFonts w:ascii="Arial Narrow" w:hAnsi="Arial Narrow"/>
                <w:b/>
                <w:bCs/>
                <w:color w:val="000000"/>
              </w:rPr>
            </w:pPr>
            <w:r>
              <w:rPr>
                <w:rFonts w:ascii="Arial Narrow" w:hAnsi="Arial Narrow"/>
                <w:color w:val="000000"/>
              </w:rPr>
              <w:t>$72,831</w:t>
            </w:r>
          </w:p>
        </w:tc>
        <w:tc>
          <w:tcPr>
            <w:tcW w:w="549" w:type="pct"/>
            <w:tcBorders>
              <w:bottom w:val="single" w:sz="4" w:space="0" w:color="auto"/>
            </w:tcBorders>
            <w:noWrap/>
            <w:vAlign w:val="bottom"/>
            <w:hideMark/>
          </w:tcPr>
          <w:p w14:paraId="42B110AF" w14:textId="75DBB3F7" w:rsidR="001F3F40" w:rsidRPr="00F87241" w:rsidRDefault="001F3F40" w:rsidP="00ED5CB7">
            <w:pPr>
              <w:keepNext/>
              <w:keepLines/>
              <w:spacing w:before="0" w:after="0"/>
              <w:jc w:val="right"/>
              <w:rPr>
                <w:rFonts w:ascii="Arial Narrow" w:hAnsi="Arial Narrow"/>
                <w:b/>
                <w:bCs/>
                <w:color w:val="000000"/>
              </w:rPr>
            </w:pPr>
            <w:r>
              <w:rPr>
                <w:rFonts w:ascii="Arial Narrow" w:hAnsi="Arial Narrow"/>
                <w:color w:val="000000"/>
              </w:rPr>
              <w:t>$94,150</w:t>
            </w:r>
          </w:p>
        </w:tc>
        <w:tc>
          <w:tcPr>
            <w:tcW w:w="599" w:type="pct"/>
            <w:tcBorders>
              <w:bottom w:val="single" w:sz="4" w:space="0" w:color="auto"/>
            </w:tcBorders>
            <w:noWrap/>
            <w:vAlign w:val="bottom"/>
            <w:hideMark/>
          </w:tcPr>
          <w:p w14:paraId="1DD9F04E" w14:textId="089402FE" w:rsidR="001F3F40" w:rsidRPr="00F87241" w:rsidRDefault="001F3F40" w:rsidP="00ED5CB7">
            <w:pPr>
              <w:keepNext/>
              <w:keepLines/>
              <w:spacing w:before="0" w:after="0"/>
              <w:jc w:val="right"/>
              <w:rPr>
                <w:rFonts w:ascii="Arial Narrow" w:hAnsi="Arial Narrow"/>
                <w:b/>
                <w:bCs/>
                <w:color w:val="000000"/>
              </w:rPr>
            </w:pPr>
            <w:r>
              <w:rPr>
                <w:rFonts w:ascii="Arial Narrow" w:hAnsi="Arial Narrow"/>
                <w:color w:val="000000"/>
              </w:rPr>
              <w:t>$115,469</w:t>
            </w:r>
          </w:p>
        </w:tc>
        <w:tc>
          <w:tcPr>
            <w:tcW w:w="549" w:type="pct"/>
            <w:tcBorders>
              <w:bottom w:val="single" w:sz="4" w:space="0" w:color="auto"/>
            </w:tcBorders>
            <w:noWrap/>
            <w:vAlign w:val="bottom"/>
            <w:hideMark/>
          </w:tcPr>
          <w:p w14:paraId="4CE494EF" w14:textId="31439248" w:rsidR="001F3F40" w:rsidRPr="00F87241" w:rsidRDefault="001F3F40" w:rsidP="00ED5CB7">
            <w:pPr>
              <w:keepNext/>
              <w:keepLines/>
              <w:spacing w:before="0" w:after="0"/>
              <w:jc w:val="right"/>
              <w:rPr>
                <w:rFonts w:ascii="Arial Narrow" w:hAnsi="Arial Narrow"/>
                <w:b/>
                <w:bCs/>
                <w:color w:val="000000"/>
              </w:rPr>
            </w:pPr>
            <w:r>
              <w:rPr>
                <w:rFonts w:ascii="Arial Narrow" w:hAnsi="Arial Narrow"/>
                <w:color w:val="000000"/>
              </w:rPr>
              <w:t>$136,787</w:t>
            </w:r>
          </w:p>
        </w:tc>
        <w:tc>
          <w:tcPr>
            <w:tcW w:w="511" w:type="pct"/>
            <w:tcBorders>
              <w:bottom w:val="single" w:sz="4" w:space="0" w:color="auto"/>
            </w:tcBorders>
            <w:noWrap/>
            <w:vAlign w:val="bottom"/>
            <w:hideMark/>
          </w:tcPr>
          <w:p w14:paraId="7832824B" w14:textId="084F9CFE" w:rsidR="001F3F40" w:rsidRPr="00F87241" w:rsidRDefault="001F3F40" w:rsidP="00ED5CB7">
            <w:pPr>
              <w:keepNext/>
              <w:keepLines/>
              <w:spacing w:before="0" w:after="0"/>
              <w:jc w:val="right"/>
              <w:rPr>
                <w:rFonts w:ascii="Arial Narrow" w:hAnsi="Arial Narrow"/>
                <w:b/>
                <w:bCs/>
                <w:color w:val="000000"/>
              </w:rPr>
            </w:pPr>
            <w:r>
              <w:rPr>
                <w:rFonts w:ascii="Arial Narrow" w:hAnsi="Arial Narrow"/>
                <w:color w:val="000000"/>
              </w:rPr>
              <w:t>$158,106</w:t>
            </w:r>
          </w:p>
        </w:tc>
      </w:tr>
      <w:tr w:rsidR="001F3F40" w:rsidRPr="00F87241" w14:paraId="1E34923E" w14:textId="77777777" w:rsidTr="00175863">
        <w:trPr>
          <w:trHeight w:val="255"/>
        </w:trPr>
        <w:tc>
          <w:tcPr>
            <w:tcW w:w="1744" w:type="pct"/>
            <w:tcBorders>
              <w:right w:val="nil"/>
            </w:tcBorders>
            <w:noWrap/>
            <w:hideMark/>
          </w:tcPr>
          <w:p w14:paraId="300751B5" w14:textId="77777777" w:rsidR="001F3F40" w:rsidRPr="00F87241" w:rsidRDefault="001F3F40" w:rsidP="00ED5CB7">
            <w:pPr>
              <w:keepNext/>
              <w:keepLines/>
              <w:spacing w:before="0" w:after="0"/>
              <w:rPr>
                <w:rFonts w:ascii="Arial Narrow" w:hAnsi="Arial Narrow"/>
                <w:b/>
                <w:bCs/>
                <w:color w:val="000000"/>
              </w:rPr>
            </w:pPr>
            <w:r w:rsidRPr="00F87241">
              <w:rPr>
                <w:rFonts w:ascii="Arial Narrow" w:hAnsi="Arial Narrow"/>
                <w:b/>
                <w:bCs/>
                <w:color w:val="000000"/>
              </w:rPr>
              <w:t>Current practice</w:t>
            </w:r>
          </w:p>
        </w:tc>
        <w:tc>
          <w:tcPr>
            <w:tcW w:w="499" w:type="pct"/>
            <w:tcBorders>
              <w:left w:val="nil"/>
              <w:right w:val="nil"/>
            </w:tcBorders>
            <w:noWrap/>
            <w:hideMark/>
          </w:tcPr>
          <w:p w14:paraId="23D64A0C" w14:textId="77777777" w:rsidR="001F3F40" w:rsidRPr="00F87241" w:rsidRDefault="001F3F40" w:rsidP="00ED5CB7">
            <w:pPr>
              <w:keepNext/>
              <w:keepLines/>
              <w:spacing w:before="0" w:after="0"/>
              <w:rPr>
                <w:rFonts w:ascii="Arial Narrow" w:hAnsi="Arial Narrow"/>
              </w:rPr>
            </w:pPr>
          </w:p>
        </w:tc>
        <w:tc>
          <w:tcPr>
            <w:tcW w:w="549" w:type="pct"/>
            <w:tcBorders>
              <w:left w:val="nil"/>
              <w:right w:val="nil"/>
            </w:tcBorders>
            <w:noWrap/>
            <w:hideMark/>
          </w:tcPr>
          <w:p w14:paraId="6EE37829" w14:textId="77777777" w:rsidR="001F3F40" w:rsidRPr="00F87241" w:rsidRDefault="001F3F40" w:rsidP="00ED5CB7">
            <w:pPr>
              <w:keepNext/>
              <w:keepLines/>
              <w:spacing w:before="0" w:after="0"/>
              <w:rPr>
                <w:rFonts w:ascii="Arial Narrow" w:hAnsi="Arial Narrow"/>
              </w:rPr>
            </w:pPr>
          </w:p>
        </w:tc>
        <w:tc>
          <w:tcPr>
            <w:tcW w:w="549" w:type="pct"/>
            <w:tcBorders>
              <w:left w:val="nil"/>
              <w:right w:val="nil"/>
            </w:tcBorders>
            <w:noWrap/>
            <w:hideMark/>
          </w:tcPr>
          <w:p w14:paraId="2785B9E0" w14:textId="77777777" w:rsidR="001F3F40" w:rsidRPr="00F87241" w:rsidRDefault="001F3F40" w:rsidP="00ED5CB7">
            <w:pPr>
              <w:keepNext/>
              <w:keepLines/>
              <w:spacing w:before="0" w:after="0"/>
              <w:rPr>
                <w:rFonts w:ascii="Arial Narrow" w:hAnsi="Arial Narrow"/>
              </w:rPr>
            </w:pPr>
          </w:p>
        </w:tc>
        <w:tc>
          <w:tcPr>
            <w:tcW w:w="599" w:type="pct"/>
            <w:tcBorders>
              <w:left w:val="nil"/>
              <w:right w:val="nil"/>
            </w:tcBorders>
            <w:noWrap/>
            <w:hideMark/>
          </w:tcPr>
          <w:p w14:paraId="50389F50" w14:textId="77777777" w:rsidR="001F3F40" w:rsidRPr="00F87241" w:rsidRDefault="001F3F40" w:rsidP="00ED5CB7">
            <w:pPr>
              <w:keepNext/>
              <w:keepLines/>
              <w:spacing w:before="0" w:after="0"/>
              <w:rPr>
                <w:rFonts w:ascii="Arial Narrow" w:hAnsi="Arial Narrow"/>
              </w:rPr>
            </w:pPr>
          </w:p>
        </w:tc>
        <w:tc>
          <w:tcPr>
            <w:tcW w:w="549" w:type="pct"/>
            <w:tcBorders>
              <w:left w:val="nil"/>
              <w:right w:val="nil"/>
            </w:tcBorders>
            <w:noWrap/>
            <w:hideMark/>
          </w:tcPr>
          <w:p w14:paraId="2744B135" w14:textId="77777777" w:rsidR="001F3F40" w:rsidRPr="00F87241" w:rsidRDefault="001F3F40" w:rsidP="00ED5CB7">
            <w:pPr>
              <w:keepNext/>
              <w:keepLines/>
              <w:spacing w:before="0" w:after="0"/>
              <w:rPr>
                <w:rFonts w:ascii="Arial Narrow" w:hAnsi="Arial Narrow"/>
              </w:rPr>
            </w:pPr>
          </w:p>
        </w:tc>
        <w:tc>
          <w:tcPr>
            <w:tcW w:w="511" w:type="pct"/>
            <w:tcBorders>
              <w:left w:val="nil"/>
            </w:tcBorders>
            <w:noWrap/>
            <w:hideMark/>
          </w:tcPr>
          <w:p w14:paraId="114EFC5F" w14:textId="77777777" w:rsidR="001F3F40" w:rsidRPr="00F87241" w:rsidRDefault="001F3F40" w:rsidP="00ED5CB7">
            <w:pPr>
              <w:keepNext/>
              <w:keepLines/>
              <w:spacing w:before="0" w:after="0"/>
              <w:rPr>
                <w:rFonts w:ascii="Arial Narrow" w:hAnsi="Arial Narrow"/>
              </w:rPr>
            </w:pPr>
          </w:p>
        </w:tc>
      </w:tr>
      <w:tr w:rsidR="001F3F40" w:rsidRPr="00F87241" w14:paraId="3765D07E" w14:textId="77777777" w:rsidTr="00175863">
        <w:trPr>
          <w:trHeight w:val="255"/>
        </w:trPr>
        <w:tc>
          <w:tcPr>
            <w:tcW w:w="1744" w:type="pct"/>
            <w:noWrap/>
            <w:hideMark/>
          </w:tcPr>
          <w:p w14:paraId="61DB242C" w14:textId="77777777" w:rsidR="001F3F40" w:rsidRPr="00F87241" w:rsidRDefault="001F3F40" w:rsidP="00ED5CB7">
            <w:pPr>
              <w:keepNext/>
              <w:keepLines/>
              <w:spacing w:before="0" w:after="0"/>
              <w:rPr>
                <w:rFonts w:ascii="Arial Narrow" w:hAnsi="Arial Narrow"/>
                <w:color w:val="000000"/>
              </w:rPr>
            </w:pPr>
            <w:r w:rsidRPr="00F87241">
              <w:rPr>
                <w:rFonts w:ascii="Arial Narrow" w:hAnsi="Arial Narrow"/>
                <w:color w:val="000000"/>
              </w:rPr>
              <w:t>Number of GSD II affected cases diagnosed</w:t>
            </w:r>
          </w:p>
        </w:tc>
        <w:tc>
          <w:tcPr>
            <w:tcW w:w="499" w:type="pct"/>
            <w:noWrap/>
            <w:vAlign w:val="center"/>
            <w:hideMark/>
          </w:tcPr>
          <w:p w14:paraId="2F07890C"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6.67</w:t>
            </w:r>
          </w:p>
        </w:tc>
        <w:tc>
          <w:tcPr>
            <w:tcW w:w="549" w:type="pct"/>
            <w:noWrap/>
            <w:vAlign w:val="center"/>
            <w:hideMark/>
          </w:tcPr>
          <w:p w14:paraId="4F215BC3"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6.68</w:t>
            </w:r>
          </w:p>
        </w:tc>
        <w:tc>
          <w:tcPr>
            <w:tcW w:w="549" w:type="pct"/>
            <w:noWrap/>
            <w:vAlign w:val="center"/>
            <w:hideMark/>
          </w:tcPr>
          <w:p w14:paraId="4DCA2FD7"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6.68</w:t>
            </w:r>
          </w:p>
        </w:tc>
        <w:tc>
          <w:tcPr>
            <w:tcW w:w="599" w:type="pct"/>
            <w:noWrap/>
            <w:vAlign w:val="center"/>
            <w:hideMark/>
          </w:tcPr>
          <w:p w14:paraId="609A2970"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6.68</w:t>
            </w:r>
          </w:p>
        </w:tc>
        <w:tc>
          <w:tcPr>
            <w:tcW w:w="549" w:type="pct"/>
            <w:noWrap/>
            <w:vAlign w:val="center"/>
            <w:hideMark/>
          </w:tcPr>
          <w:p w14:paraId="1534A1D4"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6.69</w:t>
            </w:r>
          </w:p>
        </w:tc>
        <w:tc>
          <w:tcPr>
            <w:tcW w:w="511" w:type="pct"/>
            <w:noWrap/>
            <w:vAlign w:val="center"/>
            <w:hideMark/>
          </w:tcPr>
          <w:p w14:paraId="1F310A53"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6.69</w:t>
            </w:r>
          </w:p>
        </w:tc>
      </w:tr>
      <w:tr w:rsidR="001F3F40" w:rsidRPr="00F87241" w14:paraId="24630F71" w14:textId="77777777" w:rsidTr="00175863">
        <w:trPr>
          <w:trHeight w:val="255"/>
        </w:trPr>
        <w:tc>
          <w:tcPr>
            <w:tcW w:w="1744" w:type="pct"/>
            <w:noWrap/>
            <w:hideMark/>
          </w:tcPr>
          <w:p w14:paraId="57FC5068" w14:textId="77777777" w:rsidR="001F3F40" w:rsidRPr="00F87241" w:rsidRDefault="001F3F40" w:rsidP="00ED5CB7">
            <w:pPr>
              <w:keepNext/>
              <w:keepLines/>
              <w:spacing w:before="0" w:after="0"/>
              <w:ind w:firstLineChars="100" w:firstLine="200"/>
              <w:rPr>
                <w:rFonts w:ascii="Arial Narrow" w:hAnsi="Arial Narrow"/>
                <w:color w:val="000000"/>
              </w:rPr>
            </w:pPr>
            <w:r w:rsidRPr="00F87241">
              <w:rPr>
                <w:rFonts w:ascii="Arial Narrow" w:hAnsi="Arial Narrow"/>
                <w:color w:val="000000"/>
              </w:rPr>
              <w:t>Number of affected cases with IOGSD II</w:t>
            </w:r>
          </w:p>
        </w:tc>
        <w:tc>
          <w:tcPr>
            <w:tcW w:w="499" w:type="pct"/>
            <w:noWrap/>
            <w:vAlign w:val="center"/>
            <w:hideMark/>
          </w:tcPr>
          <w:p w14:paraId="05A58F6F"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1.00</w:t>
            </w:r>
          </w:p>
        </w:tc>
        <w:tc>
          <w:tcPr>
            <w:tcW w:w="549" w:type="pct"/>
            <w:noWrap/>
            <w:vAlign w:val="center"/>
            <w:hideMark/>
          </w:tcPr>
          <w:p w14:paraId="3B7C4D25"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1.00</w:t>
            </w:r>
          </w:p>
        </w:tc>
        <w:tc>
          <w:tcPr>
            <w:tcW w:w="549" w:type="pct"/>
            <w:noWrap/>
            <w:vAlign w:val="center"/>
            <w:hideMark/>
          </w:tcPr>
          <w:p w14:paraId="2AA86AA5"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1.00</w:t>
            </w:r>
          </w:p>
        </w:tc>
        <w:tc>
          <w:tcPr>
            <w:tcW w:w="599" w:type="pct"/>
            <w:noWrap/>
            <w:vAlign w:val="center"/>
            <w:hideMark/>
          </w:tcPr>
          <w:p w14:paraId="1A100C7E"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1.00</w:t>
            </w:r>
          </w:p>
        </w:tc>
        <w:tc>
          <w:tcPr>
            <w:tcW w:w="549" w:type="pct"/>
            <w:noWrap/>
            <w:vAlign w:val="center"/>
            <w:hideMark/>
          </w:tcPr>
          <w:p w14:paraId="74BBFB5D"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1.00</w:t>
            </w:r>
          </w:p>
        </w:tc>
        <w:tc>
          <w:tcPr>
            <w:tcW w:w="511" w:type="pct"/>
            <w:noWrap/>
            <w:vAlign w:val="center"/>
            <w:hideMark/>
          </w:tcPr>
          <w:p w14:paraId="6AA70476"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1.00</w:t>
            </w:r>
          </w:p>
        </w:tc>
      </w:tr>
      <w:tr w:rsidR="001F3F40" w:rsidRPr="00F87241" w14:paraId="6629D3B6" w14:textId="77777777" w:rsidTr="00175863">
        <w:trPr>
          <w:trHeight w:val="255"/>
        </w:trPr>
        <w:tc>
          <w:tcPr>
            <w:tcW w:w="1744" w:type="pct"/>
            <w:noWrap/>
            <w:hideMark/>
          </w:tcPr>
          <w:p w14:paraId="07541D19" w14:textId="77777777" w:rsidR="001F3F40" w:rsidRPr="00F87241" w:rsidRDefault="001F3F40" w:rsidP="00ED5CB7">
            <w:pPr>
              <w:keepNext/>
              <w:keepLines/>
              <w:spacing w:before="0" w:after="0"/>
              <w:ind w:firstLineChars="100" w:firstLine="200"/>
              <w:jc w:val="both"/>
              <w:rPr>
                <w:rFonts w:ascii="Arial Narrow" w:hAnsi="Arial Narrow"/>
                <w:color w:val="000000"/>
              </w:rPr>
            </w:pPr>
            <w:r w:rsidRPr="00F87241">
              <w:rPr>
                <w:rFonts w:ascii="Arial Narrow" w:hAnsi="Arial Narrow"/>
                <w:color w:val="000000"/>
              </w:rPr>
              <w:t>Number of affected cases with LOGSD II</w:t>
            </w:r>
          </w:p>
        </w:tc>
        <w:tc>
          <w:tcPr>
            <w:tcW w:w="499" w:type="pct"/>
            <w:noWrap/>
            <w:vAlign w:val="center"/>
            <w:hideMark/>
          </w:tcPr>
          <w:p w14:paraId="40ED00A7"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5.67</w:t>
            </w:r>
          </w:p>
        </w:tc>
        <w:tc>
          <w:tcPr>
            <w:tcW w:w="549" w:type="pct"/>
            <w:noWrap/>
            <w:vAlign w:val="center"/>
            <w:hideMark/>
          </w:tcPr>
          <w:p w14:paraId="5F3EE5D3"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5.67</w:t>
            </w:r>
          </w:p>
        </w:tc>
        <w:tc>
          <w:tcPr>
            <w:tcW w:w="549" w:type="pct"/>
            <w:noWrap/>
            <w:vAlign w:val="center"/>
            <w:hideMark/>
          </w:tcPr>
          <w:p w14:paraId="0B03C3B8"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5.68</w:t>
            </w:r>
          </w:p>
        </w:tc>
        <w:tc>
          <w:tcPr>
            <w:tcW w:w="599" w:type="pct"/>
            <w:noWrap/>
            <w:vAlign w:val="center"/>
            <w:hideMark/>
          </w:tcPr>
          <w:p w14:paraId="2A782B2F"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5.68</w:t>
            </w:r>
          </w:p>
        </w:tc>
        <w:tc>
          <w:tcPr>
            <w:tcW w:w="549" w:type="pct"/>
            <w:noWrap/>
            <w:vAlign w:val="center"/>
            <w:hideMark/>
          </w:tcPr>
          <w:p w14:paraId="5F1D6C89"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5.68</w:t>
            </w:r>
          </w:p>
        </w:tc>
        <w:tc>
          <w:tcPr>
            <w:tcW w:w="511" w:type="pct"/>
            <w:noWrap/>
            <w:vAlign w:val="center"/>
            <w:hideMark/>
          </w:tcPr>
          <w:p w14:paraId="06D9A208"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5.69</w:t>
            </w:r>
          </w:p>
        </w:tc>
      </w:tr>
      <w:tr w:rsidR="001F3F40" w:rsidRPr="00F87241" w14:paraId="76EADE43" w14:textId="77777777" w:rsidTr="00175863">
        <w:trPr>
          <w:trHeight w:val="255"/>
        </w:trPr>
        <w:tc>
          <w:tcPr>
            <w:tcW w:w="1744" w:type="pct"/>
            <w:noWrap/>
            <w:hideMark/>
          </w:tcPr>
          <w:p w14:paraId="6DABDFE8" w14:textId="77777777" w:rsidR="001F3F40" w:rsidRPr="00F87241" w:rsidRDefault="001F3F40" w:rsidP="00ED5CB7">
            <w:pPr>
              <w:keepNext/>
              <w:keepLines/>
              <w:spacing w:before="0" w:after="0"/>
              <w:ind w:firstLineChars="100" w:firstLine="200"/>
              <w:rPr>
                <w:rFonts w:ascii="Arial Narrow" w:hAnsi="Arial Narrow"/>
                <w:color w:val="000000"/>
              </w:rPr>
            </w:pPr>
            <w:r w:rsidRPr="00F87241">
              <w:rPr>
                <w:rFonts w:ascii="Arial Narrow" w:hAnsi="Arial Narrow"/>
                <w:color w:val="000000"/>
              </w:rPr>
              <w:t>Cumulative number of LOGSD II cases symptomatic at age 2 years</w:t>
            </w:r>
          </w:p>
        </w:tc>
        <w:tc>
          <w:tcPr>
            <w:tcW w:w="499" w:type="pct"/>
            <w:noWrap/>
            <w:vAlign w:val="center"/>
            <w:hideMark/>
          </w:tcPr>
          <w:p w14:paraId="75B9AB9B"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0.00</w:t>
            </w:r>
          </w:p>
        </w:tc>
        <w:tc>
          <w:tcPr>
            <w:tcW w:w="549" w:type="pct"/>
            <w:noWrap/>
            <w:vAlign w:val="center"/>
            <w:hideMark/>
          </w:tcPr>
          <w:p w14:paraId="6EF961E6"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0.00</w:t>
            </w:r>
          </w:p>
        </w:tc>
        <w:tc>
          <w:tcPr>
            <w:tcW w:w="549" w:type="pct"/>
            <w:noWrap/>
            <w:vAlign w:val="center"/>
            <w:hideMark/>
          </w:tcPr>
          <w:p w14:paraId="702DB9D9"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0.37</w:t>
            </w:r>
          </w:p>
        </w:tc>
        <w:tc>
          <w:tcPr>
            <w:tcW w:w="599" w:type="pct"/>
            <w:noWrap/>
            <w:vAlign w:val="center"/>
            <w:hideMark/>
          </w:tcPr>
          <w:p w14:paraId="253FBF6E"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0.74</w:t>
            </w:r>
          </w:p>
        </w:tc>
        <w:tc>
          <w:tcPr>
            <w:tcW w:w="549" w:type="pct"/>
            <w:noWrap/>
            <w:vAlign w:val="center"/>
            <w:hideMark/>
          </w:tcPr>
          <w:p w14:paraId="199FB3B5"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1.12</w:t>
            </w:r>
          </w:p>
        </w:tc>
        <w:tc>
          <w:tcPr>
            <w:tcW w:w="511" w:type="pct"/>
            <w:noWrap/>
            <w:vAlign w:val="center"/>
            <w:hideMark/>
          </w:tcPr>
          <w:p w14:paraId="1EBDEAF1"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1.49</w:t>
            </w:r>
          </w:p>
        </w:tc>
      </w:tr>
      <w:tr w:rsidR="001F3F40" w:rsidRPr="00F87241" w14:paraId="56A50980" w14:textId="77777777" w:rsidTr="00175863">
        <w:trPr>
          <w:trHeight w:val="255"/>
        </w:trPr>
        <w:tc>
          <w:tcPr>
            <w:tcW w:w="1744" w:type="pct"/>
            <w:noWrap/>
            <w:hideMark/>
          </w:tcPr>
          <w:p w14:paraId="2B5DB1D1" w14:textId="77777777" w:rsidR="001F3F40" w:rsidRPr="00F87241" w:rsidRDefault="001F3F40" w:rsidP="00ED5CB7">
            <w:pPr>
              <w:keepNext/>
              <w:keepLines/>
              <w:spacing w:before="0" w:after="0"/>
              <w:rPr>
                <w:rFonts w:ascii="Arial Narrow" w:hAnsi="Arial Narrow"/>
                <w:color w:val="000000"/>
              </w:rPr>
            </w:pPr>
            <w:r w:rsidRPr="00F87241">
              <w:rPr>
                <w:rFonts w:ascii="Arial Narrow" w:hAnsi="Arial Narrow"/>
                <w:color w:val="000000"/>
              </w:rPr>
              <w:t>Cost of confirmatory diagnostic test (only IO diagnosed)</w:t>
            </w:r>
          </w:p>
        </w:tc>
        <w:tc>
          <w:tcPr>
            <w:tcW w:w="499" w:type="pct"/>
            <w:noWrap/>
            <w:vAlign w:val="center"/>
            <w:hideMark/>
          </w:tcPr>
          <w:p w14:paraId="447B73F8"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$890</w:t>
            </w:r>
          </w:p>
        </w:tc>
        <w:tc>
          <w:tcPr>
            <w:tcW w:w="549" w:type="pct"/>
            <w:noWrap/>
            <w:vAlign w:val="center"/>
            <w:hideMark/>
          </w:tcPr>
          <w:p w14:paraId="4F1CD127"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$890</w:t>
            </w:r>
          </w:p>
        </w:tc>
        <w:tc>
          <w:tcPr>
            <w:tcW w:w="549" w:type="pct"/>
            <w:noWrap/>
            <w:vAlign w:val="center"/>
            <w:hideMark/>
          </w:tcPr>
          <w:p w14:paraId="1F9099C4"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$891</w:t>
            </w:r>
          </w:p>
        </w:tc>
        <w:tc>
          <w:tcPr>
            <w:tcW w:w="599" w:type="pct"/>
            <w:noWrap/>
            <w:vAlign w:val="center"/>
            <w:hideMark/>
          </w:tcPr>
          <w:p w14:paraId="0967AA74"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$891</w:t>
            </w:r>
          </w:p>
        </w:tc>
        <w:tc>
          <w:tcPr>
            <w:tcW w:w="549" w:type="pct"/>
            <w:noWrap/>
            <w:vAlign w:val="center"/>
            <w:hideMark/>
          </w:tcPr>
          <w:p w14:paraId="6902EB18"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$892</w:t>
            </w:r>
          </w:p>
        </w:tc>
        <w:tc>
          <w:tcPr>
            <w:tcW w:w="511" w:type="pct"/>
            <w:noWrap/>
            <w:vAlign w:val="center"/>
            <w:hideMark/>
          </w:tcPr>
          <w:p w14:paraId="3001F872"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$892</w:t>
            </w:r>
          </w:p>
        </w:tc>
      </w:tr>
      <w:tr w:rsidR="001F3F40" w:rsidRPr="00F87241" w14:paraId="696F1A3C" w14:textId="77777777" w:rsidTr="00175863">
        <w:trPr>
          <w:trHeight w:val="255"/>
        </w:trPr>
        <w:tc>
          <w:tcPr>
            <w:tcW w:w="1744" w:type="pct"/>
            <w:noWrap/>
            <w:hideMark/>
          </w:tcPr>
          <w:p w14:paraId="146A5669" w14:textId="41CF4DD2" w:rsidR="001F3F40" w:rsidRPr="00F87241" w:rsidRDefault="001F3F40" w:rsidP="00ED5CB7">
            <w:pPr>
              <w:keepNext/>
              <w:keepLines/>
              <w:spacing w:before="0" w:after="0"/>
              <w:rPr>
                <w:rFonts w:ascii="Arial Narrow" w:hAnsi="Arial Narrow"/>
                <w:color w:val="000000"/>
              </w:rPr>
            </w:pPr>
            <w:r w:rsidRPr="00F87241">
              <w:rPr>
                <w:rFonts w:ascii="Arial Narrow" w:hAnsi="Arial Narrow"/>
                <w:color w:val="000000"/>
              </w:rPr>
              <w:t xml:space="preserve">Cost of diagnostic </w:t>
            </w:r>
            <w:r w:rsidR="00F858A6">
              <w:rPr>
                <w:rFonts w:ascii="Arial Narrow" w:hAnsi="Arial Narrow"/>
                <w:color w:val="000000"/>
              </w:rPr>
              <w:t>delay</w:t>
            </w:r>
          </w:p>
        </w:tc>
        <w:tc>
          <w:tcPr>
            <w:tcW w:w="499" w:type="pct"/>
            <w:noWrap/>
            <w:vAlign w:val="center"/>
            <w:hideMark/>
          </w:tcPr>
          <w:p w14:paraId="4E81A4A1"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$4,944</w:t>
            </w:r>
          </w:p>
        </w:tc>
        <w:tc>
          <w:tcPr>
            <w:tcW w:w="549" w:type="pct"/>
            <w:noWrap/>
            <w:vAlign w:val="center"/>
            <w:hideMark/>
          </w:tcPr>
          <w:p w14:paraId="5E958DF3"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$4,947</w:t>
            </w:r>
          </w:p>
        </w:tc>
        <w:tc>
          <w:tcPr>
            <w:tcW w:w="549" w:type="pct"/>
            <w:noWrap/>
            <w:vAlign w:val="center"/>
            <w:hideMark/>
          </w:tcPr>
          <w:p w14:paraId="2A739ED6"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$6,787</w:t>
            </w:r>
          </w:p>
        </w:tc>
        <w:tc>
          <w:tcPr>
            <w:tcW w:w="599" w:type="pct"/>
            <w:noWrap/>
            <w:vAlign w:val="center"/>
            <w:hideMark/>
          </w:tcPr>
          <w:p w14:paraId="30A13F60"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$8,627</w:t>
            </w:r>
          </w:p>
        </w:tc>
        <w:tc>
          <w:tcPr>
            <w:tcW w:w="549" w:type="pct"/>
            <w:noWrap/>
            <w:vAlign w:val="center"/>
            <w:hideMark/>
          </w:tcPr>
          <w:p w14:paraId="3509123A"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$10,469</w:t>
            </w:r>
          </w:p>
        </w:tc>
        <w:tc>
          <w:tcPr>
            <w:tcW w:w="511" w:type="pct"/>
            <w:noWrap/>
            <w:vAlign w:val="center"/>
            <w:hideMark/>
          </w:tcPr>
          <w:p w14:paraId="380D186F"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$12,312</w:t>
            </w:r>
          </w:p>
        </w:tc>
      </w:tr>
      <w:tr w:rsidR="001F3F40" w:rsidRPr="00F87241" w14:paraId="5C096CCA" w14:textId="77777777" w:rsidTr="00175863">
        <w:trPr>
          <w:trHeight w:val="255"/>
        </w:trPr>
        <w:tc>
          <w:tcPr>
            <w:tcW w:w="1744" w:type="pct"/>
            <w:noWrap/>
            <w:hideMark/>
          </w:tcPr>
          <w:p w14:paraId="664E6DAD" w14:textId="48E9480E" w:rsidR="001F3F40" w:rsidRPr="00F87241" w:rsidRDefault="00921A70" w:rsidP="00ED5CB7">
            <w:pPr>
              <w:keepNext/>
              <w:keepLines/>
              <w:spacing w:before="0" w:after="0"/>
              <w:rPr>
                <w:rFonts w:ascii="Arial Narrow" w:hAnsi="Arial Narrow"/>
                <w:color w:val="000000"/>
              </w:rPr>
            </w:pPr>
            <w:r>
              <w:rPr>
                <w:rFonts w:ascii="Arial Narrow" w:hAnsi="Arial Narrow"/>
                <w:color w:val="000000"/>
              </w:rPr>
              <w:t>Segregation</w:t>
            </w:r>
            <w:r w:rsidRPr="00F87241">
              <w:rPr>
                <w:rFonts w:ascii="Arial Narrow" w:hAnsi="Arial Narrow"/>
                <w:color w:val="000000"/>
              </w:rPr>
              <w:t xml:space="preserve"> </w:t>
            </w:r>
            <w:r w:rsidR="001F3F40" w:rsidRPr="00F87241">
              <w:rPr>
                <w:rFonts w:ascii="Arial Narrow" w:hAnsi="Arial Narrow"/>
                <w:color w:val="000000"/>
              </w:rPr>
              <w:t>tests in parents (one couple per affected case)</w:t>
            </w:r>
          </w:p>
        </w:tc>
        <w:tc>
          <w:tcPr>
            <w:tcW w:w="499" w:type="pct"/>
            <w:noWrap/>
            <w:vAlign w:val="center"/>
            <w:hideMark/>
          </w:tcPr>
          <w:p w14:paraId="69D265AE"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$801</w:t>
            </w:r>
          </w:p>
        </w:tc>
        <w:tc>
          <w:tcPr>
            <w:tcW w:w="549" w:type="pct"/>
            <w:noWrap/>
            <w:vAlign w:val="center"/>
            <w:hideMark/>
          </w:tcPr>
          <w:p w14:paraId="4793AA43"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$801</w:t>
            </w:r>
          </w:p>
        </w:tc>
        <w:tc>
          <w:tcPr>
            <w:tcW w:w="549" w:type="pct"/>
            <w:noWrap/>
            <w:vAlign w:val="center"/>
            <w:hideMark/>
          </w:tcPr>
          <w:p w14:paraId="06F7B551"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$801</w:t>
            </w:r>
          </w:p>
        </w:tc>
        <w:tc>
          <w:tcPr>
            <w:tcW w:w="599" w:type="pct"/>
            <w:noWrap/>
            <w:vAlign w:val="center"/>
            <w:hideMark/>
          </w:tcPr>
          <w:p w14:paraId="67F3AA42"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$802</w:t>
            </w:r>
          </w:p>
        </w:tc>
        <w:tc>
          <w:tcPr>
            <w:tcW w:w="549" w:type="pct"/>
            <w:noWrap/>
            <w:vAlign w:val="center"/>
            <w:hideMark/>
          </w:tcPr>
          <w:p w14:paraId="09D78AE9"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$802</w:t>
            </w:r>
          </w:p>
        </w:tc>
        <w:tc>
          <w:tcPr>
            <w:tcW w:w="511" w:type="pct"/>
            <w:noWrap/>
            <w:vAlign w:val="center"/>
            <w:hideMark/>
          </w:tcPr>
          <w:p w14:paraId="2CF8B375"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$803</w:t>
            </w:r>
          </w:p>
        </w:tc>
      </w:tr>
      <w:tr w:rsidR="001F3F40" w:rsidRPr="00F87241" w14:paraId="3187D260" w14:textId="77777777" w:rsidTr="00EC15A4">
        <w:trPr>
          <w:trHeight w:val="255"/>
        </w:trPr>
        <w:tc>
          <w:tcPr>
            <w:tcW w:w="1744" w:type="pct"/>
            <w:noWrap/>
            <w:hideMark/>
          </w:tcPr>
          <w:p w14:paraId="709F60B0" w14:textId="71465EAA" w:rsidR="001F3F40" w:rsidRPr="00F87241" w:rsidRDefault="001F3F40" w:rsidP="00ED5CB7">
            <w:pPr>
              <w:keepNext/>
              <w:keepLines/>
              <w:spacing w:before="0" w:after="0"/>
              <w:rPr>
                <w:rFonts w:ascii="Arial Narrow" w:hAnsi="Arial Narrow"/>
                <w:color w:val="000000"/>
              </w:rPr>
            </w:pPr>
            <w:r w:rsidRPr="00F87241">
              <w:rPr>
                <w:rFonts w:ascii="Arial Narrow" w:hAnsi="Arial Narrow"/>
                <w:color w:val="000000"/>
              </w:rPr>
              <w:t>Cascade tests in siblings (one sibling per affected case)</w:t>
            </w:r>
          </w:p>
        </w:tc>
        <w:tc>
          <w:tcPr>
            <w:tcW w:w="499" w:type="pct"/>
            <w:noWrap/>
            <w:vAlign w:val="center"/>
            <w:hideMark/>
          </w:tcPr>
          <w:p w14:paraId="2D4D41F1"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$890</w:t>
            </w:r>
          </w:p>
        </w:tc>
        <w:tc>
          <w:tcPr>
            <w:tcW w:w="549" w:type="pct"/>
            <w:noWrap/>
            <w:vAlign w:val="center"/>
            <w:hideMark/>
          </w:tcPr>
          <w:p w14:paraId="07E773BA"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$890</w:t>
            </w:r>
          </w:p>
        </w:tc>
        <w:tc>
          <w:tcPr>
            <w:tcW w:w="549" w:type="pct"/>
            <w:noWrap/>
            <w:vAlign w:val="center"/>
            <w:hideMark/>
          </w:tcPr>
          <w:p w14:paraId="554F4A63"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$891</w:t>
            </w:r>
          </w:p>
        </w:tc>
        <w:tc>
          <w:tcPr>
            <w:tcW w:w="599" w:type="pct"/>
            <w:noWrap/>
            <w:vAlign w:val="center"/>
            <w:hideMark/>
          </w:tcPr>
          <w:p w14:paraId="5DE58B0F"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$891</w:t>
            </w:r>
          </w:p>
        </w:tc>
        <w:tc>
          <w:tcPr>
            <w:tcW w:w="549" w:type="pct"/>
            <w:noWrap/>
            <w:vAlign w:val="center"/>
            <w:hideMark/>
          </w:tcPr>
          <w:p w14:paraId="4A14A926" w14:textId="7777777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$892</w:t>
            </w:r>
          </w:p>
        </w:tc>
        <w:tc>
          <w:tcPr>
            <w:tcW w:w="511" w:type="pct"/>
            <w:noWrap/>
            <w:vAlign w:val="center"/>
            <w:hideMark/>
          </w:tcPr>
          <w:p w14:paraId="15A9E376" w14:textId="3C594367" w:rsidR="001F3F40" w:rsidRPr="00F87241" w:rsidRDefault="001F3F40" w:rsidP="00ED5CB7">
            <w:pPr>
              <w:keepNext/>
              <w:keepLines/>
              <w:spacing w:before="0" w:after="0"/>
              <w:jc w:val="right"/>
              <w:rPr>
                <w:rFonts w:ascii="Arial Narrow" w:hAnsi="Arial Narrow"/>
                <w:color w:val="000000"/>
              </w:rPr>
            </w:pPr>
            <w:r>
              <w:rPr>
                <w:rFonts w:ascii="Arial Narrow" w:hAnsi="Arial Narrow"/>
                <w:color w:val="000000"/>
              </w:rPr>
              <w:t>$892</w:t>
            </w:r>
          </w:p>
        </w:tc>
      </w:tr>
      <w:tr w:rsidR="001F3F40" w:rsidRPr="00123C4A" w14:paraId="79CA82D7" w14:textId="77777777" w:rsidTr="00175863">
        <w:trPr>
          <w:trHeight w:val="255"/>
        </w:trPr>
        <w:tc>
          <w:tcPr>
            <w:tcW w:w="1744" w:type="pct"/>
            <w:noWrap/>
            <w:hideMark/>
          </w:tcPr>
          <w:p w14:paraId="429E82AB" w14:textId="77777777" w:rsidR="001F3F40" w:rsidRPr="00F87241" w:rsidRDefault="001F3F40" w:rsidP="00ED5CB7">
            <w:pPr>
              <w:keepNext/>
              <w:keepLines/>
              <w:spacing w:before="0" w:after="0"/>
              <w:rPr>
                <w:rFonts w:ascii="Arial Narrow" w:hAnsi="Arial Narrow"/>
                <w:b/>
                <w:bCs/>
                <w:color w:val="000000"/>
              </w:rPr>
            </w:pPr>
            <w:r>
              <w:rPr>
                <w:rFonts w:ascii="Arial Narrow" w:hAnsi="Arial Narrow"/>
                <w:b/>
                <w:bCs/>
                <w:color w:val="000000"/>
              </w:rPr>
              <w:t>Total</w:t>
            </w:r>
            <w:r w:rsidRPr="00F87241">
              <w:rPr>
                <w:rFonts w:ascii="Arial Narrow" w:hAnsi="Arial Narrow"/>
                <w:b/>
                <w:bCs/>
                <w:color w:val="000000"/>
              </w:rPr>
              <w:t xml:space="preserve"> cost </w:t>
            </w:r>
            <w:r>
              <w:rPr>
                <w:rFonts w:ascii="Arial Narrow" w:hAnsi="Arial Narrow"/>
                <w:b/>
                <w:bCs/>
                <w:color w:val="000000"/>
              </w:rPr>
              <w:t xml:space="preserve">offset </w:t>
            </w:r>
            <w:r w:rsidRPr="00F87241">
              <w:rPr>
                <w:rFonts w:ascii="Arial Narrow" w:hAnsi="Arial Narrow"/>
                <w:b/>
                <w:bCs/>
                <w:color w:val="000000"/>
              </w:rPr>
              <w:t xml:space="preserve">to </w:t>
            </w:r>
            <w:r>
              <w:rPr>
                <w:rFonts w:ascii="Arial Narrow" w:hAnsi="Arial Narrow"/>
                <w:b/>
                <w:bCs/>
                <w:color w:val="000000"/>
              </w:rPr>
              <w:t>S/T health budgets</w:t>
            </w:r>
          </w:p>
        </w:tc>
        <w:tc>
          <w:tcPr>
            <w:tcW w:w="499" w:type="pct"/>
            <w:noWrap/>
            <w:vAlign w:val="center"/>
            <w:hideMark/>
          </w:tcPr>
          <w:p w14:paraId="5607B323" w14:textId="77777777" w:rsidR="001F3F40" w:rsidRPr="00F87241" w:rsidRDefault="001F3F40" w:rsidP="00ED5CB7">
            <w:pPr>
              <w:keepNext/>
              <w:keepLines/>
              <w:spacing w:before="0" w:after="0"/>
              <w:jc w:val="right"/>
              <w:rPr>
                <w:rFonts w:ascii="Arial Narrow" w:hAnsi="Arial Narrow"/>
                <w:b/>
                <w:bCs/>
                <w:color w:val="000000"/>
              </w:rPr>
            </w:pPr>
            <w:r>
              <w:rPr>
                <w:rFonts w:ascii="Arial Narrow" w:hAnsi="Arial Narrow"/>
                <w:color w:val="000000"/>
              </w:rPr>
              <w:t>$7,524</w:t>
            </w:r>
          </w:p>
        </w:tc>
        <w:tc>
          <w:tcPr>
            <w:tcW w:w="549" w:type="pct"/>
            <w:noWrap/>
            <w:vAlign w:val="center"/>
            <w:hideMark/>
          </w:tcPr>
          <w:p w14:paraId="00701777" w14:textId="77777777" w:rsidR="001F3F40" w:rsidRPr="00F87241" w:rsidRDefault="001F3F40" w:rsidP="00ED5CB7">
            <w:pPr>
              <w:keepNext/>
              <w:keepLines/>
              <w:spacing w:before="0" w:after="0"/>
              <w:jc w:val="right"/>
              <w:rPr>
                <w:rFonts w:ascii="Arial Narrow" w:hAnsi="Arial Narrow"/>
                <w:b/>
                <w:bCs/>
                <w:color w:val="000000"/>
              </w:rPr>
            </w:pPr>
            <w:r>
              <w:rPr>
                <w:rFonts w:ascii="Arial Narrow" w:hAnsi="Arial Narrow"/>
                <w:color w:val="000000"/>
              </w:rPr>
              <w:t>$7,528</w:t>
            </w:r>
          </w:p>
        </w:tc>
        <w:tc>
          <w:tcPr>
            <w:tcW w:w="549" w:type="pct"/>
            <w:noWrap/>
            <w:vAlign w:val="center"/>
            <w:hideMark/>
          </w:tcPr>
          <w:p w14:paraId="6740EA39" w14:textId="77777777" w:rsidR="001F3F40" w:rsidRPr="00F87241" w:rsidRDefault="001F3F40" w:rsidP="00ED5CB7">
            <w:pPr>
              <w:keepNext/>
              <w:keepLines/>
              <w:spacing w:before="0" w:after="0"/>
              <w:jc w:val="right"/>
              <w:rPr>
                <w:rFonts w:ascii="Arial Narrow" w:hAnsi="Arial Narrow"/>
                <w:b/>
                <w:bCs/>
                <w:color w:val="000000"/>
              </w:rPr>
            </w:pPr>
            <w:r>
              <w:rPr>
                <w:rFonts w:ascii="Arial Narrow" w:hAnsi="Arial Narrow"/>
                <w:color w:val="000000"/>
              </w:rPr>
              <w:t>$9,369</w:t>
            </w:r>
          </w:p>
        </w:tc>
        <w:tc>
          <w:tcPr>
            <w:tcW w:w="599" w:type="pct"/>
            <w:noWrap/>
            <w:vAlign w:val="center"/>
            <w:hideMark/>
          </w:tcPr>
          <w:p w14:paraId="40667D2D" w14:textId="77777777" w:rsidR="001F3F40" w:rsidRPr="00F87241" w:rsidRDefault="001F3F40" w:rsidP="00ED5CB7">
            <w:pPr>
              <w:keepNext/>
              <w:keepLines/>
              <w:spacing w:before="0" w:after="0"/>
              <w:jc w:val="right"/>
              <w:rPr>
                <w:rFonts w:ascii="Arial Narrow" w:hAnsi="Arial Narrow"/>
                <w:b/>
                <w:bCs/>
                <w:color w:val="000000"/>
              </w:rPr>
            </w:pPr>
            <w:r>
              <w:rPr>
                <w:rFonts w:ascii="Arial Narrow" w:hAnsi="Arial Narrow"/>
                <w:color w:val="000000"/>
              </w:rPr>
              <w:t>$11,211</w:t>
            </w:r>
          </w:p>
        </w:tc>
        <w:tc>
          <w:tcPr>
            <w:tcW w:w="549" w:type="pct"/>
            <w:noWrap/>
            <w:vAlign w:val="center"/>
            <w:hideMark/>
          </w:tcPr>
          <w:p w14:paraId="36DCFEF1" w14:textId="77777777" w:rsidR="001F3F40" w:rsidRPr="00F87241" w:rsidRDefault="001F3F40" w:rsidP="00ED5CB7">
            <w:pPr>
              <w:keepNext/>
              <w:keepLines/>
              <w:spacing w:before="0" w:after="0"/>
              <w:jc w:val="right"/>
              <w:rPr>
                <w:rFonts w:ascii="Arial Narrow" w:hAnsi="Arial Narrow"/>
                <w:b/>
                <w:bCs/>
                <w:color w:val="000000"/>
              </w:rPr>
            </w:pPr>
            <w:r>
              <w:rPr>
                <w:rFonts w:ascii="Arial Narrow" w:hAnsi="Arial Narrow"/>
                <w:color w:val="000000"/>
              </w:rPr>
              <w:t>$13,054</w:t>
            </w:r>
          </w:p>
        </w:tc>
        <w:tc>
          <w:tcPr>
            <w:tcW w:w="511" w:type="pct"/>
            <w:noWrap/>
            <w:vAlign w:val="center"/>
            <w:hideMark/>
          </w:tcPr>
          <w:p w14:paraId="572D23FD" w14:textId="77777777" w:rsidR="001F3F40" w:rsidRPr="00F87241" w:rsidRDefault="001F3F40" w:rsidP="00ED5CB7">
            <w:pPr>
              <w:keepNext/>
              <w:keepLines/>
              <w:spacing w:before="0" w:after="0"/>
              <w:jc w:val="right"/>
              <w:rPr>
                <w:rFonts w:ascii="Arial Narrow" w:hAnsi="Arial Narrow"/>
                <w:b/>
                <w:bCs/>
                <w:color w:val="000000"/>
              </w:rPr>
            </w:pPr>
            <w:r>
              <w:rPr>
                <w:rFonts w:ascii="Arial Narrow" w:hAnsi="Arial Narrow"/>
                <w:color w:val="000000"/>
              </w:rPr>
              <w:t>$14,898</w:t>
            </w:r>
          </w:p>
        </w:tc>
      </w:tr>
      <w:tr w:rsidR="001F3F40" w:rsidRPr="00F87241" w14:paraId="0B5AB9DB" w14:textId="77777777" w:rsidTr="00175863">
        <w:trPr>
          <w:trHeight w:val="255"/>
        </w:trPr>
        <w:tc>
          <w:tcPr>
            <w:tcW w:w="1744" w:type="pct"/>
            <w:noWrap/>
            <w:hideMark/>
          </w:tcPr>
          <w:p w14:paraId="690A5B74" w14:textId="77777777" w:rsidR="001F3F40" w:rsidRPr="00F87241" w:rsidRDefault="001F3F40" w:rsidP="00ED5CB7">
            <w:pPr>
              <w:keepNext/>
              <w:keepLines/>
              <w:spacing w:before="0" w:after="0"/>
              <w:rPr>
                <w:rFonts w:ascii="Arial Narrow" w:hAnsi="Arial Narrow"/>
                <w:b/>
                <w:bCs/>
                <w:color w:val="000000"/>
              </w:rPr>
            </w:pPr>
            <w:r w:rsidRPr="00350FBE">
              <w:rPr>
                <w:rFonts w:ascii="Arial Narrow" w:hAnsi="Arial Narrow"/>
                <w:b/>
                <w:color w:val="000000" w:themeColor="text1"/>
              </w:rPr>
              <w:t>Net costs to S/T health budgets</w:t>
            </w:r>
          </w:p>
        </w:tc>
        <w:tc>
          <w:tcPr>
            <w:tcW w:w="499" w:type="pct"/>
            <w:noWrap/>
            <w:vAlign w:val="bottom"/>
            <w:hideMark/>
          </w:tcPr>
          <w:p w14:paraId="4D6359F7" w14:textId="33AA87E9" w:rsidR="001F3F40" w:rsidRPr="00F87241" w:rsidRDefault="001F3F40" w:rsidP="00ED5CB7">
            <w:pPr>
              <w:keepNext/>
              <w:keepLines/>
              <w:spacing w:before="0" w:after="0"/>
              <w:jc w:val="right"/>
              <w:rPr>
                <w:rFonts w:ascii="Arial Narrow" w:hAnsi="Arial Narrow"/>
                <w:b/>
                <w:bCs/>
                <w:color w:val="000000"/>
              </w:rPr>
            </w:pPr>
            <w:r>
              <w:rPr>
                <w:rFonts w:ascii="Arial Narrow" w:hAnsi="Arial Narrow"/>
                <w:b/>
                <w:bCs/>
                <w:color w:val="000000"/>
              </w:rPr>
              <w:t>$42,555</w:t>
            </w:r>
          </w:p>
        </w:tc>
        <w:tc>
          <w:tcPr>
            <w:tcW w:w="549" w:type="pct"/>
            <w:noWrap/>
            <w:vAlign w:val="bottom"/>
            <w:hideMark/>
          </w:tcPr>
          <w:p w14:paraId="777F36FD" w14:textId="302CBBB4" w:rsidR="001F3F40" w:rsidRPr="00F87241" w:rsidRDefault="001F3F40" w:rsidP="00ED5CB7">
            <w:pPr>
              <w:keepNext/>
              <w:keepLines/>
              <w:spacing w:before="0" w:after="0"/>
              <w:jc w:val="right"/>
              <w:rPr>
                <w:rFonts w:ascii="Arial Narrow" w:hAnsi="Arial Narrow"/>
                <w:b/>
                <w:bCs/>
                <w:color w:val="000000"/>
              </w:rPr>
            </w:pPr>
            <w:r>
              <w:rPr>
                <w:rFonts w:ascii="Arial Narrow" w:hAnsi="Arial Narrow"/>
                <w:b/>
                <w:bCs/>
                <w:color w:val="000000"/>
              </w:rPr>
              <w:t>$65,303</w:t>
            </w:r>
          </w:p>
        </w:tc>
        <w:tc>
          <w:tcPr>
            <w:tcW w:w="549" w:type="pct"/>
            <w:noWrap/>
            <w:vAlign w:val="bottom"/>
            <w:hideMark/>
          </w:tcPr>
          <w:p w14:paraId="666D7514" w14:textId="3F29BBDC" w:rsidR="001F3F40" w:rsidRPr="00F87241" w:rsidRDefault="001F3F40" w:rsidP="00ED5CB7">
            <w:pPr>
              <w:keepNext/>
              <w:keepLines/>
              <w:spacing w:before="0" w:after="0"/>
              <w:jc w:val="right"/>
              <w:rPr>
                <w:rFonts w:ascii="Arial Narrow" w:hAnsi="Arial Narrow"/>
                <w:b/>
                <w:bCs/>
                <w:color w:val="000000"/>
              </w:rPr>
            </w:pPr>
            <w:r>
              <w:rPr>
                <w:rFonts w:ascii="Arial Narrow" w:hAnsi="Arial Narrow"/>
                <w:b/>
                <w:bCs/>
                <w:color w:val="000000"/>
              </w:rPr>
              <w:t>$84,781</w:t>
            </w:r>
          </w:p>
        </w:tc>
        <w:tc>
          <w:tcPr>
            <w:tcW w:w="599" w:type="pct"/>
            <w:noWrap/>
            <w:vAlign w:val="bottom"/>
            <w:hideMark/>
          </w:tcPr>
          <w:p w14:paraId="10317322" w14:textId="3F18CE19" w:rsidR="001F3F40" w:rsidRPr="00F87241" w:rsidRDefault="001F3F40" w:rsidP="00ED5CB7">
            <w:pPr>
              <w:keepNext/>
              <w:keepLines/>
              <w:spacing w:before="0" w:after="0"/>
              <w:jc w:val="right"/>
              <w:rPr>
                <w:rFonts w:ascii="Arial Narrow" w:hAnsi="Arial Narrow"/>
                <w:b/>
                <w:bCs/>
                <w:color w:val="000000"/>
              </w:rPr>
            </w:pPr>
            <w:r>
              <w:rPr>
                <w:rFonts w:ascii="Arial Narrow" w:hAnsi="Arial Narrow"/>
                <w:b/>
                <w:bCs/>
                <w:color w:val="000000"/>
              </w:rPr>
              <w:t>$104,257</w:t>
            </w:r>
          </w:p>
        </w:tc>
        <w:tc>
          <w:tcPr>
            <w:tcW w:w="549" w:type="pct"/>
            <w:noWrap/>
            <w:vAlign w:val="bottom"/>
            <w:hideMark/>
          </w:tcPr>
          <w:p w14:paraId="541AA449" w14:textId="35A7737E" w:rsidR="001F3F40" w:rsidRPr="00F87241" w:rsidRDefault="001F3F40" w:rsidP="00ED5CB7">
            <w:pPr>
              <w:keepNext/>
              <w:keepLines/>
              <w:spacing w:before="0" w:after="0"/>
              <w:jc w:val="right"/>
              <w:rPr>
                <w:rFonts w:ascii="Arial Narrow" w:hAnsi="Arial Narrow"/>
                <w:b/>
                <w:bCs/>
                <w:color w:val="000000"/>
              </w:rPr>
            </w:pPr>
            <w:r>
              <w:rPr>
                <w:rFonts w:ascii="Arial Narrow" w:hAnsi="Arial Narrow"/>
                <w:b/>
                <w:bCs/>
                <w:color w:val="000000"/>
              </w:rPr>
              <w:t>$123,733</w:t>
            </w:r>
          </w:p>
        </w:tc>
        <w:tc>
          <w:tcPr>
            <w:tcW w:w="511" w:type="pct"/>
            <w:noWrap/>
            <w:vAlign w:val="bottom"/>
            <w:hideMark/>
          </w:tcPr>
          <w:p w14:paraId="1D1D628F" w14:textId="74067D84" w:rsidR="001F3F40" w:rsidRPr="00F87241" w:rsidRDefault="001F3F40" w:rsidP="00ED5CB7">
            <w:pPr>
              <w:keepNext/>
              <w:keepLines/>
              <w:spacing w:before="0" w:after="0"/>
              <w:jc w:val="right"/>
              <w:rPr>
                <w:rFonts w:ascii="Arial Narrow" w:hAnsi="Arial Narrow"/>
                <w:b/>
                <w:bCs/>
                <w:color w:val="000000"/>
              </w:rPr>
            </w:pPr>
            <w:r>
              <w:rPr>
                <w:rFonts w:ascii="Arial Narrow" w:hAnsi="Arial Narrow"/>
                <w:b/>
                <w:bCs/>
                <w:color w:val="000000"/>
              </w:rPr>
              <w:t>$143,208</w:t>
            </w:r>
          </w:p>
        </w:tc>
      </w:tr>
    </w:tbl>
    <w:p w14:paraId="3298B8FD" w14:textId="77777777" w:rsidR="001F3F40" w:rsidRDefault="001F3F40" w:rsidP="00ED5CB7">
      <w:pPr>
        <w:pStyle w:val="Tablenotes"/>
        <w:keepNext/>
        <w:keepLines/>
        <w:contextualSpacing w:val="0"/>
      </w:pPr>
      <w:r>
        <w:t>GSD II = glycogen storage disease Type II; IOGSD II = infantile-onset glycogen storage disease Type II; LOGSD II = late-onset glycogen storage disease Type II; NBS = newborn bloodspot screening</w:t>
      </w:r>
    </w:p>
    <w:p w14:paraId="0FDAAFC9" w14:textId="55836D44" w:rsidR="00BC0D19" w:rsidRDefault="008B6BB7" w:rsidP="002739C5">
      <w:pPr>
        <w:pStyle w:val="Tablenotes"/>
      </w:pPr>
      <w:r w:rsidRPr="0056442B">
        <w:rPr>
          <w:vertAlign w:val="superscript"/>
        </w:rPr>
        <w:t>a</w:t>
      </w:r>
      <w:r w:rsidR="001F3F40" w:rsidRPr="00350FBE">
        <w:t xml:space="preserve"> </w:t>
      </w:r>
      <w:r w:rsidR="001F3F40">
        <w:t>Cost of services that were not listed on MBS and were provided by state pathology or as outpatient or inpatient hospital services were attributed to state and territories health budgets. This included services such as HEX4 test, enzyme studies, GAA activity test, visit to metabolic clinics, genetic testing in probands and family members and other allied health services not provisioned for Medicare benefits.</w:t>
      </w:r>
      <w:bookmarkStart w:id="64" w:name="_Ref181819959"/>
    </w:p>
    <w:p w14:paraId="37BE82F0" w14:textId="1F15513F" w:rsidR="001F3F40" w:rsidRDefault="001F3F40" w:rsidP="002739C5">
      <w:pPr>
        <w:pStyle w:val="Caption"/>
        <w:keepLines/>
      </w:pPr>
      <w:r>
        <w:t>Table</w:t>
      </w:r>
      <w:r w:rsidR="00B010D2">
        <w:t xml:space="preserve"> </w:t>
      </w:r>
      <w:r w:rsidR="00707D22">
        <w:t>16</w:t>
      </w:r>
      <w:bookmarkEnd w:id="64"/>
      <w:r>
        <w:tab/>
        <w:t>Cost implications to MBS due to NBS of GSD II</w:t>
      </w:r>
    </w:p>
    <w:tbl>
      <w:tblPr>
        <w:tblStyle w:val="TableGrid11"/>
        <w:tblW w:w="9014" w:type="dxa"/>
        <w:tblLayout w:type="fixed"/>
        <w:tblLook w:val="04A0" w:firstRow="1" w:lastRow="0" w:firstColumn="1" w:lastColumn="0" w:noHBand="0" w:noVBand="1"/>
      </w:tblPr>
      <w:tblGrid>
        <w:gridCol w:w="2852"/>
        <w:gridCol w:w="1027"/>
        <w:gridCol w:w="1027"/>
        <w:gridCol w:w="1027"/>
        <w:gridCol w:w="1027"/>
        <w:gridCol w:w="1027"/>
        <w:gridCol w:w="1027"/>
      </w:tblGrid>
      <w:tr w:rsidR="001F3F40" w:rsidRPr="00F87241" w14:paraId="64264919" w14:textId="77777777" w:rsidTr="00175863">
        <w:trPr>
          <w:cnfStyle w:val="100000000000" w:firstRow="1" w:lastRow="0" w:firstColumn="0" w:lastColumn="0" w:oddVBand="0" w:evenVBand="0" w:oddHBand="0" w:evenHBand="0" w:firstRowFirstColumn="0" w:firstRowLastColumn="0" w:lastRowFirstColumn="0" w:lastRowLastColumn="0"/>
          <w:trHeight w:val="255"/>
          <w:tblHeader/>
        </w:trPr>
        <w:tc>
          <w:tcPr>
            <w:tcW w:w="2852" w:type="dxa"/>
            <w:tcBorders>
              <w:bottom w:val="single" w:sz="4" w:space="0" w:color="auto"/>
            </w:tcBorders>
            <w:noWrap/>
            <w:hideMark/>
          </w:tcPr>
          <w:p w14:paraId="22B207E2" w14:textId="77777777" w:rsidR="001F3F40" w:rsidRPr="00F87241" w:rsidRDefault="001F3F40" w:rsidP="002739C5">
            <w:pPr>
              <w:keepNext/>
              <w:keepLines/>
              <w:spacing w:before="0" w:after="0"/>
              <w:rPr>
                <w:rFonts w:ascii="Arial Narrow" w:hAnsi="Arial Narrow"/>
                <w:color w:val="000000"/>
              </w:rPr>
            </w:pPr>
            <w:r w:rsidRPr="00F87241">
              <w:rPr>
                <w:rFonts w:ascii="Arial Narrow" w:hAnsi="Arial Narrow"/>
                <w:color w:val="000000"/>
              </w:rPr>
              <w:t> </w:t>
            </w:r>
          </w:p>
        </w:tc>
        <w:tc>
          <w:tcPr>
            <w:tcW w:w="1027" w:type="dxa"/>
            <w:tcBorders>
              <w:bottom w:val="single" w:sz="4" w:space="0" w:color="auto"/>
            </w:tcBorders>
            <w:noWrap/>
            <w:hideMark/>
          </w:tcPr>
          <w:p w14:paraId="22E522A6" w14:textId="77777777" w:rsidR="001F3F40" w:rsidRPr="00F87241" w:rsidRDefault="001F3F40" w:rsidP="002739C5">
            <w:pPr>
              <w:keepNext/>
              <w:keepLines/>
              <w:spacing w:before="0" w:after="0"/>
              <w:jc w:val="center"/>
              <w:rPr>
                <w:rFonts w:ascii="Arial Narrow" w:hAnsi="Arial Narrow"/>
                <w:b/>
                <w:bCs/>
                <w:color w:val="000000"/>
              </w:rPr>
            </w:pPr>
            <w:r w:rsidRPr="00F87241">
              <w:rPr>
                <w:rFonts w:ascii="Arial Narrow" w:hAnsi="Arial Narrow"/>
                <w:b/>
                <w:bCs/>
                <w:color w:val="000000"/>
              </w:rPr>
              <w:t>2025−26</w:t>
            </w:r>
          </w:p>
        </w:tc>
        <w:tc>
          <w:tcPr>
            <w:tcW w:w="1027" w:type="dxa"/>
            <w:tcBorders>
              <w:bottom w:val="single" w:sz="4" w:space="0" w:color="auto"/>
            </w:tcBorders>
            <w:noWrap/>
            <w:hideMark/>
          </w:tcPr>
          <w:p w14:paraId="4B6F00F6" w14:textId="77777777" w:rsidR="001F3F40" w:rsidRPr="00F87241" w:rsidRDefault="001F3F40" w:rsidP="002739C5">
            <w:pPr>
              <w:keepNext/>
              <w:keepLines/>
              <w:spacing w:before="0" w:after="0"/>
              <w:jc w:val="center"/>
              <w:rPr>
                <w:rFonts w:ascii="Arial Narrow" w:hAnsi="Arial Narrow"/>
                <w:b/>
                <w:bCs/>
                <w:color w:val="000000"/>
              </w:rPr>
            </w:pPr>
            <w:r w:rsidRPr="00F87241">
              <w:rPr>
                <w:rFonts w:ascii="Arial Narrow" w:hAnsi="Arial Narrow"/>
                <w:b/>
                <w:bCs/>
                <w:color w:val="000000"/>
              </w:rPr>
              <w:t>2026−27</w:t>
            </w:r>
          </w:p>
        </w:tc>
        <w:tc>
          <w:tcPr>
            <w:tcW w:w="1027" w:type="dxa"/>
            <w:tcBorders>
              <w:bottom w:val="single" w:sz="4" w:space="0" w:color="auto"/>
            </w:tcBorders>
            <w:noWrap/>
            <w:hideMark/>
          </w:tcPr>
          <w:p w14:paraId="7C84C238" w14:textId="77777777" w:rsidR="001F3F40" w:rsidRPr="00F87241" w:rsidRDefault="001F3F40" w:rsidP="002739C5">
            <w:pPr>
              <w:keepNext/>
              <w:keepLines/>
              <w:spacing w:before="0" w:after="0"/>
              <w:jc w:val="center"/>
              <w:rPr>
                <w:rFonts w:ascii="Arial Narrow" w:hAnsi="Arial Narrow"/>
                <w:b/>
                <w:bCs/>
                <w:color w:val="000000"/>
              </w:rPr>
            </w:pPr>
            <w:r w:rsidRPr="00F87241">
              <w:rPr>
                <w:rFonts w:ascii="Arial Narrow" w:hAnsi="Arial Narrow"/>
                <w:b/>
                <w:bCs/>
                <w:color w:val="000000"/>
              </w:rPr>
              <w:t>2027−28</w:t>
            </w:r>
          </w:p>
        </w:tc>
        <w:tc>
          <w:tcPr>
            <w:tcW w:w="1027" w:type="dxa"/>
            <w:tcBorders>
              <w:bottom w:val="single" w:sz="4" w:space="0" w:color="auto"/>
            </w:tcBorders>
            <w:noWrap/>
            <w:hideMark/>
          </w:tcPr>
          <w:p w14:paraId="0C1BCAEB" w14:textId="77777777" w:rsidR="001F3F40" w:rsidRPr="00F87241" w:rsidRDefault="001F3F40" w:rsidP="002739C5">
            <w:pPr>
              <w:keepNext/>
              <w:keepLines/>
              <w:spacing w:before="0" w:after="0"/>
              <w:jc w:val="center"/>
              <w:rPr>
                <w:rFonts w:ascii="Arial Narrow" w:hAnsi="Arial Narrow"/>
                <w:b/>
                <w:bCs/>
                <w:color w:val="000000"/>
              </w:rPr>
            </w:pPr>
            <w:r w:rsidRPr="00F87241">
              <w:rPr>
                <w:rFonts w:ascii="Arial Narrow" w:hAnsi="Arial Narrow"/>
                <w:b/>
                <w:bCs/>
                <w:color w:val="000000"/>
              </w:rPr>
              <w:t>2028−29</w:t>
            </w:r>
          </w:p>
        </w:tc>
        <w:tc>
          <w:tcPr>
            <w:tcW w:w="1027" w:type="dxa"/>
            <w:tcBorders>
              <w:bottom w:val="single" w:sz="4" w:space="0" w:color="auto"/>
            </w:tcBorders>
            <w:noWrap/>
            <w:hideMark/>
          </w:tcPr>
          <w:p w14:paraId="2144547E" w14:textId="77777777" w:rsidR="001F3F40" w:rsidRPr="00F87241" w:rsidRDefault="001F3F40" w:rsidP="002739C5">
            <w:pPr>
              <w:keepNext/>
              <w:keepLines/>
              <w:spacing w:before="0" w:after="0"/>
              <w:jc w:val="center"/>
              <w:rPr>
                <w:rFonts w:ascii="Arial Narrow" w:hAnsi="Arial Narrow"/>
                <w:b/>
                <w:bCs/>
                <w:color w:val="000000"/>
              </w:rPr>
            </w:pPr>
            <w:r w:rsidRPr="00F87241">
              <w:rPr>
                <w:rFonts w:ascii="Arial Narrow" w:hAnsi="Arial Narrow"/>
                <w:b/>
                <w:bCs/>
                <w:color w:val="000000"/>
              </w:rPr>
              <w:t>2029−30</w:t>
            </w:r>
          </w:p>
        </w:tc>
        <w:tc>
          <w:tcPr>
            <w:tcW w:w="1027" w:type="dxa"/>
            <w:tcBorders>
              <w:bottom w:val="single" w:sz="4" w:space="0" w:color="auto"/>
            </w:tcBorders>
            <w:noWrap/>
            <w:hideMark/>
          </w:tcPr>
          <w:p w14:paraId="556A2550" w14:textId="77777777" w:rsidR="001F3F40" w:rsidRPr="00F87241" w:rsidRDefault="001F3F40" w:rsidP="002739C5">
            <w:pPr>
              <w:keepNext/>
              <w:keepLines/>
              <w:spacing w:before="0" w:after="0"/>
              <w:jc w:val="center"/>
              <w:rPr>
                <w:rFonts w:ascii="Arial Narrow" w:hAnsi="Arial Narrow"/>
                <w:b/>
                <w:bCs/>
                <w:color w:val="000000"/>
              </w:rPr>
            </w:pPr>
            <w:r w:rsidRPr="00F87241">
              <w:rPr>
                <w:rFonts w:ascii="Arial Narrow" w:hAnsi="Arial Narrow"/>
                <w:b/>
                <w:bCs/>
                <w:color w:val="000000"/>
              </w:rPr>
              <w:t>2030−31</w:t>
            </w:r>
          </w:p>
        </w:tc>
      </w:tr>
      <w:tr w:rsidR="001F3F40" w:rsidRPr="00F70526" w14:paraId="383291AC" w14:textId="77777777" w:rsidTr="00175863">
        <w:trPr>
          <w:trHeight w:val="255"/>
        </w:trPr>
        <w:tc>
          <w:tcPr>
            <w:tcW w:w="2852" w:type="dxa"/>
            <w:tcBorders>
              <w:right w:val="nil"/>
            </w:tcBorders>
            <w:noWrap/>
          </w:tcPr>
          <w:p w14:paraId="2BCF3886" w14:textId="77777777" w:rsidR="001F3F40" w:rsidRPr="00F70526" w:rsidRDefault="001F3F40" w:rsidP="002739C5">
            <w:pPr>
              <w:keepNext/>
              <w:keepLines/>
              <w:spacing w:before="0" w:after="0"/>
              <w:rPr>
                <w:rFonts w:ascii="Arial Narrow" w:hAnsi="Arial Narrow"/>
                <w:b/>
                <w:bCs/>
                <w:color w:val="000000"/>
              </w:rPr>
            </w:pPr>
            <w:r w:rsidRPr="00F70526">
              <w:rPr>
                <w:rFonts w:ascii="Arial Narrow" w:hAnsi="Arial Narrow"/>
                <w:b/>
                <w:bCs/>
                <w:color w:val="000000"/>
              </w:rPr>
              <w:t>Universal NBS</w:t>
            </w:r>
          </w:p>
        </w:tc>
        <w:tc>
          <w:tcPr>
            <w:tcW w:w="1027" w:type="dxa"/>
            <w:tcBorders>
              <w:left w:val="nil"/>
              <w:right w:val="nil"/>
            </w:tcBorders>
            <w:noWrap/>
          </w:tcPr>
          <w:p w14:paraId="47B82A7F" w14:textId="77777777" w:rsidR="001F3F40" w:rsidRPr="00F70526" w:rsidRDefault="001F3F40" w:rsidP="002739C5">
            <w:pPr>
              <w:keepNext/>
              <w:keepLines/>
              <w:spacing w:before="0" w:after="0"/>
              <w:jc w:val="right"/>
              <w:rPr>
                <w:rFonts w:ascii="Arial Narrow" w:hAnsi="Arial Narrow"/>
                <w:b/>
                <w:bCs/>
                <w:color w:val="000000"/>
              </w:rPr>
            </w:pPr>
          </w:p>
        </w:tc>
        <w:tc>
          <w:tcPr>
            <w:tcW w:w="1027" w:type="dxa"/>
            <w:tcBorders>
              <w:left w:val="nil"/>
              <w:right w:val="nil"/>
            </w:tcBorders>
            <w:noWrap/>
          </w:tcPr>
          <w:p w14:paraId="7F431E5A" w14:textId="77777777" w:rsidR="001F3F40" w:rsidRPr="00F70526" w:rsidRDefault="001F3F40" w:rsidP="002739C5">
            <w:pPr>
              <w:keepNext/>
              <w:keepLines/>
              <w:spacing w:before="0" w:after="0"/>
              <w:jc w:val="right"/>
              <w:rPr>
                <w:rFonts w:ascii="Arial Narrow" w:hAnsi="Arial Narrow"/>
                <w:b/>
                <w:bCs/>
                <w:color w:val="000000"/>
              </w:rPr>
            </w:pPr>
          </w:p>
        </w:tc>
        <w:tc>
          <w:tcPr>
            <w:tcW w:w="1027" w:type="dxa"/>
            <w:tcBorders>
              <w:left w:val="nil"/>
              <w:right w:val="nil"/>
            </w:tcBorders>
            <w:noWrap/>
          </w:tcPr>
          <w:p w14:paraId="4CF06931" w14:textId="77777777" w:rsidR="001F3F40" w:rsidRPr="00F70526" w:rsidRDefault="001F3F40" w:rsidP="002739C5">
            <w:pPr>
              <w:keepNext/>
              <w:keepLines/>
              <w:spacing w:before="0" w:after="0"/>
              <w:jc w:val="right"/>
              <w:rPr>
                <w:rFonts w:ascii="Arial Narrow" w:hAnsi="Arial Narrow"/>
                <w:b/>
                <w:bCs/>
                <w:color w:val="000000"/>
              </w:rPr>
            </w:pPr>
          </w:p>
        </w:tc>
        <w:tc>
          <w:tcPr>
            <w:tcW w:w="1027" w:type="dxa"/>
            <w:tcBorders>
              <w:left w:val="nil"/>
              <w:right w:val="nil"/>
            </w:tcBorders>
            <w:noWrap/>
          </w:tcPr>
          <w:p w14:paraId="3E005870" w14:textId="77777777" w:rsidR="001F3F40" w:rsidRPr="00F70526" w:rsidRDefault="001F3F40" w:rsidP="002739C5">
            <w:pPr>
              <w:keepNext/>
              <w:keepLines/>
              <w:spacing w:before="0" w:after="0"/>
              <w:jc w:val="right"/>
              <w:rPr>
                <w:rFonts w:ascii="Arial Narrow" w:hAnsi="Arial Narrow"/>
                <w:b/>
                <w:bCs/>
                <w:color w:val="000000"/>
              </w:rPr>
            </w:pPr>
          </w:p>
        </w:tc>
        <w:tc>
          <w:tcPr>
            <w:tcW w:w="1027" w:type="dxa"/>
            <w:tcBorders>
              <w:left w:val="nil"/>
              <w:right w:val="nil"/>
            </w:tcBorders>
            <w:noWrap/>
          </w:tcPr>
          <w:p w14:paraId="2E4DA026" w14:textId="77777777" w:rsidR="001F3F40" w:rsidRPr="00F70526" w:rsidRDefault="001F3F40" w:rsidP="002739C5">
            <w:pPr>
              <w:keepNext/>
              <w:keepLines/>
              <w:spacing w:before="0" w:after="0"/>
              <w:jc w:val="right"/>
              <w:rPr>
                <w:rFonts w:ascii="Arial Narrow" w:hAnsi="Arial Narrow"/>
                <w:b/>
                <w:bCs/>
                <w:color w:val="000000"/>
              </w:rPr>
            </w:pPr>
          </w:p>
        </w:tc>
        <w:tc>
          <w:tcPr>
            <w:tcW w:w="1027" w:type="dxa"/>
            <w:tcBorders>
              <w:left w:val="nil"/>
            </w:tcBorders>
            <w:noWrap/>
          </w:tcPr>
          <w:p w14:paraId="73059503" w14:textId="77777777" w:rsidR="001F3F40" w:rsidRPr="00F70526" w:rsidRDefault="001F3F40" w:rsidP="002739C5">
            <w:pPr>
              <w:keepNext/>
              <w:keepLines/>
              <w:spacing w:before="0" w:after="0"/>
              <w:jc w:val="right"/>
              <w:rPr>
                <w:rFonts w:ascii="Arial Narrow" w:hAnsi="Arial Narrow"/>
                <w:b/>
                <w:bCs/>
                <w:color w:val="000000"/>
              </w:rPr>
            </w:pPr>
          </w:p>
        </w:tc>
      </w:tr>
      <w:tr w:rsidR="001F3F40" w:rsidRPr="00F87241" w14:paraId="415EA469" w14:textId="77777777" w:rsidTr="00175863">
        <w:trPr>
          <w:trHeight w:val="255"/>
        </w:trPr>
        <w:tc>
          <w:tcPr>
            <w:tcW w:w="2852" w:type="dxa"/>
            <w:noWrap/>
            <w:hideMark/>
          </w:tcPr>
          <w:p w14:paraId="070B3773" w14:textId="77777777" w:rsidR="001F3F40" w:rsidRPr="00F87241" w:rsidRDefault="001F3F40" w:rsidP="002739C5">
            <w:pPr>
              <w:keepNext/>
              <w:keepLines/>
              <w:spacing w:before="0" w:after="0"/>
              <w:rPr>
                <w:rFonts w:ascii="Arial Narrow" w:hAnsi="Arial Narrow"/>
                <w:color w:val="000000"/>
              </w:rPr>
            </w:pPr>
            <w:r w:rsidRPr="00F87241">
              <w:rPr>
                <w:rFonts w:ascii="Arial Narrow" w:hAnsi="Arial Narrow"/>
                <w:color w:val="000000"/>
              </w:rPr>
              <w:t>Number of GSD II cases diagnosed</w:t>
            </w:r>
          </w:p>
        </w:tc>
        <w:tc>
          <w:tcPr>
            <w:tcW w:w="1027" w:type="dxa"/>
            <w:noWrap/>
            <w:hideMark/>
          </w:tcPr>
          <w:p w14:paraId="545AE096"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10.60</w:t>
            </w:r>
          </w:p>
        </w:tc>
        <w:tc>
          <w:tcPr>
            <w:tcW w:w="1027" w:type="dxa"/>
            <w:noWrap/>
            <w:hideMark/>
          </w:tcPr>
          <w:p w14:paraId="3D66C1F8"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10.60</w:t>
            </w:r>
          </w:p>
        </w:tc>
        <w:tc>
          <w:tcPr>
            <w:tcW w:w="1027" w:type="dxa"/>
            <w:noWrap/>
            <w:hideMark/>
          </w:tcPr>
          <w:p w14:paraId="2A2C1B04"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10.60</w:t>
            </w:r>
          </w:p>
        </w:tc>
        <w:tc>
          <w:tcPr>
            <w:tcW w:w="1027" w:type="dxa"/>
            <w:noWrap/>
            <w:hideMark/>
          </w:tcPr>
          <w:p w14:paraId="79152CB6"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10.60</w:t>
            </w:r>
          </w:p>
        </w:tc>
        <w:tc>
          <w:tcPr>
            <w:tcW w:w="1027" w:type="dxa"/>
            <w:noWrap/>
            <w:hideMark/>
          </w:tcPr>
          <w:p w14:paraId="3C612E2A"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10.60</w:t>
            </w:r>
          </w:p>
        </w:tc>
        <w:tc>
          <w:tcPr>
            <w:tcW w:w="1027" w:type="dxa"/>
            <w:noWrap/>
            <w:hideMark/>
          </w:tcPr>
          <w:p w14:paraId="7734D865"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10.60</w:t>
            </w:r>
          </w:p>
        </w:tc>
      </w:tr>
      <w:tr w:rsidR="001F3F40" w:rsidRPr="00F87241" w14:paraId="1E0DC09E" w14:textId="77777777" w:rsidTr="00175863">
        <w:trPr>
          <w:trHeight w:val="255"/>
        </w:trPr>
        <w:tc>
          <w:tcPr>
            <w:tcW w:w="2852" w:type="dxa"/>
            <w:noWrap/>
            <w:hideMark/>
          </w:tcPr>
          <w:p w14:paraId="66D62496" w14:textId="77777777" w:rsidR="001F3F40" w:rsidRPr="00F87241" w:rsidRDefault="001F3F40" w:rsidP="002739C5">
            <w:pPr>
              <w:keepNext/>
              <w:keepLines/>
              <w:spacing w:before="0" w:after="0"/>
              <w:ind w:firstLineChars="100" w:firstLine="200"/>
              <w:rPr>
                <w:rFonts w:ascii="Arial Narrow" w:hAnsi="Arial Narrow"/>
                <w:color w:val="000000"/>
              </w:rPr>
            </w:pPr>
            <w:r w:rsidRPr="00F87241">
              <w:rPr>
                <w:rFonts w:ascii="Arial Narrow" w:hAnsi="Arial Narrow"/>
                <w:color w:val="000000"/>
              </w:rPr>
              <w:t>Number of affected cases with IOGSD II</w:t>
            </w:r>
          </w:p>
        </w:tc>
        <w:tc>
          <w:tcPr>
            <w:tcW w:w="1027" w:type="dxa"/>
            <w:noWrap/>
            <w:hideMark/>
          </w:tcPr>
          <w:p w14:paraId="40468388"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1.00</w:t>
            </w:r>
          </w:p>
        </w:tc>
        <w:tc>
          <w:tcPr>
            <w:tcW w:w="1027" w:type="dxa"/>
            <w:noWrap/>
            <w:hideMark/>
          </w:tcPr>
          <w:p w14:paraId="6C30C79A"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1.00</w:t>
            </w:r>
          </w:p>
        </w:tc>
        <w:tc>
          <w:tcPr>
            <w:tcW w:w="1027" w:type="dxa"/>
            <w:noWrap/>
            <w:hideMark/>
          </w:tcPr>
          <w:p w14:paraId="26665EED"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1.00</w:t>
            </w:r>
          </w:p>
        </w:tc>
        <w:tc>
          <w:tcPr>
            <w:tcW w:w="1027" w:type="dxa"/>
            <w:noWrap/>
            <w:hideMark/>
          </w:tcPr>
          <w:p w14:paraId="405466DD"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1.00</w:t>
            </w:r>
          </w:p>
        </w:tc>
        <w:tc>
          <w:tcPr>
            <w:tcW w:w="1027" w:type="dxa"/>
            <w:noWrap/>
            <w:hideMark/>
          </w:tcPr>
          <w:p w14:paraId="00FB120B"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1.00</w:t>
            </w:r>
          </w:p>
        </w:tc>
        <w:tc>
          <w:tcPr>
            <w:tcW w:w="1027" w:type="dxa"/>
            <w:noWrap/>
            <w:hideMark/>
          </w:tcPr>
          <w:p w14:paraId="3AEFD6BC"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1.00</w:t>
            </w:r>
          </w:p>
        </w:tc>
      </w:tr>
      <w:tr w:rsidR="001F3F40" w:rsidRPr="00F87241" w14:paraId="42ABCF2C" w14:textId="77777777" w:rsidTr="00175863">
        <w:trPr>
          <w:trHeight w:val="255"/>
        </w:trPr>
        <w:tc>
          <w:tcPr>
            <w:tcW w:w="2852" w:type="dxa"/>
            <w:noWrap/>
            <w:hideMark/>
          </w:tcPr>
          <w:p w14:paraId="10A335EF" w14:textId="77777777" w:rsidR="001F3F40" w:rsidRPr="00F87241" w:rsidRDefault="001F3F40" w:rsidP="002739C5">
            <w:pPr>
              <w:keepNext/>
              <w:keepLines/>
              <w:spacing w:before="0" w:after="0"/>
              <w:ind w:firstLineChars="100" w:firstLine="200"/>
              <w:rPr>
                <w:rFonts w:ascii="Arial Narrow" w:hAnsi="Arial Narrow"/>
                <w:color w:val="000000"/>
              </w:rPr>
            </w:pPr>
            <w:r w:rsidRPr="00F87241">
              <w:rPr>
                <w:rFonts w:ascii="Arial Narrow" w:hAnsi="Arial Narrow"/>
                <w:color w:val="000000"/>
              </w:rPr>
              <w:t>Number of affected cases with LOGSD II</w:t>
            </w:r>
          </w:p>
        </w:tc>
        <w:tc>
          <w:tcPr>
            <w:tcW w:w="1027" w:type="dxa"/>
            <w:noWrap/>
            <w:hideMark/>
          </w:tcPr>
          <w:p w14:paraId="6058BEB4"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9.60</w:t>
            </w:r>
          </w:p>
        </w:tc>
        <w:tc>
          <w:tcPr>
            <w:tcW w:w="1027" w:type="dxa"/>
            <w:noWrap/>
            <w:hideMark/>
          </w:tcPr>
          <w:p w14:paraId="4798F806"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9.60</w:t>
            </w:r>
          </w:p>
        </w:tc>
        <w:tc>
          <w:tcPr>
            <w:tcW w:w="1027" w:type="dxa"/>
            <w:noWrap/>
            <w:hideMark/>
          </w:tcPr>
          <w:p w14:paraId="526FE8F4"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9.60</w:t>
            </w:r>
          </w:p>
        </w:tc>
        <w:tc>
          <w:tcPr>
            <w:tcW w:w="1027" w:type="dxa"/>
            <w:noWrap/>
            <w:hideMark/>
          </w:tcPr>
          <w:p w14:paraId="2A48AC43"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9.60</w:t>
            </w:r>
          </w:p>
        </w:tc>
        <w:tc>
          <w:tcPr>
            <w:tcW w:w="1027" w:type="dxa"/>
            <w:noWrap/>
            <w:hideMark/>
          </w:tcPr>
          <w:p w14:paraId="41055517"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9.60</w:t>
            </w:r>
          </w:p>
        </w:tc>
        <w:tc>
          <w:tcPr>
            <w:tcW w:w="1027" w:type="dxa"/>
            <w:noWrap/>
            <w:hideMark/>
          </w:tcPr>
          <w:p w14:paraId="049E2987"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9.60</w:t>
            </w:r>
          </w:p>
        </w:tc>
      </w:tr>
      <w:tr w:rsidR="001F3F40" w:rsidRPr="00F87241" w14:paraId="0305A189" w14:textId="77777777" w:rsidTr="00175863">
        <w:trPr>
          <w:trHeight w:val="255"/>
        </w:trPr>
        <w:tc>
          <w:tcPr>
            <w:tcW w:w="2852" w:type="dxa"/>
            <w:noWrap/>
            <w:vAlign w:val="bottom"/>
          </w:tcPr>
          <w:p w14:paraId="5437AE7D" w14:textId="77777777" w:rsidR="001F3F40" w:rsidRPr="00F87241" w:rsidRDefault="001F3F40" w:rsidP="002739C5">
            <w:pPr>
              <w:keepNext/>
              <w:keepLines/>
              <w:spacing w:before="0" w:after="0"/>
              <w:ind w:firstLineChars="100" w:firstLine="200"/>
              <w:rPr>
                <w:rFonts w:ascii="Arial Narrow" w:hAnsi="Arial Narrow"/>
                <w:color w:val="000000"/>
              </w:rPr>
            </w:pPr>
            <w:r>
              <w:rPr>
                <w:rFonts w:ascii="Arial Narrow" w:hAnsi="Arial Narrow"/>
                <w:color w:val="000000"/>
              </w:rPr>
              <w:t>Cumulative number of LOGSD II cases symptomatic at age 2 years</w:t>
            </w:r>
          </w:p>
        </w:tc>
        <w:tc>
          <w:tcPr>
            <w:tcW w:w="1027" w:type="dxa"/>
            <w:noWrap/>
            <w:vAlign w:val="center"/>
          </w:tcPr>
          <w:p w14:paraId="772DD3A3"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0.00</w:t>
            </w:r>
          </w:p>
        </w:tc>
        <w:tc>
          <w:tcPr>
            <w:tcW w:w="1027" w:type="dxa"/>
            <w:noWrap/>
            <w:vAlign w:val="center"/>
          </w:tcPr>
          <w:p w14:paraId="341D1970"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0.00</w:t>
            </w:r>
          </w:p>
        </w:tc>
        <w:tc>
          <w:tcPr>
            <w:tcW w:w="1027" w:type="dxa"/>
            <w:noWrap/>
            <w:vAlign w:val="center"/>
          </w:tcPr>
          <w:p w14:paraId="5B65B607"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0.63</w:t>
            </w:r>
          </w:p>
        </w:tc>
        <w:tc>
          <w:tcPr>
            <w:tcW w:w="1027" w:type="dxa"/>
            <w:noWrap/>
            <w:vAlign w:val="center"/>
          </w:tcPr>
          <w:p w14:paraId="68050A4D"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1.26</w:t>
            </w:r>
          </w:p>
        </w:tc>
        <w:tc>
          <w:tcPr>
            <w:tcW w:w="1027" w:type="dxa"/>
            <w:noWrap/>
            <w:vAlign w:val="center"/>
          </w:tcPr>
          <w:p w14:paraId="24690B0F"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1.89</w:t>
            </w:r>
          </w:p>
        </w:tc>
        <w:tc>
          <w:tcPr>
            <w:tcW w:w="1027" w:type="dxa"/>
            <w:noWrap/>
            <w:vAlign w:val="center"/>
          </w:tcPr>
          <w:p w14:paraId="6CDA052E"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2.52</w:t>
            </w:r>
          </w:p>
        </w:tc>
      </w:tr>
      <w:tr w:rsidR="001F3F40" w:rsidRPr="00F87241" w14:paraId="30B12799" w14:textId="77777777" w:rsidTr="00175863">
        <w:trPr>
          <w:trHeight w:val="255"/>
        </w:trPr>
        <w:tc>
          <w:tcPr>
            <w:tcW w:w="2852" w:type="dxa"/>
            <w:noWrap/>
            <w:vAlign w:val="bottom"/>
          </w:tcPr>
          <w:p w14:paraId="0A12C6EF" w14:textId="77777777" w:rsidR="001F3F40" w:rsidRPr="00F87241" w:rsidRDefault="001F3F40" w:rsidP="002739C5">
            <w:pPr>
              <w:keepNext/>
              <w:keepLines/>
              <w:spacing w:before="0" w:after="0"/>
              <w:rPr>
                <w:rFonts w:ascii="Arial Narrow" w:hAnsi="Arial Narrow"/>
                <w:color w:val="000000"/>
              </w:rPr>
            </w:pPr>
            <w:r>
              <w:rPr>
                <w:rFonts w:ascii="Arial Narrow" w:hAnsi="Arial Narrow"/>
                <w:color w:val="000000"/>
              </w:rPr>
              <w:t>Cost of administration associated with excess ERT infusion, IOGSD II first year</w:t>
            </w:r>
          </w:p>
        </w:tc>
        <w:tc>
          <w:tcPr>
            <w:tcW w:w="1027" w:type="dxa"/>
            <w:noWrap/>
            <w:vAlign w:val="center"/>
          </w:tcPr>
          <w:p w14:paraId="0D668137" w14:textId="561E55A2" w:rsidR="001F3F40" w:rsidRPr="00BE774E" w:rsidRDefault="001F3F40" w:rsidP="002739C5">
            <w:pPr>
              <w:keepNext/>
              <w:keepLines/>
              <w:spacing w:before="0" w:after="0"/>
              <w:jc w:val="right"/>
              <w:rPr>
                <w:rFonts w:ascii="Arial Narrow" w:hAnsi="Arial Narrow"/>
              </w:rPr>
            </w:pPr>
            <w:r w:rsidRPr="2155F963">
              <w:rPr>
                <w:rFonts w:ascii="Arial Narrow" w:hAnsi="Arial Narrow"/>
                <w:color w:val="000000" w:themeColor="text1"/>
              </w:rPr>
              <w:t>$3,410</w:t>
            </w:r>
          </w:p>
        </w:tc>
        <w:tc>
          <w:tcPr>
            <w:tcW w:w="1027" w:type="dxa"/>
            <w:noWrap/>
            <w:vAlign w:val="center"/>
          </w:tcPr>
          <w:p w14:paraId="3077E2E7"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$3,410</w:t>
            </w:r>
          </w:p>
        </w:tc>
        <w:tc>
          <w:tcPr>
            <w:tcW w:w="1027" w:type="dxa"/>
            <w:noWrap/>
            <w:vAlign w:val="center"/>
          </w:tcPr>
          <w:p w14:paraId="024890E6"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$3,410</w:t>
            </w:r>
          </w:p>
        </w:tc>
        <w:tc>
          <w:tcPr>
            <w:tcW w:w="1027" w:type="dxa"/>
            <w:noWrap/>
            <w:vAlign w:val="center"/>
          </w:tcPr>
          <w:p w14:paraId="34EB82A3"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$3,410</w:t>
            </w:r>
          </w:p>
        </w:tc>
        <w:tc>
          <w:tcPr>
            <w:tcW w:w="1027" w:type="dxa"/>
            <w:noWrap/>
            <w:vAlign w:val="center"/>
          </w:tcPr>
          <w:p w14:paraId="49FF7674"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$3,410</w:t>
            </w:r>
          </w:p>
        </w:tc>
        <w:tc>
          <w:tcPr>
            <w:tcW w:w="1027" w:type="dxa"/>
            <w:noWrap/>
            <w:vAlign w:val="center"/>
          </w:tcPr>
          <w:p w14:paraId="6870210F"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$3,410</w:t>
            </w:r>
          </w:p>
        </w:tc>
      </w:tr>
      <w:tr w:rsidR="001F3F40" w:rsidRPr="00F87241" w14:paraId="1EA49EB6" w14:textId="77777777" w:rsidTr="00175863">
        <w:trPr>
          <w:trHeight w:val="255"/>
        </w:trPr>
        <w:tc>
          <w:tcPr>
            <w:tcW w:w="2852" w:type="dxa"/>
            <w:noWrap/>
            <w:vAlign w:val="bottom"/>
          </w:tcPr>
          <w:p w14:paraId="1748E8AF" w14:textId="77777777" w:rsidR="001F3F40" w:rsidRPr="00F87241" w:rsidRDefault="001F3F40" w:rsidP="002739C5">
            <w:pPr>
              <w:keepNext/>
              <w:keepLines/>
              <w:spacing w:before="0" w:after="0"/>
              <w:rPr>
                <w:rFonts w:ascii="Arial Narrow" w:hAnsi="Arial Narrow"/>
                <w:color w:val="000000"/>
              </w:rPr>
            </w:pPr>
            <w:r>
              <w:rPr>
                <w:rFonts w:ascii="Arial Narrow" w:hAnsi="Arial Narrow"/>
                <w:color w:val="000000"/>
              </w:rPr>
              <w:t>Cost of administration associated with excess ERT infusion, LOGSD II</w:t>
            </w:r>
          </w:p>
        </w:tc>
        <w:tc>
          <w:tcPr>
            <w:tcW w:w="1027" w:type="dxa"/>
            <w:noWrap/>
            <w:vAlign w:val="center"/>
          </w:tcPr>
          <w:p w14:paraId="63133BB7"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$0</w:t>
            </w:r>
          </w:p>
        </w:tc>
        <w:tc>
          <w:tcPr>
            <w:tcW w:w="1027" w:type="dxa"/>
            <w:noWrap/>
            <w:vAlign w:val="center"/>
          </w:tcPr>
          <w:p w14:paraId="73E6D9E2"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$0</w:t>
            </w:r>
          </w:p>
        </w:tc>
        <w:tc>
          <w:tcPr>
            <w:tcW w:w="1027" w:type="dxa"/>
            <w:noWrap/>
            <w:vAlign w:val="center"/>
          </w:tcPr>
          <w:p w14:paraId="7A419D59"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$5,532</w:t>
            </w:r>
          </w:p>
        </w:tc>
        <w:tc>
          <w:tcPr>
            <w:tcW w:w="1027" w:type="dxa"/>
            <w:noWrap/>
            <w:vAlign w:val="center"/>
          </w:tcPr>
          <w:p w14:paraId="423E4F0D"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$11,064</w:t>
            </w:r>
          </w:p>
        </w:tc>
        <w:tc>
          <w:tcPr>
            <w:tcW w:w="1027" w:type="dxa"/>
            <w:noWrap/>
            <w:vAlign w:val="center"/>
          </w:tcPr>
          <w:p w14:paraId="6B6B78F7"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$16,597</w:t>
            </w:r>
          </w:p>
        </w:tc>
        <w:tc>
          <w:tcPr>
            <w:tcW w:w="1027" w:type="dxa"/>
            <w:noWrap/>
            <w:vAlign w:val="center"/>
          </w:tcPr>
          <w:p w14:paraId="150C945E" w14:textId="77777777" w:rsidR="001F3F40" w:rsidRPr="00BE774E" w:rsidRDefault="001F3F40" w:rsidP="002739C5">
            <w:pPr>
              <w:keepNext/>
              <w:keepLines/>
              <w:spacing w:before="0" w:after="0"/>
              <w:jc w:val="right"/>
              <w:rPr>
                <w:rFonts w:ascii="Arial Narrow" w:hAnsi="Arial Narrow"/>
              </w:rPr>
            </w:pPr>
            <w:r>
              <w:rPr>
                <w:rFonts w:ascii="Arial Narrow" w:hAnsi="Arial Narrow"/>
                <w:color w:val="000000"/>
              </w:rPr>
              <w:t>$22,129</w:t>
            </w:r>
          </w:p>
        </w:tc>
      </w:tr>
      <w:tr w:rsidR="001F3F40" w:rsidRPr="00F87241" w14:paraId="5A665FD3" w14:textId="77777777" w:rsidTr="00175863">
        <w:trPr>
          <w:trHeight w:val="255"/>
        </w:trPr>
        <w:tc>
          <w:tcPr>
            <w:tcW w:w="2852" w:type="dxa"/>
            <w:noWrap/>
            <w:hideMark/>
          </w:tcPr>
          <w:p w14:paraId="2C696750" w14:textId="77777777" w:rsidR="001F3F40" w:rsidRPr="00F87241" w:rsidRDefault="001F3F40" w:rsidP="002739C5">
            <w:pPr>
              <w:keepNext/>
              <w:keepLines/>
              <w:spacing w:before="0" w:after="0"/>
              <w:rPr>
                <w:rFonts w:ascii="Arial Narrow" w:hAnsi="Arial Narrow"/>
                <w:color w:val="000000"/>
              </w:rPr>
            </w:pPr>
            <w:r w:rsidRPr="00F87241">
              <w:rPr>
                <w:rFonts w:ascii="Arial Narrow" w:hAnsi="Arial Narrow"/>
                <w:color w:val="000000"/>
              </w:rPr>
              <w:t xml:space="preserve">Cost of confirmatory diagnostic test </w:t>
            </w:r>
          </w:p>
        </w:tc>
        <w:tc>
          <w:tcPr>
            <w:tcW w:w="1027" w:type="dxa"/>
            <w:noWrap/>
            <w:hideMark/>
          </w:tcPr>
          <w:p w14:paraId="62AD2E91"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$21,269</w:t>
            </w:r>
          </w:p>
        </w:tc>
        <w:tc>
          <w:tcPr>
            <w:tcW w:w="1027" w:type="dxa"/>
            <w:noWrap/>
            <w:hideMark/>
          </w:tcPr>
          <w:p w14:paraId="28E06DF5"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$21,269</w:t>
            </w:r>
          </w:p>
        </w:tc>
        <w:tc>
          <w:tcPr>
            <w:tcW w:w="1027" w:type="dxa"/>
            <w:noWrap/>
            <w:hideMark/>
          </w:tcPr>
          <w:p w14:paraId="44E71E74"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$21,269</w:t>
            </w:r>
          </w:p>
        </w:tc>
        <w:tc>
          <w:tcPr>
            <w:tcW w:w="1027" w:type="dxa"/>
            <w:noWrap/>
            <w:hideMark/>
          </w:tcPr>
          <w:p w14:paraId="718828CC"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$21,269</w:t>
            </w:r>
          </w:p>
        </w:tc>
        <w:tc>
          <w:tcPr>
            <w:tcW w:w="1027" w:type="dxa"/>
            <w:noWrap/>
            <w:hideMark/>
          </w:tcPr>
          <w:p w14:paraId="0F920017"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$21,269</w:t>
            </w:r>
          </w:p>
        </w:tc>
        <w:tc>
          <w:tcPr>
            <w:tcW w:w="1027" w:type="dxa"/>
            <w:noWrap/>
            <w:hideMark/>
          </w:tcPr>
          <w:p w14:paraId="6F1A2E12"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$21,269</w:t>
            </w:r>
          </w:p>
        </w:tc>
      </w:tr>
      <w:tr w:rsidR="001F3F40" w:rsidRPr="00F87241" w14:paraId="49B221F9" w14:textId="77777777" w:rsidTr="00175863">
        <w:trPr>
          <w:trHeight w:val="255"/>
        </w:trPr>
        <w:tc>
          <w:tcPr>
            <w:tcW w:w="2852" w:type="dxa"/>
            <w:noWrap/>
            <w:hideMark/>
          </w:tcPr>
          <w:p w14:paraId="24770216" w14:textId="120F4EB8" w:rsidR="001F3F40" w:rsidRPr="00F87241" w:rsidRDefault="001F3F40" w:rsidP="002739C5">
            <w:pPr>
              <w:keepNext/>
              <w:keepLines/>
              <w:spacing w:before="0" w:after="0"/>
              <w:rPr>
                <w:rFonts w:ascii="Arial Narrow" w:hAnsi="Arial Narrow"/>
                <w:color w:val="000000"/>
              </w:rPr>
            </w:pPr>
            <w:r w:rsidRPr="00F87241">
              <w:rPr>
                <w:rFonts w:ascii="Arial Narrow" w:hAnsi="Arial Narrow"/>
                <w:color w:val="000000"/>
              </w:rPr>
              <w:t xml:space="preserve">Cost of </w:t>
            </w:r>
            <w:r>
              <w:rPr>
                <w:rFonts w:ascii="Arial Narrow" w:hAnsi="Arial Narrow"/>
                <w:color w:val="000000"/>
              </w:rPr>
              <w:t>annual</w:t>
            </w:r>
            <w:r w:rsidRPr="00F87241">
              <w:rPr>
                <w:rFonts w:ascii="Arial Narrow" w:hAnsi="Arial Narrow"/>
                <w:color w:val="000000"/>
              </w:rPr>
              <w:t xml:space="preserve"> monitoring (uptake in LOGSD II - 82.6%)</w:t>
            </w:r>
          </w:p>
        </w:tc>
        <w:tc>
          <w:tcPr>
            <w:tcW w:w="1027" w:type="dxa"/>
            <w:noWrap/>
            <w:vAlign w:val="bottom"/>
            <w:hideMark/>
          </w:tcPr>
          <w:p w14:paraId="0497D712" w14:textId="704BA04A"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$1,118</w:t>
            </w:r>
          </w:p>
        </w:tc>
        <w:tc>
          <w:tcPr>
            <w:tcW w:w="1027" w:type="dxa"/>
            <w:noWrap/>
            <w:vAlign w:val="bottom"/>
            <w:hideMark/>
          </w:tcPr>
          <w:p w14:paraId="50226F2E" w14:textId="2051209C"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$1,118</w:t>
            </w:r>
          </w:p>
        </w:tc>
        <w:tc>
          <w:tcPr>
            <w:tcW w:w="1027" w:type="dxa"/>
            <w:noWrap/>
            <w:vAlign w:val="bottom"/>
            <w:hideMark/>
          </w:tcPr>
          <w:p w14:paraId="541026E7" w14:textId="635CBF89"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$1,118</w:t>
            </w:r>
          </w:p>
        </w:tc>
        <w:tc>
          <w:tcPr>
            <w:tcW w:w="1027" w:type="dxa"/>
            <w:noWrap/>
            <w:vAlign w:val="bottom"/>
            <w:hideMark/>
          </w:tcPr>
          <w:p w14:paraId="0AB15B0A" w14:textId="782CD3D1"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$1,118</w:t>
            </w:r>
          </w:p>
        </w:tc>
        <w:tc>
          <w:tcPr>
            <w:tcW w:w="1027" w:type="dxa"/>
            <w:noWrap/>
            <w:vAlign w:val="bottom"/>
            <w:hideMark/>
          </w:tcPr>
          <w:p w14:paraId="50FE506B" w14:textId="6AC6EC1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$1,118</w:t>
            </w:r>
          </w:p>
        </w:tc>
        <w:tc>
          <w:tcPr>
            <w:tcW w:w="1027" w:type="dxa"/>
            <w:noWrap/>
            <w:vAlign w:val="bottom"/>
            <w:hideMark/>
          </w:tcPr>
          <w:p w14:paraId="47600524" w14:textId="6C5C0F3C"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$1,118</w:t>
            </w:r>
          </w:p>
        </w:tc>
      </w:tr>
      <w:tr w:rsidR="001F3F40" w:rsidRPr="00F87241" w14:paraId="78401BBB" w14:textId="77777777" w:rsidTr="00175863">
        <w:trPr>
          <w:trHeight w:val="255"/>
        </w:trPr>
        <w:tc>
          <w:tcPr>
            <w:tcW w:w="2852" w:type="dxa"/>
            <w:noWrap/>
            <w:hideMark/>
          </w:tcPr>
          <w:p w14:paraId="51CE3CE0" w14:textId="387E27F7" w:rsidR="001F3F40" w:rsidRPr="00F87241" w:rsidRDefault="00921A70" w:rsidP="002739C5">
            <w:pPr>
              <w:keepNext/>
              <w:keepLines/>
              <w:spacing w:before="0" w:after="0"/>
              <w:rPr>
                <w:rFonts w:ascii="Arial Narrow" w:hAnsi="Arial Narrow"/>
                <w:color w:val="000000"/>
              </w:rPr>
            </w:pPr>
            <w:r>
              <w:rPr>
                <w:rFonts w:ascii="Arial Narrow" w:hAnsi="Arial Narrow"/>
                <w:color w:val="000000"/>
              </w:rPr>
              <w:t>Segregation</w:t>
            </w:r>
            <w:r w:rsidRPr="00F87241">
              <w:rPr>
                <w:rFonts w:ascii="Arial Narrow" w:hAnsi="Arial Narrow"/>
                <w:color w:val="000000"/>
              </w:rPr>
              <w:t xml:space="preserve"> </w:t>
            </w:r>
            <w:r w:rsidR="001F3F40" w:rsidRPr="00F87241">
              <w:rPr>
                <w:rFonts w:ascii="Arial Narrow" w:hAnsi="Arial Narrow"/>
                <w:color w:val="000000"/>
              </w:rPr>
              <w:t>tests in parents (one couple per affected case)</w:t>
            </w:r>
          </w:p>
        </w:tc>
        <w:tc>
          <w:tcPr>
            <w:tcW w:w="1027" w:type="dxa"/>
            <w:noWrap/>
            <w:hideMark/>
          </w:tcPr>
          <w:p w14:paraId="70023B08"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$4,127</w:t>
            </w:r>
          </w:p>
        </w:tc>
        <w:tc>
          <w:tcPr>
            <w:tcW w:w="1027" w:type="dxa"/>
            <w:noWrap/>
            <w:hideMark/>
          </w:tcPr>
          <w:p w14:paraId="209FA40F"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$4,127</w:t>
            </w:r>
          </w:p>
        </w:tc>
        <w:tc>
          <w:tcPr>
            <w:tcW w:w="1027" w:type="dxa"/>
            <w:noWrap/>
            <w:hideMark/>
          </w:tcPr>
          <w:p w14:paraId="27659A8F"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$4,127</w:t>
            </w:r>
          </w:p>
        </w:tc>
        <w:tc>
          <w:tcPr>
            <w:tcW w:w="1027" w:type="dxa"/>
            <w:noWrap/>
            <w:hideMark/>
          </w:tcPr>
          <w:p w14:paraId="7FE721E2"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$4,127</w:t>
            </w:r>
          </w:p>
        </w:tc>
        <w:tc>
          <w:tcPr>
            <w:tcW w:w="1027" w:type="dxa"/>
            <w:noWrap/>
            <w:hideMark/>
          </w:tcPr>
          <w:p w14:paraId="610BD54F"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$4,127</w:t>
            </w:r>
          </w:p>
        </w:tc>
        <w:tc>
          <w:tcPr>
            <w:tcW w:w="1027" w:type="dxa"/>
            <w:noWrap/>
            <w:hideMark/>
          </w:tcPr>
          <w:p w14:paraId="1E031B6E"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$4,127</w:t>
            </w:r>
          </w:p>
        </w:tc>
      </w:tr>
      <w:tr w:rsidR="001F3F40" w:rsidRPr="00F87241" w14:paraId="42E003F8" w14:textId="77777777" w:rsidTr="00175863">
        <w:trPr>
          <w:trHeight w:val="255"/>
        </w:trPr>
        <w:tc>
          <w:tcPr>
            <w:tcW w:w="2852" w:type="dxa"/>
            <w:noWrap/>
            <w:hideMark/>
          </w:tcPr>
          <w:p w14:paraId="4E74CDCB" w14:textId="77777777" w:rsidR="001F3F40" w:rsidRPr="00F87241" w:rsidRDefault="001F3F40" w:rsidP="002739C5">
            <w:pPr>
              <w:keepNext/>
              <w:keepLines/>
              <w:spacing w:before="0" w:after="0"/>
              <w:rPr>
                <w:rFonts w:ascii="Arial Narrow" w:hAnsi="Arial Narrow"/>
                <w:color w:val="000000"/>
              </w:rPr>
            </w:pPr>
            <w:r w:rsidRPr="00F87241">
              <w:rPr>
                <w:rFonts w:ascii="Arial Narrow" w:hAnsi="Arial Narrow"/>
                <w:color w:val="000000"/>
              </w:rPr>
              <w:t>Cascade tests in siblings (one siblings per affected case)</w:t>
            </w:r>
          </w:p>
        </w:tc>
        <w:tc>
          <w:tcPr>
            <w:tcW w:w="1027" w:type="dxa"/>
            <w:noWrap/>
            <w:hideMark/>
          </w:tcPr>
          <w:p w14:paraId="7207BE22"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$4,406</w:t>
            </w:r>
          </w:p>
        </w:tc>
        <w:tc>
          <w:tcPr>
            <w:tcW w:w="1027" w:type="dxa"/>
            <w:noWrap/>
            <w:hideMark/>
          </w:tcPr>
          <w:p w14:paraId="2E1612F1"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$4,406</w:t>
            </w:r>
          </w:p>
        </w:tc>
        <w:tc>
          <w:tcPr>
            <w:tcW w:w="1027" w:type="dxa"/>
            <w:noWrap/>
            <w:hideMark/>
          </w:tcPr>
          <w:p w14:paraId="1FE1734E"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$4,406</w:t>
            </w:r>
          </w:p>
        </w:tc>
        <w:tc>
          <w:tcPr>
            <w:tcW w:w="1027" w:type="dxa"/>
            <w:noWrap/>
            <w:hideMark/>
          </w:tcPr>
          <w:p w14:paraId="27114351"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$4,406</w:t>
            </w:r>
          </w:p>
        </w:tc>
        <w:tc>
          <w:tcPr>
            <w:tcW w:w="1027" w:type="dxa"/>
            <w:noWrap/>
            <w:hideMark/>
          </w:tcPr>
          <w:p w14:paraId="5C5034F2"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$4,406</w:t>
            </w:r>
          </w:p>
        </w:tc>
        <w:tc>
          <w:tcPr>
            <w:tcW w:w="1027" w:type="dxa"/>
            <w:noWrap/>
            <w:hideMark/>
          </w:tcPr>
          <w:p w14:paraId="0C0BFC70" w14:textId="77777777" w:rsidR="001F3F40" w:rsidRPr="00F87241" w:rsidRDefault="001F3F40" w:rsidP="002739C5">
            <w:pPr>
              <w:keepNext/>
              <w:keepLines/>
              <w:spacing w:before="0" w:after="0"/>
              <w:jc w:val="right"/>
              <w:rPr>
                <w:rFonts w:ascii="Arial Narrow" w:hAnsi="Arial Narrow"/>
                <w:color w:val="000000"/>
              </w:rPr>
            </w:pPr>
            <w:r w:rsidRPr="00BE774E">
              <w:rPr>
                <w:rFonts w:ascii="Arial Narrow" w:hAnsi="Arial Narrow"/>
              </w:rPr>
              <w:t>$4,406</w:t>
            </w:r>
          </w:p>
        </w:tc>
      </w:tr>
      <w:tr w:rsidR="001F3F40" w:rsidRPr="00123C4A" w14:paraId="78A7E5F0" w14:textId="77777777" w:rsidTr="00175863">
        <w:trPr>
          <w:trHeight w:val="255"/>
        </w:trPr>
        <w:tc>
          <w:tcPr>
            <w:tcW w:w="2852" w:type="dxa"/>
            <w:tcBorders>
              <w:bottom w:val="single" w:sz="4" w:space="0" w:color="auto"/>
            </w:tcBorders>
            <w:noWrap/>
            <w:hideMark/>
          </w:tcPr>
          <w:p w14:paraId="27050C2C" w14:textId="77777777" w:rsidR="001F3F40" w:rsidRPr="00F87241" w:rsidRDefault="001F3F40" w:rsidP="002739C5">
            <w:pPr>
              <w:keepNext/>
              <w:keepLines/>
              <w:spacing w:before="0" w:after="0"/>
              <w:rPr>
                <w:rFonts w:ascii="Arial Narrow" w:hAnsi="Arial Narrow"/>
                <w:b/>
                <w:bCs/>
                <w:color w:val="000000"/>
              </w:rPr>
            </w:pPr>
            <w:r w:rsidRPr="00F87241">
              <w:rPr>
                <w:rFonts w:ascii="Arial Narrow" w:hAnsi="Arial Narrow"/>
                <w:b/>
                <w:bCs/>
                <w:color w:val="000000"/>
              </w:rPr>
              <w:t xml:space="preserve">Total cost to </w:t>
            </w:r>
            <w:r>
              <w:rPr>
                <w:rFonts w:ascii="Arial Narrow" w:hAnsi="Arial Narrow"/>
                <w:b/>
                <w:bCs/>
                <w:color w:val="000000"/>
              </w:rPr>
              <w:t xml:space="preserve">MBS </w:t>
            </w:r>
            <w:r w:rsidRPr="00F87241">
              <w:rPr>
                <w:rFonts w:ascii="Arial Narrow" w:hAnsi="Arial Narrow"/>
                <w:b/>
                <w:bCs/>
                <w:color w:val="000000"/>
              </w:rPr>
              <w:t>due to NBS</w:t>
            </w:r>
          </w:p>
        </w:tc>
        <w:tc>
          <w:tcPr>
            <w:tcW w:w="1027" w:type="dxa"/>
            <w:tcBorders>
              <w:bottom w:val="single" w:sz="4" w:space="0" w:color="auto"/>
            </w:tcBorders>
            <w:noWrap/>
            <w:vAlign w:val="bottom"/>
            <w:hideMark/>
          </w:tcPr>
          <w:p w14:paraId="07B0CDFA" w14:textId="22C16BC2" w:rsidR="001F3F40" w:rsidRPr="00F87241" w:rsidRDefault="001F3F40" w:rsidP="002739C5">
            <w:pPr>
              <w:keepNext/>
              <w:keepLines/>
              <w:spacing w:before="0" w:after="0"/>
              <w:jc w:val="right"/>
              <w:rPr>
                <w:rFonts w:ascii="Arial Narrow" w:hAnsi="Arial Narrow"/>
                <w:b/>
                <w:bCs/>
                <w:color w:val="000000"/>
              </w:rPr>
            </w:pPr>
            <w:r>
              <w:rPr>
                <w:rFonts w:ascii="Arial Narrow" w:hAnsi="Arial Narrow"/>
                <w:color w:val="000000"/>
              </w:rPr>
              <w:t>$34,330</w:t>
            </w:r>
          </w:p>
        </w:tc>
        <w:tc>
          <w:tcPr>
            <w:tcW w:w="1027" w:type="dxa"/>
            <w:tcBorders>
              <w:bottom w:val="single" w:sz="4" w:space="0" w:color="auto"/>
            </w:tcBorders>
            <w:noWrap/>
            <w:vAlign w:val="bottom"/>
            <w:hideMark/>
          </w:tcPr>
          <w:p w14:paraId="24DAA911" w14:textId="714FA7CC" w:rsidR="001F3F40" w:rsidRPr="00F87241" w:rsidRDefault="001F3F40" w:rsidP="002739C5">
            <w:pPr>
              <w:keepNext/>
              <w:keepLines/>
              <w:spacing w:before="0" w:after="0"/>
              <w:jc w:val="right"/>
              <w:rPr>
                <w:rFonts w:ascii="Arial Narrow" w:hAnsi="Arial Narrow"/>
                <w:b/>
                <w:bCs/>
                <w:color w:val="000000"/>
              </w:rPr>
            </w:pPr>
            <w:r>
              <w:rPr>
                <w:rFonts w:ascii="Arial Narrow" w:hAnsi="Arial Narrow"/>
                <w:color w:val="000000"/>
              </w:rPr>
              <w:t>$34,330</w:t>
            </w:r>
          </w:p>
        </w:tc>
        <w:tc>
          <w:tcPr>
            <w:tcW w:w="1027" w:type="dxa"/>
            <w:tcBorders>
              <w:bottom w:val="single" w:sz="4" w:space="0" w:color="auto"/>
            </w:tcBorders>
            <w:noWrap/>
            <w:vAlign w:val="bottom"/>
            <w:hideMark/>
          </w:tcPr>
          <w:p w14:paraId="7394C252" w14:textId="17E53167" w:rsidR="001F3F40" w:rsidRPr="00F87241" w:rsidRDefault="001F3F40" w:rsidP="002739C5">
            <w:pPr>
              <w:keepNext/>
              <w:keepLines/>
              <w:spacing w:before="0" w:after="0"/>
              <w:jc w:val="right"/>
              <w:rPr>
                <w:rFonts w:ascii="Arial Narrow" w:hAnsi="Arial Narrow"/>
                <w:b/>
                <w:bCs/>
                <w:color w:val="000000"/>
              </w:rPr>
            </w:pPr>
            <w:r>
              <w:rPr>
                <w:rFonts w:ascii="Arial Narrow" w:hAnsi="Arial Narrow"/>
                <w:color w:val="000000"/>
              </w:rPr>
              <w:t>$39,862</w:t>
            </w:r>
          </w:p>
        </w:tc>
        <w:tc>
          <w:tcPr>
            <w:tcW w:w="1027" w:type="dxa"/>
            <w:tcBorders>
              <w:bottom w:val="single" w:sz="4" w:space="0" w:color="auto"/>
            </w:tcBorders>
            <w:noWrap/>
            <w:vAlign w:val="bottom"/>
            <w:hideMark/>
          </w:tcPr>
          <w:p w14:paraId="2CEFB921" w14:textId="4EA4EC4C" w:rsidR="001F3F40" w:rsidRPr="00F87241" w:rsidRDefault="001F3F40" w:rsidP="002739C5">
            <w:pPr>
              <w:keepNext/>
              <w:keepLines/>
              <w:spacing w:before="0" w:after="0"/>
              <w:jc w:val="right"/>
              <w:rPr>
                <w:rFonts w:ascii="Arial Narrow" w:hAnsi="Arial Narrow"/>
                <w:b/>
                <w:bCs/>
                <w:color w:val="000000"/>
              </w:rPr>
            </w:pPr>
            <w:r>
              <w:rPr>
                <w:rFonts w:ascii="Arial Narrow" w:hAnsi="Arial Narrow"/>
                <w:color w:val="000000"/>
              </w:rPr>
              <w:t>$45,395</w:t>
            </w:r>
          </w:p>
        </w:tc>
        <w:tc>
          <w:tcPr>
            <w:tcW w:w="1027" w:type="dxa"/>
            <w:tcBorders>
              <w:bottom w:val="single" w:sz="4" w:space="0" w:color="auto"/>
            </w:tcBorders>
            <w:noWrap/>
            <w:vAlign w:val="bottom"/>
            <w:hideMark/>
          </w:tcPr>
          <w:p w14:paraId="039DEBDA" w14:textId="2809FC13" w:rsidR="001F3F40" w:rsidRPr="00F87241" w:rsidRDefault="001F3F40" w:rsidP="002739C5">
            <w:pPr>
              <w:keepNext/>
              <w:keepLines/>
              <w:spacing w:before="0" w:after="0"/>
              <w:jc w:val="right"/>
              <w:rPr>
                <w:rFonts w:ascii="Arial Narrow" w:hAnsi="Arial Narrow"/>
                <w:b/>
                <w:bCs/>
                <w:color w:val="000000"/>
              </w:rPr>
            </w:pPr>
            <w:r>
              <w:rPr>
                <w:rFonts w:ascii="Arial Narrow" w:hAnsi="Arial Narrow"/>
                <w:color w:val="000000"/>
              </w:rPr>
              <w:t>$50,927</w:t>
            </w:r>
          </w:p>
        </w:tc>
        <w:tc>
          <w:tcPr>
            <w:tcW w:w="1027" w:type="dxa"/>
            <w:tcBorders>
              <w:bottom w:val="single" w:sz="4" w:space="0" w:color="auto"/>
            </w:tcBorders>
            <w:noWrap/>
            <w:vAlign w:val="bottom"/>
            <w:hideMark/>
          </w:tcPr>
          <w:p w14:paraId="5C6DBAE6" w14:textId="22181DED" w:rsidR="001F3F40" w:rsidRPr="00F87241" w:rsidRDefault="001F3F40" w:rsidP="002739C5">
            <w:pPr>
              <w:keepNext/>
              <w:keepLines/>
              <w:spacing w:before="0" w:after="0"/>
              <w:jc w:val="right"/>
              <w:rPr>
                <w:rFonts w:ascii="Arial Narrow" w:hAnsi="Arial Narrow"/>
                <w:b/>
                <w:bCs/>
                <w:color w:val="000000"/>
              </w:rPr>
            </w:pPr>
            <w:r>
              <w:rPr>
                <w:rFonts w:ascii="Arial Narrow" w:hAnsi="Arial Narrow"/>
                <w:color w:val="000000"/>
              </w:rPr>
              <w:t>$56,459</w:t>
            </w:r>
          </w:p>
        </w:tc>
      </w:tr>
      <w:tr w:rsidR="001F3F40" w:rsidRPr="00F87241" w14:paraId="003DD447" w14:textId="77777777" w:rsidTr="00175863">
        <w:trPr>
          <w:trHeight w:val="255"/>
        </w:trPr>
        <w:tc>
          <w:tcPr>
            <w:tcW w:w="2852" w:type="dxa"/>
            <w:tcBorders>
              <w:right w:val="nil"/>
            </w:tcBorders>
            <w:noWrap/>
            <w:hideMark/>
          </w:tcPr>
          <w:p w14:paraId="5C2D26F7" w14:textId="77777777" w:rsidR="001F3F40" w:rsidRPr="00F87241" w:rsidRDefault="001F3F40" w:rsidP="002739C5">
            <w:pPr>
              <w:keepNext/>
              <w:keepLines/>
              <w:spacing w:before="0" w:after="0"/>
              <w:rPr>
                <w:rFonts w:ascii="Arial Narrow" w:hAnsi="Arial Narrow"/>
                <w:b/>
                <w:bCs/>
                <w:color w:val="000000"/>
              </w:rPr>
            </w:pPr>
            <w:r w:rsidRPr="00F87241">
              <w:rPr>
                <w:rFonts w:ascii="Arial Narrow" w:hAnsi="Arial Narrow"/>
                <w:b/>
                <w:bCs/>
                <w:color w:val="000000"/>
              </w:rPr>
              <w:t>Current practice</w:t>
            </w:r>
          </w:p>
        </w:tc>
        <w:tc>
          <w:tcPr>
            <w:tcW w:w="1027" w:type="dxa"/>
            <w:tcBorders>
              <w:left w:val="nil"/>
              <w:right w:val="nil"/>
            </w:tcBorders>
            <w:noWrap/>
            <w:hideMark/>
          </w:tcPr>
          <w:p w14:paraId="4B3CB875" w14:textId="77777777" w:rsidR="001F3F40" w:rsidRPr="00F87241" w:rsidRDefault="001F3F40" w:rsidP="002739C5">
            <w:pPr>
              <w:keepNext/>
              <w:keepLines/>
              <w:spacing w:before="0" w:after="0"/>
              <w:rPr>
                <w:rFonts w:ascii="Arial Narrow" w:hAnsi="Arial Narrow"/>
              </w:rPr>
            </w:pPr>
          </w:p>
        </w:tc>
        <w:tc>
          <w:tcPr>
            <w:tcW w:w="1027" w:type="dxa"/>
            <w:tcBorders>
              <w:left w:val="nil"/>
              <w:right w:val="nil"/>
            </w:tcBorders>
            <w:noWrap/>
            <w:hideMark/>
          </w:tcPr>
          <w:p w14:paraId="737D3B77" w14:textId="77777777" w:rsidR="001F3F40" w:rsidRPr="00F87241" w:rsidRDefault="001F3F40" w:rsidP="002739C5">
            <w:pPr>
              <w:keepNext/>
              <w:keepLines/>
              <w:spacing w:before="0" w:after="0"/>
              <w:rPr>
                <w:rFonts w:ascii="Arial Narrow" w:hAnsi="Arial Narrow"/>
              </w:rPr>
            </w:pPr>
          </w:p>
        </w:tc>
        <w:tc>
          <w:tcPr>
            <w:tcW w:w="1027" w:type="dxa"/>
            <w:tcBorders>
              <w:left w:val="nil"/>
              <w:right w:val="nil"/>
            </w:tcBorders>
            <w:noWrap/>
            <w:hideMark/>
          </w:tcPr>
          <w:p w14:paraId="265F31B4" w14:textId="77777777" w:rsidR="001F3F40" w:rsidRPr="00F87241" w:rsidRDefault="001F3F40" w:rsidP="002739C5">
            <w:pPr>
              <w:keepNext/>
              <w:keepLines/>
              <w:spacing w:before="0" w:after="0"/>
              <w:rPr>
                <w:rFonts w:ascii="Arial Narrow" w:hAnsi="Arial Narrow"/>
              </w:rPr>
            </w:pPr>
          </w:p>
        </w:tc>
        <w:tc>
          <w:tcPr>
            <w:tcW w:w="1027" w:type="dxa"/>
            <w:tcBorders>
              <w:left w:val="nil"/>
              <w:right w:val="nil"/>
            </w:tcBorders>
            <w:noWrap/>
            <w:hideMark/>
          </w:tcPr>
          <w:p w14:paraId="2D028867" w14:textId="77777777" w:rsidR="001F3F40" w:rsidRPr="00F87241" w:rsidRDefault="001F3F40" w:rsidP="002739C5">
            <w:pPr>
              <w:keepNext/>
              <w:keepLines/>
              <w:spacing w:before="0" w:after="0"/>
              <w:rPr>
                <w:rFonts w:ascii="Arial Narrow" w:hAnsi="Arial Narrow"/>
              </w:rPr>
            </w:pPr>
          </w:p>
        </w:tc>
        <w:tc>
          <w:tcPr>
            <w:tcW w:w="1027" w:type="dxa"/>
            <w:tcBorders>
              <w:left w:val="nil"/>
              <w:right w:val="nil"/>
            </w:tcBorders>
            <w:noWrap/>
            <w:hideMark/>
          </w:tcPr>
          <w:p w14:paraId="5537B23B" w14:textId="77777777" w:rsidR="001F3F40" w:rsidRPr="00F87241" w:rsidRDefault="001F3F40" w:rsidP="002739C5">
            <w:pPr>
              <w:keepNext/>
              <w:keepLines/>
              <w:spacing w:before="0" w:after="0"/>
              <w:rPr>
                <w:rFonts w:ascii="Arial Narrow" w:hAnsi="Arial Narrow"/>
              </w:rPr>
            </w:pPr>
          </w:p>
        </w:tc>
        <w:tc>
          <w:tcPr>
            <w:tcW w:w="1027" w:type="dxa"/>
            <w:tcBorders>
              <w:left w:val="nil"/>
            </w:tcBorders>
            <w:noWrap/>
            <w:hideMark/>
          </w:tcPr>
          <w:p w14:paraId="54BD60F7" w14:textId="77777777" w:rsidR="001F3F40" w:rsidRPr="00F87241" w:rsidRDefault="001F3F40" w:rsidP="002739C5">
            <w:pPr>
              <w:keepNext/>
              <w:keepLines/>
              <w:spacing w:before="0" w:after="0"/>
              <w:rPr>
                <w:rFonts w:ascii="Arial Narrow" w:hAnsi="Arial Narrow"/>
              </w:rPr>
            </w:pPr>
          </w:p>
        </w:tc>
      </w:tr>
      <w:tr w:rsidR="001F3F40" w:rsidRPr="00F87241" w14:paraId="653A5805" w14:textId="77777777" w:rsidTr="00175863">
        <w:trPr>
          <w:trHeight w:val="255"/>
        </w:trPr>
        <w:tc>
          <w:tcPr>
            <w:tcW w:w="2852" w:type="dxa"/>
            <w:noWrap/>
            <w:hideMark/>
          </w:tcPr>
          <w:p w14:paraId="5F055486" w14:textId="77777777" w:rsidR="001F3F40" w:rsidRPr="00F87241" w:rsidRDefault="001F3F40" w:rsidP="002739C5">
            <w:pPr>
              <w:keepNext/>
              <w:keepLines/>
              <w:spacing w:before="0" w:after="0"/>
              <w:rPr>
                <w:rFonts w:ascii="Arial Narrow" w:hAnsi="Arial Narrow"/>
                <w:color w:val="000000"/>
              </w:rPr>
            </w:pPr>
            <w:r w:rsidRPr="00F87241">
              <w:rPr>
                <w:rFonts w:ascii="Arial Narrow" w:hAnsi="Arial Narrow"/>
                <w:color w:val="000000"/>
              </w:rPr>
              <w:t>Number of GSD II affected cases diagnosed</w:t>
            </w:r>
          </w:p>
        </w:tc>
        <w:tc>
          <w:tcPr>
            <w:tcW w:w="1027" w:type="dxa"/>
            <w:noWrap/>
            <w:vAlign w:val="center"/>
            <w:hideMark/>
          </w:tcPr>
          <w:p w14:paraId="6A888360"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6.67</w:t>
            </w:r>
          </w:p>
        </w:tc>
        <w:tc>
          <w:tcPr>
            <w:tcW w:w="1027" w:type="dxa"/>
            <w:noWrap/>
            <w:vAlign w:val="center"/>
            <w:hideMark/>
          </w:tcPr>
          <w:p w14:paraId="1224FB47"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6.68</w:t>
            </w:r>
          </w:p>
        </w:tc>
        <w:tc>
          <w:tcPr>
            <w:tcW w:w="1027" w:type="dxa"/>
            <w:noWrap/>
            <w:vAlign w:val="center"/>
            <w:hideMark/>
          </w:tcPr>
          <w:p w14:paraId="2FC8A0DF"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6.68</w:t>
            </w:r>
          </w:p>
        </w:tc>
        <w:tc>
          <w:tcPr>
            <w:tcW w:w="1027" w:type="dxa"/>
            <w:noWrap/>
            <w:vAlign w:val="center"/>
            <w:hideMark/>
          </w:tcPr>
          <w:p w14:paraId="3ED048D4"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6.68</w:t>
            </w:r>
          </w:p>
        </w:tc>
        <w:tc>
          <w:tcPr>
            <w:tcW w:w="1027" w:type="dxa"/>
            <w:noWrap/>
            <w:vAlign w:val="center"/>
            <w:hideMark/>
          </w:tcPr>
          <w:p w14:paraId="5786C13C"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6.69</w:t>
            </w:r>
          </w:p>
        </w:tc>
        <w:tc>
          <w:tcPr>
            <w:tcW w:w="1027" w:type="dxa"/>
            <w:noWrap/>
            <w:vAlign w:val="center"/>
            <w:hideMark/>
          </w:tcPr>
          <w:p w14:paraId="67AFFAEE"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6.69</w:t>
            </w:r>
          </w:p>
        </w:tc>
      </w:tr>
      <w:tr w:rsidR="001F3F40" w:rsidRPr="00F87241" w14:paraId="4988B27F" w14:textId="77777777" w:rsidTr="00175863">
        <w:trPr>
          <w:trHeight w:val="255"/>
        </w:trPr>
        <w:tc>
          <w:tcPr>
            <w:tcW w:w="2852" w:type="dxa"/>
            <w:noWrap/>
            <w:hideMark/>
          </w:tcPr>
          <w:p w14:paraId="0A4FB6AC" w14:textId="77777777" w:rsidR="001F3F40" w:rsidRPr="00F87241" w:rsidRDefault="001F3F40" w:rsidP="002739C5">
            <w:pPr>
              <w:keepNext/>
              <w:keepLines/>
              <w:spacing w:before="0" w:after="0"/>
              <w:ind w:firstLineChars="100" w:firstLine="200"/>
              <w:rPr>
                <w:rFonts w:ascii="Arial Narrow" w:hAnsi="Arial Narrow"/>
                <w:color w:val="000000"/>
              </w:rPr>
            </w:pPr>
            <w:r w:rsidRPr="00F87241">
              <w:rPr>
                <w:rFonts w:ascii="Arial Narrow" w:hAnsi="Arial Narrow"/>
                <w:color w:val="000000"/>
              </w:rPr>
              <w:t>Number of affected cases with IOGSD II</w:t>
            </w:r>
          </w:p>
        </w:tc>
        <w:tc>
          <w:tcPr>
            <w:tcW w:w="1027" w:type="dxa"/>
            <w:noWrap/>
            <w:vAlign w:val="center"/>
            <w:hideMark/>
          </w:tcPr>
          <w:p w14:paraId="2F1FABD1"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1.00</w:t>
            </w:r>
          </w:p>
        </w:tc>
        <w:tc>
          <w:tcPr>
            <w:tcW w:w="1027" w:type="dxa"/>
            <w:noWrap/>
            <w:vAlign w:val="center"/>
            <w:hideMark/>
          </w:tcPr>
          <w:p w14:paraId="6D0F47C4"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1.00</w:t>
            </w:r>
          </w:p>
        </w:tc>
        <w:tc>
          <w:tcPr>
            <w:tcW w:w="1027" w:type="dxa"/>
            <w:noWrap/>
            <w:vAlign w:val="center"/>
            <w:hideMark/>
          </w:tcPr>
          <w:p w14:paraId="7E41180B"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1.00</w:t>
            </w:r>
          </w:p>
        </w:tc>
        <w:tc>
          <w:tcPr>
            <w:tcW w:w="1027" w:type="dxa"/>
            <w:noWrap/>
            <w:vAlign w:val="center"/>
            <w:hideMark/>
          </w:tcPr>
          <w:p w14:paraId="2244694A"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1.00</w:t>
            </w:r>
          </w:p>
        </w:tc>
        <w:tc>
          <w:tcPr>
            <w:tcW w:w="1027" w:type="dxa"/>
            <w:noWrap/>
            <w:vAlign w:val="center"/>
            <w:hideMark/>
          </w:tcPr>
          <w:p w14:paraId="35880923"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1.00</w:t>
            </w:r>
          </w:p>
        </w:tc>
        <w:tc>
          <w:tcPr>
            <w:tcW w:w="1027" w:type="dxa"/>
            <w:noWrap/>
            <w:vAlign w:val="center"/>
            <w:hideMark/>
          </w:tcPr>
          <w:p w14:paraId="3ED3419B"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1.00</w:t>
            </w:r>
          </w:p>
        </w:tc>
      </w:tr>
      <w:tr w:rsidR="001F3F40" w:rsidRPr="00F87241" w14:paraId="693B458D" w14:textId="77777777" w:rsidTr="00175863">
        <w:trPr>
          <w:trHeight w:val="255"/>
        </w:trPr>
        <w:tc>
          <w:tcPr>
            <w:tcW w:w="2852" w:type="dxa"/>
            <w:noWrap/>
            <w:hideMark/>
          </w:tcPr>
          <w:p w14:paraId="1C348E27" w14:textId="77777777" w:rsidR="001F3F40" w:rsidRPr="00F87241" w:rsidRDefault="001F3F40" w:rsidP="002739C5">
            <w:pPr>
              <w:keepNext/>
              <w:keepLines/>
              <w:spacing w:before="0" w:after="0"/>
              <w:ind w:firstLineChars="100" w:firstLine="200"/>
              <w:rPr>
                <w:rFonts w:ascii="Arial Narrow" w:hAnsi="Arial Narrow"/>
                <w:color w:val="000000"/>
              </w:rPr>
            </w:pPr>
            <w:r w:rsidRPr="00F87241">
              <w:rPr>
                <w:rFonts w:ascii="Arial Narrow" w:hAnsi="Arial Narrow"/>
                <w:color w:val="000000"/>
              </w:rPr>
              <w:t>Number of affected cases with LOGSD II</w:t>
            </w:r>
          </w:p>
        </w:tc>
        <w:tc>
          <w:tcPr>
            <w:tcW w:w="1027" w:type="dxa"/>
            <w:noWrap/>
            <w:vAlign w:val="center"/>
            <w:hideMark/>
          </w:tcPr>
          <w:p w14:paraId="273E23BE"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5.67</w:t>
            </w:r>
          </w:p>
        </w:tc>
        <w:tc>
          <w:tcPr>
            <w:tcW w:w="1027" w:type="dxa"/>
            <w:noWrap/>
            <w:vAlign w:val="center"/>
            <w:hideMark/>
          </w:tcPr>
          <w:p w14:paraId="15EE04FF"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5.67</w:t>
            </w:r>
          </w:p>
        </w:tc>
        <w:tc>
          <w:tcPr>
            <w:tcW w:w="1027" w:type="dxa"/>
            <w:noWrap/>
            <w:vAlign w:val="center"/>
            <w:hideMark/>
          </w:tcPr>
          <w:p w14:paraId="67425D5C"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5.68</w:t>
            </w:r>
          </w:p>
        </w:tc>
        <w:tc>
          <w:tcPr>
            <w:tcW w:w="1027" w:type="dxa"/>
            <w:noWrap/>
            <w:vAlign w:val="center"/>
            <w:hideMark/>
          </w:tcPr>
          <w:p w14:paraId="7804917F"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5.68</w:t>
            </w:r>
          </w:p>
        </w:tc>
        <w:tc>
          <w:tcPr>
            <w:tcW w:w="1027" w:type="dxa"/>
            <w:noWrap/>
            <w:vAlign w:val="center"/>
            <w:hideMark/>
          </w:tcPr>
          <w:p w14:paraId="624EB7BC"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5.68</w:t>
            </w:r>
          </w:p>
        </w:tc>
        <w:tc>
          <w:tcPr>
            <w:tcW w:w="1027" w:type="dxa"/>
            <w:noWrap/>
            <w:vAlign w:val="center"/>
            <w:hideMark/>
          </w:tcPr>
          <w:p w14:paraId="00EB9838"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5.69</w:t>
            </w:r>
          </w:p>
        </w:tc>
      </w:tr>
      <w:tr w:rsidR="001F3F40" w:rsidRPr="00F87241" w14:paraId="5B6304D3" w14:textId="77777777" w:rsidTr="00175863">
        <w:trPr>
          <w:trHeight w:val="255"/>
        </w:trPr>
        <w:tc>
          <w:tcPr>
            <w:tcW w:w="2852" w:type="dxa"/>
            <w:noWrap/>
            <w:hideMark/>
          </w:tcPr>
          <w:p w14:paraId="21E82EAF" w14:textId="77777777" w:rsidR="001F3F40" w:rsidRPr="00F87241" w:rsidRDefault="001F3F40" w:rsidP="002739C5">
            <w:pPr>
              <w:keepNext/>
              <w:keepLines/>
              <w:spacing w:before="0" w:after="0"/>
              <w:ind w:firstLineChars="100" w:firstLine="200"/>
              <w:rPr>
                <w:rFonts w:ascii="Arial Narrow" w:hAnsi="Arial Narrow"/>
                <w:color w:val="000000"/>
              </w:rPr>
            </w:pPr>
            <w:r w:rsidRPr="00F87241">
              <w:rPr>
                <w:rFonts w:ascii="Arial Narrow" w:hAnsi="Arial Narrow"/>
                <w:color w:val="000000"/>
              </w:rPr>
              <w:t>Cumulative number of LOGSD II cases symptomatic at age 2 years</w:t>
            </w:r>
          </w:p>
        </w:tc>
        <w:tc>
          <w:tcPr>
            <w:tcW w:w="1027" w:type="dxa"/>
            <w:noWrap/>
            <w:vAlign w:val="center"/>
            <w:hideMark/>
          </w:tcPr>
          <w:p w14:paraId="6353A333"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0.00</w:t>
            </w:r>
          </w:p>
        </w:tc>
        <w:tc>
          <w:tcPr>
            <w:tcW w:w="1027" w:type="dxa"/>
            <w:noWrap/>
            <w:vAlign w:val="center"/>
            <w:hideMark/>
          </w:tcPr>
          <w:p w14:paraId="1AA8BB23"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0.00</w:t>
            </w:r>
          </w:p>
        </w:tc>
        <w:tc>
          <w:tcPr>
            <w:tcW w:w="1027" w:type="dxa"/>
            <w:noWrap/>
            <w:vAlign w:val="center"/>
            <w:hideMark/>
          </w:tcPr>
          <w:p w14:paraId="561FFEDC"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0.37</w:t>
            </w:r>
          </w:p>
        </w:tc>
        <w:tc>
          <w:tcPr>
            <w:tcW w:w="1027" w:type="dxa"/>
            <w:noWrap/>
            <w:vAlign w:val="center"/>
            <w:hideMark/>
          </w:tcPr>
          <w:p w14:paraId="24813343"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0.74</w:t>
            </w:r>
          </w:p>
        </w:tc>
        <w:tc>
          <w:tcPr>
            <w:tcW w:w="1027" w:type="dxa"/>
            <w:noWrap/>
            <w:vAlign w:val="center"/>
            <w:hideMark/>
          </w:tcPr>
          <w:p w14:paraId="0B98560D"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1.12</w:t>
            </w:r>
          </w:p>
        </w:tc>
        <w:tc>
          <w:tcPr>
            <w:tcW w:w="1027" w:type="dxa"/>
            <w:noWrap/>
            <w:vAlign w:val="center"/>
            <w:hideMark/>
          </w:tcPr>
          <w:p w14:paraId="6E29F9DA"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1.49</w:t>
            </w:r>
          </w:p>
        </w:tc>
      </w:tr>
      <w:tr w:rsidR="001F3F40" w:rsidRPr="00F87241" w14:paraId="63D4435A" w14:textId="77777777" w:rsidTr="00175863">
        <w:trPr>
          <w:trHeight w:val="255"/>
        </w:trPr>
        <w:tc>
          <w:tcPr>
            <w:tcW w:w="2852" w:type="dxa"/>
            <w:noWrap/>
            <w:hideMark/>
          </w:tcPr>
          <w:p w14:paraId="00BCEA66" w14:textId="77777777" w:rsidR="001F3F40" w:rsidRPr="00F87241" w:rsidRDefault="001F3F40" w:rsidP="002739C5">
            <w:pPr>
              <w:keepNext/>
              <w:keepLines/>
              <w:spacing w:before="0" w:after="0"/>
              <w:rPr>
                <w:rFonts w:ascii="Arial Narrow" w:hAnsi="Arial Narrow"/>
                <w:color w:val="000000"/>
              </w:rPr>
            </w:pPr>
            <w:r w:rsidRPr="00F87241">
              <w:rPr>
                <w:rFonts w:ascii="Arial Narrow" w:hAnsi="Arial Narrow"/>
                <w:color w:val="000000"/>
              </w:rPr>
              <w:t>Cost of confirmatory diagnostic test (only IO diagnosed)</w:t>
            </w:r>
          </w:p>
        </w:tc>
        <w:tc>
          <w:tcPr>
            <w:tcW w:w="1027" w:type="dxa"/>
            <w:noWrap/>
            <w:vAlign w:val="center"/>
            <w:hideMark/>
          </w:tcPr>
          <w:p w14:paraId="6A78F310"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$2,008</w:t>
            </w:r>
          </w:p>
        </w:tc>
        <w:tc>
          <w:tcPr>
            <w:tcW w:w="1027" w:type="dxa"/>
            <w:noWrap/>
            <w:vAlign w:val="center"/>
            <w:hideMark/>
          </w:tcPr>
          <w:p w14:paraId="3D11ACDE"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$2,009</w:t>
            </w:r>
          </w:p>
        </w:tc>
        <w:tc>
          <w:tcPr>
            <w:tcW w:w="1027" w:type="dxa"/>
            <w:noWrap/>
            <w:vAlign w:val="center"/>
            <w:hideMark/>
          </w:tcPr>
          <w:p w14:paraId="6A218FD8"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$2,010</w:t>
            </w:r>
          </w:p>
        </w:tc>
        <w:tc>
          <w:tcPr>
            <w:tcW w:w="1027" w:type="dxa"/>
            <w:noWrap/>
            <w:vAlign w:val="center"/>
            <w:hideMark/>
          </w:tcPr>
          <w:p w14:paraId="24985173"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$2,011</w:t>
            </w:r>
          </w:p>
        </w:tc>
        <w:tc>
          <w:tcPr>
            <w:tcW w:w="1027" w:type="dxa"/>
            <w:noWrap/>
            <w:vAlign w:val="center"/>
            <w:hideMark/>
          </w:tcPr>
          <w:p w14:paraId="0279658C"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$2,012</w:t>
            </w:r>
          </w:p>
        </w:tc>
        <w:tc>
          <w:tcPr>
            <w:tcW w:w="1027" w:type="dxa"/>
            <w:noWrap/>
            <w:vAlign w:val="center"/>
            <w:hideMark/>
          </w:tcPr>
          <w:p w14:paraId="06396B41"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$2,013</w:t>
            </w:r>
          </w:p>
        </w:tc>
      </w:tr>
      <w:tr w:rsidR="001F3F40" w:rsidRPr="00F87241" w14:paraId="70566A58" w14:textId="77777777" w:rsidTr="00175863">
        <w:trPr>
          <w:trHeight w:val="255"/>
        </w:trPr>
        <w:tc>
          <w:tcPr>
            <w:tcW w:w="2852" w:type="dxa"/>
            <w:noWrap/>
            <w:hideMark/>
          </w:tcPr>
          <w:p w14:paraId="6128C101" w14:textId="5ACFF144" w:rsidR="001F3F40" w:rsidRPr="00F87241" w:rsidRDefault="001F3F40" w:rsidP="002739C5">
            <w:pPr>
              <w:keepNext/>
              <w:keepLines/>
              <w:spacing w:before="0" w:after="0"/>
              <w:rPr>
                <w:rFonts w:ascii="Arial Narrow" w:hAnsi="Arial Narrow"/>
                <w:color w:val="000000"/>
              </w:rPr>
            </w:pPr>
            <w:r w:rsidRPr="00F87241">
              <w:rPr>
                <w:rFonts w:ascii="Arial Narrow" w:hAnsi="Arial Narrow"/>
                <w:color w:val="000000"/>
              </w:rPr>
              <w:t xml:space="preserve">Cost of diagnostic </w:t>
            </w:r>
            <w:r w:rsidR="00F858A6">
              <w:rPr>
                <w:rFonts w:ascii="Arial Narrow" w:hAnsi="Arial Narrow"/>
                <w:color w:val="000000"/>
              </w:rPr>
              <w:t>delay</w:t>
            </w:r>
          </w:p>
        </w:tc>
        <w:tc>
          <w:tcPr>
            <w:tcW w:w="1027" w:type="dxa"/>
            <w:noWrap/>
            <w:vAlign w:val="center"/>
            <w:hideMark/>
          </w:tcPr>
          <w:p w14:paraId="738134CD"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$3,537</w:t>
            </w:r>
          </w:p>
        </w:tc>
        <w:tc>
          <w:tcPr>
            <w:tcW w:w="1027" w:type="dxa"/>
            <w:noWrap/>
            <w:vAlign w:val="center"/>
            <w:hideMark/>
          </w:tcPr>
          <w:p w14:paraId="3ED39CD3"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$3,538</w:t>
            </w:r>
          </w:p>
        </w:tc>
        <w:tc>
          <w:tcPr>
            <w:tcW w:w="1027" w:type="dxa"/>
            <w:noWrap/>
            <w:vAlign w:val="center"/>
            <w:hideMark/>
          </w:tcPr>
          <w:p w14:paraId="57342A56"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$4,854</w:t>
            </w:r>
          </w:p>
        </w:tc>
        <w:tc>
          <w:tcPr>
            <w:tcW w:w="1027" w:type="dxa"/>
            <w:noWrap/>
            <w:vAlign w:val="center"/>
            <w:hideMark/>
          </w:tcPr>
          <w:p w14:paraId="0748FD5D"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$6,171</w:t>
            </w:r>
          </w:p>
        </w:tc>
        <w:tc>
          <w:tcPr>
            <w:tcW w:w="1027" w:type="dxa"/>
            <w:noWrap/>
            <w:vAlign w:val="center"/>
            <w:hideMark/>
          </w:tcPr>
          <w:p w14:paraId="162C7D47"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$7,488</w:t>
            </w:r>
          </w:p>
        </w:tc>
        <w:tc>
          <w:tcPr>
            <w:tcW w:w="1027" w:type="dxa"/>
            <w:noWrap/>
            <w:vAlign w:val="center"/>
            <w:hideMark/>
          </w:tcPr>
          <w:p w14:paraId="43CED1E0"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$8,806</w:t>
            </w:r>
          </w:p>
        </w:tc>
      </w:tr>
      <w:tr w:rsidR="001F3F40" w:rsidRPr="00F87241" w14:paraId="57F890D3" w14:textId="77777777" w:rsidTr="00175863">
        <w:trPr>
          <w:trHeight w:val="255"/>
        </w:trPr>
        <w:tc>
          <w:tcPr>
            <w:tcW w:w="2852" w:type="dxa"/>
            <w:noWrap/>
            <w:hideMark/>
          </w:tcPr>
          <w:p w14:paraId="3E3AA85B" w14:textId="7667A2EE" w:rsidR="001F3F40" w:rsidRPr="00F87241" w:rsidRDefault="00921A70" w:rsidP="002739C5">
            <w:pPr>
              <w:keepNext/>
              <w:keepLines/>
              <w:spacing w:before="0" w:after="0"/>
              <w:rPr>
                <w:rFonts w:ascii="Arial Narrow" w:hAnsi="Arial Narrow"/>
                <w:color w:val="000000"/>
              </w:rPr>
            </w:pPr>
            <w:r>
              <w:rPr>
                <w:rFonts w:ascii="Arial Narrow" w:hAnsi="Arial Narrow"/>
                <w:color w:val="000000"/>
              </w:rPr>
              <w:t>Segregation</w:t>
            </w:r>
            <w:r w:rsidRPr="00F87241">
              <w:rPr>
                <w:rFonts w:ascii="Arial Narrow" w:hAnsi="Arial Narrow"/>
                <w:color w:val="000000"/>
              </w:rPr>
              <w:t xml:space="preserve"> </w:t>
            </w:r>
            <w:r w:rsidR="001F3F40" w:rsidRPr="00F87241">
              <w:rPr>
                <w:rFonts w:ascii="Arial Narrow" w:hAnsi="Arial Narrow"/>
                <w:color w:val="000000"/>
              </w:rPr>
              <w:t>tests in parents (one couple per affected case)</w:t>
            </w:r>
          </w:p>
        </w:tc>
        <w:tc>
          <w:tcPr>
            <w:tcW w:w="1027" w:type="dxa"/>
            <w:noWrap/>
            <w:vAlign w:val="center"/>
            <w:hideMark/>
          </w:tcPr>
          <w:p w14:paraId="6B598498"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$390</w:t>
            </w:r>
          </w:p>
        </w:tc>
        <w:tc>
          <w:tcPr>
            <w:tcW w:w="1027" w:type="dxa"/>
            <w:noWrap/>
            <w:vAlign w:val="center"/>
            <w:hideMark/>
          </w:tcPr>
          <w:p w14:paraId="6440BDBE"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$390</w:t>
            </w:r>
          </w:p>
        </w:tc>
        <w:tc>
          <w:tcPr>
            <w:tcW w:w="1027" w:type="dxa"/>
            <w:noWrap/>
            <w:vAlign w:val="center"/>
            <w:hideMark/>
          </w:tcPr>
          <w:p w14:paraId="22BC0C0D"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$390</w:t>
            </w:r>
          </w:p>
        </w:tc>
        <w:tc>
          <w:tcPr>
            <w:tcW w:w="1027" w:type="dxa"/>
            <w:noWrap/>
            <w:vAlign w:val="center"/>
            <w:hideMark/>
          </w:tcPr>
          <w:p w14:paraId="23270306"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$390</w:t>
            </w:r>
          </w:p>
        </w:tc>
        <w:tc>
          <w:tcPr>
            <w:tcW w:w="1027" w:type="dxa"/>
            <w:noWrap/>
            <w:vAlign w:val="center"/>
            <w:hideMark/>
          </w:tcPr>
          <w:p w14:paraId="2AABCEC7"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$390</w:t>
            </w:r>
          </w:p>
        </w:tc>
        <w:tc>
          <w:tcPr>
            <w:tcW w:w="1027" w:type="dxa"/>
            <w:noWrap/>
            <w:vAlign w:val="center"/>
            <w:hideMark/>
          </w:tcPr>
          <w:p w14:paraId="1C287AB7"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$391</w:t>
            </w:r>
          </w:p>
        </w:tc>
      </w:tr>
      <w:tr w:rsidR="001F3F40" w:rsidRPr="00F87241" w14:paraId="28863F1F" w14:textId="77777777" w:rsidTr="00175863">
        <w:trPr>
          <w:trHeight w:val="255"/>
        </w:trPr>
        <w:tc>
          <w:tcPr>
            <w:tcW w:w="2852" w:type="dxa"/>
            <w:noWrap/>
            <w:hideMark/>
          </w:tcPr>
          <w:p w14:paraId="75D8E064" w14:textId="77777777" w:rsidR="001F3F40" w:rsidRPr="00F87241" w:rsidRDefault="001F3F40" w:rsidP="002739C5">
            <w:pPr>
              <w:keepNext/>
              <w:keepLines/>
              <w:spacing w:before="0" w:after="0"/>
              <w:rPr>
                <w:rFonts w:ascii="Arial Narrow" w:hAnsi="Arial Narrow"/>
                <w:color w:val="000000"/>
              </w:rPr>
            </w:pPr>
            <w:r w:rsidRPr="00F87241">
              <w:rPr>
                <w:rFonts w:ascii="Arial Narrow" w:hAnsi="Arial Narrow"/>
                <w:color w:val="000000"/>
              </w:rPr>
              <w:t>Cascade tests in siblings (one siblings per affected case)</w:t>
            </w:r>
          </w:p>
        </w:tc>
        <w:tc>
          <w:tcPr>
            <w:tcW w:w="1027" w:type="dxa"/>
            <w:noWrap/>
            <w:vAlign w:val="center"/>
            <w:hideMark/>
          </w:tcPr>
          <w:p w14:paraId="1C255231"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$416</w:t>
            </w:r>
          </w:p>
        </w:tc>
        <w:tc>
          <w:tcPr>
            <w:tcW w:w="1027" w:type="dxa"/>
            <w:noWrap/>
            <w:vAlign w:val="center"/>
            <w:hideMark/>
          </w:tcPr>
          <w:p w14:paraId="5ECEF100"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$416</w:t>
            </w:r>
          </w:p>
        </w:tc>
        <w:tc>
          <w:tcPr>
            <w:tcW w:w="1027" w:type="dxa"/>
            <w:noWrap/>
            <w:vAlign w:val="center"/>
            <w:hideMark/>
          </w:tcPr>
          <w:p w14:paraId="4400669D"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$416</w:t>
            </w:r>
          </w:p>
        </w:tc>
        <w:tc>
          <w:tcPr>
            <w:tcW w:w="1027" w:type="dxa"/>
            <w:noWrap/>
            <w:vAlign w:val="center"/>
            <w:hideMark/>
          </w:tcPr>
          <w:p w14:paraId="5E6D782A"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$417</w:t>
            </w:r>
          </w:p>
        </w:tc>
        <w:tc>
          <w:tcPr>
            <w:tcW w:w="1027" w:type="dxa"/>
            <w:noWrap/>
            <w:vAlign w:val="center"/>
            <w:hideMark/>
          </w:tcPr>
          <w:p w14:paraId="28A7C903"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$417</w:t>
            </w:r>
          </w:p>
        </w:tc>
        <w:tc>
          <w:tcPr>
            <w:tcW w:w="1027" w:type="dxa"/>
            <w:noWrap/>
            <w:vAlign w:val="center"/>
            <w:hideMark/>
          </w:tcPr>
          <w:p w14:paraId="47D74531" w14:textId="77777777" w:rsidR="001F3F40" w:rsidRPr="00F87241" w:rsidRDefault="001F3F40" w:rsidP="002739C5">
            <w:pPr>
              <w:keepNext/>
              <w:keepLines/>
              <w:spacing w:before="0" w:after="0"/>
              <w:jc w:val="right"/>
              <w:rPr>
                <w:rFonts w:ascii="Arial Narrow" w:hAnsi="Arial Narrow"/>
                <w:color w:val="000000"/>
              </w:rPr>
            </w:pPr>
            <w:r>
              <w:rPr>
                <w:rFonts w:ascii="Arial Narrow" w:hAnsi="Arial Narrow"/>
                <w:color w:val="000000"/>
              </w:rPr>
              <w:t>$417</w:t>
            </w:r>
          </w:p>
        </w:tc>
      </w:tr>
      <w:tr w:rsidR="001F3F40" w:rsidRPr="00123C4A" w14:paraId="474BB470" w14:textId="77777777" w:rsidTr="00175863">
        <w:trPr>
          <w:trHeight w:val="255"/>
        </w:trPr>
        <w:tc>
          <w:tcPr>
            <w:tcW w:w="2852" w:type="dxa"/>
            <w:noWrap/>
            <w:hideMark/>
          </w:tcPr>
          <w:p w14:paraId="41304554" w14:textId="77777777" w:rsidR="001F3F40" w:rsidRPr="00F87241" w:rsidRDefault="001F3F40" w:rsidP="002739C5">
            <w:pPr>
              <w:keepNext/>
              <w:keepLines/>
              <w:spacing w:before="0" w:after="0"/>
              <w:rPr>
                <w:rFonts w:ascii="Arial Narrow" w:hAnsi="Arial Narrow"/>
                <w:b/>
                <w:bCs/>
                <w:color w:val="000000"/>
              </w:rPr>
            </w:pPr>
            <w:r>
              <w:rPr>
                <w:rFonts w:ascii="Arial Narrow" w:hAnsi="Arial Narrow"/>
                <w:b/>
                <w:bCs/>
                <w:color w:val="000000"/>
              </w:rPr>
              <w:t>Total</w:t>
            </w:r>
            <w:r w:rsidRPr="00F87241">
              <w:rPr>
                <w:rFonts w:ascii="Arial Narrow" w:hAnsi="Arial Narrow"/>
                <w:b/>
                <w:bCs/>
                <w:color w:val="000000"/>
              </w:rPr>
              <w:t xml:space="preserve"> cost </w:t>
            </w:r>
            <w:r>
              <w:rPr>
                <w:rFonts w:ascii="Arial Narrow" w:hAnsi="Arial Narrow"/>
                <w:b/>
                <w:bCs/>
                <w:color w:val="000000"/>
              </w:rPr>
              <w:t xml:space="preserve">offset </w:t>
            </w:r>
            <w:r w:rsidRPr="00F87241">
              <w:rPr>
                <w:rFonts w:ascii="Arial Narrow" w:hAnsi="Arial Narrow"/>
                <w:b/>
                <w:bCs/>
                <w:color w:val="000000"/>
              </w:rPr>
              <w:t xml:space="preserve">to </w:t>
            </w:r>
            <w:r>
              <w:rPr>
                <w:rFonts w:ascii="Arial Narrow" w:hAnsi="Arial Narrow"/>
                <w:b/>
                <w:bCs/>
                <w:color w:val="000000"/>
              </w:rPr>
              <w:t>MBS</w:t>
            </w:r>
          </w:p>
        </w:tc>
        <w:tc>
          <w:tcPr>
            <w:tcW w:w="1027" w:type="dxa"/>
            <w:noWrap/>
            <w:vAlign w:val="center"/>
            <w:hideMark/>
          </w:tcPr>
          <w:p w14:paraId="73E082C7" w14:textId="77777777" w:rsidR="001F3F40" w:rsidRPr="00F87241" w:rsidRDefault="001F3F40" w:rsidP="002739C5">
            <w:pPr>
              <w:keepNext/>
              <w:keepLines/>
              <w:spacing w:before="0" w:after="0"/>
              <w:jc w:val="right"/>
              <w:rPr>
                <w:rFonts w:ascii="Arial Narrow" w:hAnsi="Arial Narrow"/>
                <w:b/>
                <w:bCs/>
                <w:color w:val="000000"/>
              </w:rPr>
            </w:pPr>
            <w:r>
              <w:rPr>
                <w:rFonts w:ascii="Arial Narrow" w:hAnsi="Arial Narrow"/>
                <w:color w:val="000000"/>
              </w:rPr>
              <w:t>$6,350</w:t>
            </w:r>
          </w:p>
        </w:tc>
        <w:tc>
          <w:tcPr>
            <w:tcW w:w="1027" w:type="dxa"/>
            <w:noWrap/>
            <w:vAlign w:val="center"/>
            <w:hideMark/>
          </w:tcPr>
          <w:p w14:paraId="0705EF47" w14:textId="77777777" w:rsidR="001F3F40" w:rsidRPr="00F87241" w:rsidRDefault="001F3F40" w:rsidP="002739C5">
            <w:pPr>
              <w:keepNext/>
              <w:keepLines/>
              <w:spacing w:before="0" w:after="0"/>
              <w:jc w:val="right"/>
              <w:rPr>
                <w:rFonts w:ascii="Arial Narrow" w:hAnsi="Arial Narrow"/>
                <w:b/>
                <w:bCs/>
                <w:color w:val="000000"/>
              </w:rPr>
            </w:pPr>
            <w:r>
              <w:rPr>
                <w:rFonts w:ascii="Arial Narrow" w:hAnsi="Arial Narrow"/>
                <w:color w:val="000000"/>
              </w:rPr>
              <w:t>$6,353</w:t>
            </w:r>
          </w:p>
        </w:tc>
        <w:tc>
          <w:tcPr>
            <w:tcW w:w="1027" w:type="dxa"/>
            <w:noWrap/>
            <w:vAlign w:val="center"/>
            <w:hideMark/>
          </w:tcPr>
          <w:p w14:paraId="09B92853" w14:textId="77777777" w:rsidR="001F3F40" w:rsidRPr="00F87241" w:rsidRDefault="001F3F40" w:rsidP="002739C5">
            <w:pPr>
              <w:keepNext/>
              <w:keepLines/>
              <w:spacing w:before="0" w:after="0"/>
              <w:jc w:val="right"/>
              <w:rPr>
                <w:rFonts w:ascii="Arial Narrow" w:hAnsi="Arial Narrow"/>
                <w:b/>
                <w:bCs/>
                <w:color w:val="000000"/>
              </w:rPr>
            </w:pPr>
            <w:r>
              <w:rPr>
                <w:rFonts w:ascii="Arial Narrow" w:hAnsi="Arial Narrow"/>
                <w:color w:val="000000"/>
              </w:rPr>
              <w:t>$7,671</w:t>
            </w:r>
          </w:p>
        </w:tc>
        <w:tc>
          <w:tcPr>
            <w:tcW w:w="1027" w:type="dxa"/>
            <w:noWrap/>
            <w:vAlign w:val="center"/>
            <w:hideMark/>
          </w:tcPr>
          <w:p w14:paraId="1F4CAE1A" w14:textId="77777777" w:rsidR="001F3F40" w:rsidRPr="00F87241" w:rsidRDefault="001F3F40" w:rsidP="002739C5">
            <w:pPr>
              <w:keepNext/>
              <w:keepLines/>
              <w:spacing w:before="0" w:after="0"/>
              <w:jc w:val="right"/>
              <w:rPr>
                <w:rFonts w:ascii="Arial Narrow" w:hAnsi="Arial Narrow"/>
                <w:b/>
                <w:bCs/>
                <w:color w:val="000000"/>
              </w:rPr>
            </w:pPr>
            <w:r>
              <w:rPr>
                <w:rFonts w:ascii="Arial Narrow" w:hAnsi="Arial Narrow"/>
                <w:color w:val="000000"/>
              </w:rPr>
              <w:t>$8,989</w:t>
            </w:r>
          </w:p>
        </w:tc>
        <w:tc>
          <w:tcPr>
            <w:tcW w:w="1027" w:type="dxa"/>
            <w:noWrap/>
            <w:vAlign w:val="center"/>
            <w:hideMark/>
          </w:tcPr>
          <w:p w14:paraId="5BBFECE4" w14:textId="77777777" w:rsidR="001F3F40" w:rsidRPr="00F87241" w:rsidRDefault="001F3F40" w:rsidP="002739C5">
            <w:pPr>
              <w:keepNext/>
              <w:keepLines/>
              <w:spacing w:before="0" w:after="0"/>
              <w:jc w:val="right"/>
              <w:rPr>
                <w:rFonts w:ascii="Arial Narrow" w:hAnsi="Arial Narrow"/>
                <w:b/>
                <w:bCs/>
                <w:color w:val="000000"/>
              </w:rPr>
            </w:pPr>
            <w:r>
              <w:rPr>
                <w:rFonts w:ascii="Arial Narrow" w:hAnsi="Arial Narrow"/>
                <w:color w:val="000000"/>
              </w:rPr>
              <w:t>$10,307</w:t>
            </w:r>
          </w:p>
        </w:tc>
        <w:tc>
          <w:tcPr>
            <w:tcW w:w="1027" w:type="dxa"/>
            <w:noWrap/>
            <w:vAlign w:val="center"/>
            <w:hideMark/>
          </w:tcPr>
          <w:p w14:paraId="6CEFD1AC" w14:textId="77777777" w:rsidR="001F3F40" w:rsidRPr="00F87241" w:rsidRDefault="001F3F40" w:rsidP="002739C5">
            <w:pPr>
              <w:keepNext/>
              <w:keepLines/>
              <w:spacing w:before="0" w:after="0"/>
              <w:jc w:val="right"/>
              <w:rPr>
                <w:rFonts w:ascii="Arial Narrow" w:hAnsi="Arial Narrow"/>
                <w:b/>
                <w:bCs/>
                <w:color w:val="000000"/>
              </w:rPr>
            </w:pPr>
            <w:r>
              <w:rPr>
                <w:rFonts w:ascii="Arial Narrow" w:hAnsi="Arial Narrow"/>
                <w:color w:val="000000"/>
              </w:rPr>
              <w:t>$11,627</w:t>
            </w:r>
          </w:p>
        </w:tc>
      </w:tr>
      <w:tr w:rsidR="001F3F40" w:rsidRPr="00F87241" w14:paraId="1FA81B44" w14:textId="77777777" w:rsidTr="00175863">
        <w:trPr>
          <w:trHeight w:val="255"/>
        </w:trPr>
        <w:tc>
          <w:tcPr>
            <w:tcW w:w="2852" w:type="dxa"/>
            <w:noWrap/>
            <w:hideMark/>
          </w:tcPr>
          <w:p w14:paraId="3E55F764" w14:textId="77777777" w:rsidR="001F3F40" w:rsidRPr="00F87241" w:rsidRDefault="001F3F40" w:rsidP="002739C5">
            <w:pPr>
              <w:keepNext/>
              <w:keepLines/>
              <w:spacing w:before="0" w:after="0"/>
              <w:rPr>
                <w:rFonts w:ascii="Arial Narrow" w:hAnsi="Arial Narrow"/>
                <w:b/>
                <w:bCs/>
                <w:color w:val="000000"/>
              </w:rPr>
            </w:pPr>
            <w:r w:rsidRPr="00F87241">
              <w:rPr>
                <w:rFonts w:ascii="Arial Narrow" w:hAnsi="Arial Narrow"/>
                <w:b/>
                <w:bCs/>
                <w:color w:val="000000"/>
              </w:rPr>
              <w:t xml:space="preserve">Net costs to </w:t>
            </w:r>
            <w:r>
              <w:rPr>
                <w:rFonts w:ascii="Arial Narrow" w:hAnsi="Arial Narrow"/>
                <w:b/>
                <w:bCs/>
                <w:color w:val="000000"/>
              </w:rPr>
              <w:t>MBS</w:t>
            </w:r>
          </w:p>
        </w:tc>
        <w:tc>
          <w:tcPr>
            <w:tcW w:w="1027" w:type="dxa"/>
            <w:noWrap/>
            <w:vAlign w:val="bottom"/>
            <w:hideMark/>
          </w:tcPr>
          <w:p w14:paraId="030094D8" w14:textId="1240C958" w:rsidR="001F3F40" w:rsidRPr="00F87241" w:rsidRDefault="001F3F40" w:rsidP="002739C5">
            <w:pPr>
              <w:keepNext/>
              <w:keepLines/>
              <w:spacing w:before="0" w:after="0"/>
              <w:jc w:val="right"/>
              <w:rPr>
                <w:rFonts w:ascii="Arial Narrow" w:hAnsi="Arial Narrow"/>
                <w:b/>
                <w:bCs/>
                <w:color w:val="000000"/>
              </w:rPr>
            </w:pPr>
            <w:r>
              <w:rPr>
                <w:rFonts w:ascii="Arial Narrow" w:hAnsi="Arial Narrow"/>
                <w:b/>
                <w:bCs/>
                <w:color w:val="000000"/>
              </w:rPr>
              <w:t>$27,980</w:t>
            </w:r>
          </w:p>
        </w:tc>
        <w:tc>
          <w:tcPr>
            <w:tcW w:w="1027" w:type="dxa"/>
            <w:noWrap/>
            <w:vAlign w:val="bottom"/>
            <w:hideMark/>
          </w:tcPr>
          <w:p w14:paraId="485AC9F5" w14:textId="5A78E9F1" w:rsidR="001F3F40" w:rsidRPr="00F87241" w:rsidRDefault="001F3F40" w:rsidP="002739C5">
            <w:pPr>
              <w:keepNext/>
              <w:keepLines/>
              <w:spacing w:before="0" w:after="0"/>
              <w:jc w:val="right"/>
              <w:rPr>
                <w:rFonts w:ascii="Arial Narrow" w:hAnsi="Arial Narrow"/>
                <w:b/>
                <w:bCs/>
                <w:color w:val="000000"/>
              </w:rPr>
            </w:pPr>
            <w:r>
              <w:rPr>
                <w:rFonts w:ascii="Arial Narrow" w:hAnsi="Arial Narrow"/>
                <w:b/>
                <w:bCs/>
                <w:color w:val="000000"/>
              </w:rPr>
              <w:t>$27,977</w:t>
            </w:r>
          </w:p>
        </w:tc>
        <w:tc>
          <w:tcPr>
            <w:tcW w:w="1027" w:type="dxa"/>
            <w:noWrap/>
            <w:vAlign w:val="bottom"/>
            <w:hideMark/>
          </w:tcPr>
          <w:p w14:paraId="5E028B47" w14:textId="6BB3AC7F" w:rsidR="001F3F40" w:rsidRPr="00F87241" w:rsidRDefault="001F3F40" w:rsidP="002739C5">
            <w:pPr>
              <w:keepNext/>
              <w:keepLines/>
              <w:spacing w:before="0" w:after="0"/>
              <w:jc w:val="right"/>
              <w:rPr>
                <w:rFonts w:ascii="Arial Narrow" w:hAnsi="Arial Narrow"/>
                <w:b/>
                <w:bCs/>
                <w:color w:val="000000"/>
              </w:rPr>
            </w:pPr>
            <w:r>
              <w:rPr>
                <w:rFonts w:ascii="Arial Narrow" w:hAnsi="Arial Narrow"/>
                <w:b/>
                <w:bCs/>
                <w:color w:val="000000"/>
              </w:rPr>
              <w:t>$32,192</w:t>
            </w:r>
          </w:p>
        </w:tc>
        <w:tc>
          <w:tcPr>
            <w:tcW w:w="1027" w:type="dxa"/>
            <w:noWrap/>
            <w:vAlign w:val="bottom"/>
            <w:hideMark/>
          </w:tcPr>
          <w:p w14:paraId="22A61A61" w14:textId="66ED7E31" w:rsidR="001F3F40" w:rsidRPr="00F87241" w:rsidRDefault="001F3F40" w:rsidP="002739C5">
            <w:pPr>
              <w:keepNext/>
              <w:keepLines/>
              <w:spacing w:before="0" w:after="0"/>
              <w:jc w:val="right"/>
              <w:rPr>
                <w:rFonts w:ascii="Arial Narrow" w:hAnsi="Arial Narrow"/>
                <w:b/>
                <w:bCs/>
                <w:color w:val="000000"/>
              </w:rPr>
            </w:pPr>
            <w:r>
              <w:rPr>
                <w:rFonts w:ascii="Arial Narrow" w:hAnsi="Arial Narrow"/>
                <w:b/>
                <w:bCs/>
                <w:color w:val="000000"/>
              </w:rPr>
              <w:t>$36,406</w:t>
            </w:r>
          </w:p>
        </w:tc>
        <w:tc>
          <w:tcPr>
            <w:tcW w:w="1027" w:type="dxa"/>
            <w:noWrap/>
            <w:vAlign w:val="bottom"/>
            <w:hideMark/>
          </w:tcPr>
          <w:p w14:paraId="594ED12E" w14:textId="400F19F5" w:rsidR="001F3F40" w:rsidRPr="00F87241" w:rsidRDefault="001F3F40" w:rsidP="002739C5">
            <w:pPr>
              <w:keepNext/>
              <w:keepLines/>
              <w:spacing w:before="0" w:after="0"/>
              <w:jc w:val="right"/>
              <w:rPr>
                <w:rFonts w:ascii="Arial Narrow" w:hAnsi="Arial Narrow"/>
                <w:b/>
                <w:bCs/>
                <w:color w:val="000000"/>
              </w:rPr>
            </w:pPr>
            <w:r>
              <w:rPr>
                <w:rFonts w:ascii="Arial Narrow" w:hAnsi="Arial Narrow"/>
                <w:b/>
                <w:bCs/>
                <w:color w:val="000000"/>
              </w:rPr>
              <w:t>$40,619</w:t>
            </w:r>
          </w:p>
        </w:tc>
        <w:tc>
          <w:tcPr>
            <w:tcW w:w="1027" w:type="dxa"/>
            <w:noWrap/>
            <w:vAlign w:val="bottom"/>
            <w:hideMark/>
          </w:tcPr>
          <w:p w14:paraId="3FBBB8AA" w14:textId="1E63A505" w:rsidR="001F3F40" w:rsidRPr="00F87241" w:rsidRDefault="001F3F40" w:rsidP="002739C5">
            <w:pPr>
              <w:keepNext/>
              <w:keepLines/>
              <w:spacing w:before="0" w:after="0"/>
              <w:jc w:val="right"/>
              <w:rPr>
                <w:rFonts w:ascii="Arial Narrow" w:hAnsi="Arial Narrow"/>
                <w:b/>
                <w:bCs/>
                <w:color w:val="000000"/>
              </w:rPr>
            </w:pPr>
            <w:r>
              <w:rPr>
                <w:rFonts w:ascii="Arial Narrow" w:hAnsi="Arial Narrow"/>
                <w:b/>
                <w:bCs/>
                <w:color w:val="000000"/>
              </w:rPr>
              <w:t>$44,832</w:t>
            </w:r>
          </w:p>
        </w:tc>
      </w:tr>
    </w:tbl>
    <w:p w14:paraId="753F90D6" w14:textId="0D4CC8A5" w:rsidR="001F3F40" w:rsidRPr="00D566A0" w:rsidRDefault="001F3F40" w:rsidP="002739C5">
      <w:pPr>
        <w:pStyle w:val="Tablenotes"/>
        <w:keepNext/>
        <w:keepLines/>
      </w:pPr>
      <w:r>
        <w:t>GSD II = glycogen storage disease Type II; IOGSD II = infantile-onset glycogen storage disease Type II; LOGSD II = late-onset glycogen storage disease Type II; MBS = Medicare Benefits Schedule; NBS = newborn bloodspot screening</w:t>
      </w:r>
    </w:p>
    <w:p w14:paraId="22A45163" w14:textId="32C5DD6A" w:rsidR="001F3F40" w:rsidRDefault="001F3F40" w:rsidP="00092CCC">
      <w:pPr>
        <w:spacing w:before="240"/>
      </w:pPr>
      <w:r w:rsidRPr="02E2EE7D">
        <w:t xml:space="preserve">Earlier diagnosis of GSD II cases through NBS may result in earlier access to ERT. For IOGSD II it is expected there will be additional 4.6 months of treatment in the first year of birth. Although ERT costs may be higher in later years due to improved survival with early access to ERT, these are not accounted for in the financial model. For LOGSD II, around </w:t>
      </w:r>
      <w:r w:rsidR="00E025B8" w:rsidRPr="00E025B8">
        <w:rPr>
          <w:b/>
          <w:bCs/>
        </w:rPr>
        <w:t>REDACTED</w:t>
      </w:r>
      <w:r w:rsidRPr="02E2EE7D">
        <w:t xml:space="preserve">% of the cases present with symptoms by age </w:t>
      </w:r>
      <w:r w:rsidR="00F51C28" w:rsidRPr="02E2EE7D">
        <w:t>1</w:t>
      </w:r>
      <w:r w:rsidRPr="02E2EE7D">
        <w:t xml:space="preserve">2 years and will be eligible for ERT. These cases are assumed to start ERT (additional years of ERT treatment in NBS compared to diagnosis on symptom presentation). </w:t>
      </w:r>
      <w:r>
        <w:fldChar w:fldCharType="begin"/>
      </w:r>
      <w:r>
        <w:instrText xml:space="preserve"> REF _Ref181820023 \h </w:instrText>
      </w:r>
      <w:r>
        <w:fldChar w:fldCharType="end"/>
      </w:r>
      <w:r w:rsidRPr="02E2EE7D">
        <w:t xml:space="preserve"> </w:t>
      </w:r>
      <w:r w:rsidR="002C6097">
        <w:t xml:space="preserve">Table 17 </w:t>
      </w:r>
      <w:r w:rsidRPr="02E2EE7D">
        <w:t>presents the estimated cost implications to LSDP budgets due to NBS for GSD II</w:t>
      </w:r>
      <w:r w:rsidR="00BB5018" w:rsidRPr="02E2EE7D">
        <w:t>.</w:t>
      </w:r>
    </w:p>
    <w:p w14:paraId="14D30F52" w14:textId="19B0CA31" w:rsidR="001F3F40" w:rsidRDefault="001F3F40" w:rsidP="00092CCC">
      <w:pPr>
        <w:pStyle w:val="Caption"/>
        <w:keepLines/>
      </w:pPr>
      <w:bookmarkStart w:id="65" w:name="_Ref181820023"/>
      <w:r>
        <w:t>Table</w:t>
      </w:r>
      <w:r w:rsidR="00707D22">
        <w:t xml:space="preserve"> 17</w:t>
      </w:r>
      <w:bookmarkEnd w:id="65"/>
      <w:r>
        <w:tab/>
        <w:t>Cost implications to LSDP budgets due to NBS for GSD II</w:t>
      </w:r>
    </w:p>
    <w:tbl>
      <w:tblPr>
        <w:tblStyle w:val="TableGrid11"/>
        <w:tblW w:w="9018" w:type="dxa"/>
        <w:tblLayout w:type="fixed"/>
        <w:tblLook w:val="04A0" w:firstRow="1" w:lastRow="0" w:firstColumn="1" w:lastColumn="0" w:noHBand="0" w:noVBand="1"/>
      </w:tblPr>
      <w:tblGrid>
        <w:gridCol w:w="2263"/>
        <w:gridCol w:w="1134"/>
        <w:gridCol w:w="1134"/>
        <w:gridCol w:w="1134"/>
        <w:gridCol w:w="1134"/>
        <w:gridCol w:w="1134"/>
        <w:gridCol w:w="1085"/>
      </w:tblGrid>
      <w:tr w:rsidR="00E4153F" w:rsidRPr="00F87241" w14:paraId="43D06147" w14:textId="77777777" w:rsidTr="007229D6">
        <w:trPr>
          <w:cnfStyle w:val="100000000000" w:firstRow="1" w:lastRow="0" w:firstColumn="0" w:lastColumn="0" w:oddVBand="0" w:evenVBand="0" w:oddHBand="0" w:evenHBand="0" w:firstRowFirstColumn="0" w:firstRowLastColumn="0" w:lastRowFirstColumn="0" w:lastRowLastColumn="0"/>
          <w:trHeight w:val="255"/>
          <w:tblHeader/>
        </w:trPr>
        <w:tc>
          <w:tcPr>
            <w:tcW w:w="2263" w:type="dxa"/>
            <w:tcBorders>
              <w:bottom w:val="single" w:sz="4" w:space="0" w:color="auto"/>
            </w:tcBorders>
            <w:noWrap/>
            <w:hideMark/>
          </w:tcPr>
          <w:p w14:paraId="7FFF73C8" w14:textId="77777777" w:rsidR="001F3F40" w:rsidRPr="00F87241" w:rsidRDefault="001F3F40" w:rsidP="00092CCC">
            <w:pPr>
              <w:keepNext/>
              <w:keepLines/>
              <w:spacing w:before="0" w:after="0"/>
              <w:rPr>
                <w:rFonts w:ascii="Arial Narrow" w:hAnsi="Arial Narrow"/>
                <w:color w:val="000000"/>
              </w:rPr>
            </w:pPr>
            <w:r w:rsidRPr="00F87241">
              <w:rPr>
                <w:rFonts w:ascii="Arial Narrow" w:hAnsi="Arial Narrow"/>
                <w:color w:val="000000"/>
              </w:rPr>
              <w:t> </w:t>
            </w:r>
          </w:p>
        </w:tc>
        <w:tc>
          <w:tcPr>
            <w:tcW w:w="1134" w:type="dxa"/>
            <w:tcBorders>
              <w:bottom w:val="single" w:sz="4" w:space="0" w:color="auto"/>
            </w:tcBorders>
            <w:noWrap/>
            <w:hideMark/>
          </w:tcPr>
          <w:p w14:paraId="0609CC4D" w14:textId="77777777" w:rsidR="001F3F40" w:rsidRPr="00F87241" w:rsidRDefault="001F3F40" w:rsidP="00092CCC">
            <w:pPr>
              <w:keepNext/>
              <w:keepLines/>
              <w:spacing w:before="0" w:after="0"/>
              <w:jc w:val="center"/>
              <w:rPr>
                <w:rFonts w:ascii="Arial Narrow" w:hAnsi="Arial Narrow"/>
                <w:b/>
                <w:bCs/>
                <w:color w:val="000000"/>
              </w:rPr>
            </w:pPr>
            <w:r w:rsidRPr="00F87241">
              <w:rPr>
                <w:rFonts w:ascii="Arial Narrow" w:hAnsi="Arial Narrow"/>
                <w:b/>
                <w:bCs/>
                <w:color w:val="000000"/>
              </w:rPr>
              <w:t>2025−26</w:t>
            </w:r>
          </w:p>
        </w:tc>
        <w:tc>
          <w:tcPr>
            <w:tcW w:w="1134" w:type="dxa"/>
            <w:tcBorders>
              <w:bottom w:val="single" w:sz="4" w:space="0" w:color="auto"/>
            </w:tcBorders>
            <w:noWrap/>
            <w:hideMark/>
          </w:tcPr>
          <w:p w14:paraId="40EF5733" w14:textId="77777777" w:rsidR="001F3F40" w:rsidRPr="00F87241" w:rsidRDefault="001F3F40" w:rsidP="00092CCC">
            <w:pPr>
              <w:keepNext/>
              <w:keepLines/>
              <w:spacing w:before="0" w:after="0"/>
              <w:jc w:val="center"/>
              <w:rPr>
                <w:rFonts w:ascii="Arial Narrow" w:hAnsi="Arial Narrow"/>
                <w:b/>
                <w:bCs/>
                <w:color w:val="000000"/>
              </w:rPr>
            </w:pPr>
            <w:r w:rsidRPr="00F87241">
              <w:rPr>
                <w:rFonts w:ascii="Arial Narrow" w:hAnsi="Arial Narrow"/>
                <w:b/>
                <w:bCs/>
                <w:color w:val="000000"/>
              </w:rPr>
              <w:t>2026−27</w:t>
            </w:r>
          </w:p>
        </w:tc>
        <w:tc>
          <w:tcPr>
            <w:tcW w:w="1134" w:type="dxa"/>
            <w:tcBorders>
              <w:bottom w:val="single" w:sz="4" w:space="0" w:color="auto"/>
            </w:tcBorders>
            <w:noWrap/>
            <w:hideMark/>
          </w:tcPr>
          <w:p w14:paraId="38F12654" w14:textId="77777777" w:rsidR="001F3F40" w:rsidRPr="00F87241" w:rsidRDefault="001F3F40" w:rsidP="00092CCC">
            <w:pPr>
              <w:keepNext/>
              <w:keepLines/>
              <w:spacing w:before="0" w:after="0"/>
              <w:jc w:val="center"/>
              <w:rPr>
                <w:rFonts w:ascii="Arial Narrow" w:hAnsi="Arial Narrow"/>
                <w:b/>
                <w:bCs/>
                <w:color w:val="000000"/>
              </w:rPr>
            </w:pPr>
            <w:r w:rsidRPr="00F87241">
              <w:rPr>
                <w:rFonts w:ascii="Arial Narrow" w:hAnsi="Arial Narrow"/>
                <w:b/>
                <w:bCs/>
                <w:color w:val="000000"/>
              </w:rPr>
              <w:t>2027−28</w:t>
            </w:r>
          </w:p>
        </w:tc>
        <w:tc>
          <w:tcPr>
            <w:tcW w:w="1134" w:type="dxa"/>
            <w:tcBorders>
              <w:bottom w:val="single" w:sz="4" w:space="0" w:color="auto"/>
            </w:tcBorders>
            <w:noWrap/>
            <w:hideMark/>
          </w:tcPr>
          <w:p w14:paraId="16584673" w14:textId="77777777" w:rsidR="001F3F40" w:rsidRPr="00F87241" w:rsidRDefault="001F3F40" w:rsidP="00092CCC">
            <w:pPr>
              <w:keepNext/>
              <w:keepLines/>
              <w:spacing w:before="0" w:after="0"/>
              <w:jc w:val="center"/>
              <w:rPr>
                <w:rFonts w:ascii="Arial Narrow" w:hAnsi="Arial Narrow"/>
                <w:b/>
                <w:bCs/>
                <w:color w:val="000000"/>
              </w:rPr>
            </w:pPr>
            <w:r w:rsidRPr="00F87241">
              <w:rPr>
                <w:rFonts w:ascii="Arial Narrow" w:hAnsi="Arial Narrow"/>
                <w:b/>
                <w:bCs/>
                <w:color w:val="000000"/>
              </w:rPr>
              <w:t>2028−29</w:t>
            </w:r>
          </w:p>
        </w:tc>
        <w:tc>
          <w:tcPr>
            <w:tcW w:w="1134" w:type="dxa"/>
            <w:tcBorders>
              <w:bottom w:val="single" w:sz="4" w:space="0" w:color="auto"/>
            </w:tcBorders>
            <w:noWrap/>
            <w:hideMark/>
          </w:tcPr>
          <w:p w14:paraId="53936CC3" w14:textId="77777777" w:rsidR="001F3F40" w:rsidRPr="00F87241" w:rsidRDefault="001F3F40" w:rsidP="00092CCC">
            <w:pPr>
              <w:keepNext/>
              <w:keepLines/>
              <w:spacing w:before="0" w:after="0"/>
              <w:jc w:val="center"/>
              <w:rPr>
                <w:rFonts w:ascii="Arial Narrow" w:hAnsi="Arial Narrow"/>
                <w:b/>
                <w:bCs/>
                <w:color w:val="000000"/>
              </w:rPr>
            </w:pPr>
            <w:r w:rsidRPr="00F87241">
              <w:rPr>
                <w:rFonts w:ascii="Arial Narrow" w:hAnsi="Arial Narrow"/>
                <w:b/>
                <w:bCs/>
                <w:color w:val="000000"/>
              </w:rPr>
              <w:t>2029−30</w:t>
            </w:r>
          </w:p>
        </w:tc>
        <w:tc>
          <w:tcPr>
            <w:tcW w:w="1085" w:type="dxa"/>
            <w:tcBorders>
              <w:bottom w:val="single" w:sz="4" w:space="0" w:color="auto"/>
            </w:tcBorders>
            <w:noWrap/>
            <w:hideMark/>
          </w:tcPr>
          <w:p w14:paraId="59C05D83" w14:textId="77777777" w:rsidR="001F3F40" w:rsidRPr="00F87241" w:rsidRDefault="001F3F40" w:rsidP="00092CCC">
            <w:pPr>
              <w:keepNext/>
              <w:keepLines/>
              <w:spacing w:before="0" w:after="0"/>
              <w:jc w:val="center"/>
              <w:rPr>
                <w:rFonts w:ascii="Arial Narrow" w:hAnsi="Arial Narrow"/>
                <w:b/>
                <w:bCs/>
                <w:color w:val="000000"/>
              </w:rPr>
            </w:pPr>
            <w:r w:rsidRPr="00F87241">
              <w:rPr>
                <w:rFonts w:ascii="Arial Narrow" w:hAnsi="Arial Narrow"/>
                <w:b/>
                <w:bCs/>
                <w:color w:val="000000"/>
              </w:rPr>
              <w:t>2030−31</w:t>
            </w:r>
          </w:p>
        </w:tc>
      </w:tr>
      <w:tr w:rsidR="00E4153F" w:rsidRPr="00F70526" w14:paraId="0DB635C5" w14:textId="77777777" w:rsidTr="007229D6">
        <w:trPr>
          <w:trHeight w:val="255"/>
        </w:trPr>
        <w:tc>
          <w:tcPr>
            <w:tcW w:w="2263" w:type="dxa"/>
            <w:tcBorders>
              <w:right w:val="nil"/>
            </w:tcBorders>
            <w:noWrap/>
          </w:tcPr>
          <w:p w14:paraId="2C30AFD8" w14:textId="77777777" w:rsidR="001F3F40" w:rsidRPr="00F70526" w:rsidRDefault="001F3F40" w:rsidP="00092CCC">
            <w:pPr>
              <w:keepNext/>
              <w:keepLines/>
              <w:spacing w:before="0" w:after="0"/>
              <w:rPr>
                <w:rFonts w:ascii="Arial Narrow" w:hAnsi="Arial Narrow"/>
                <w:b/>
                <w:bCs/>
                <w:color w:val="000000"/>
              </w:rPr>
            </w:pPr>
            <w:r w:rsidRPr="00F70526">
              <w:rPr>
                <w:rFonts w:ascii="Arial Narrow" w:hAnsi="Arial Narrow"/>
                <w:b/>
                <w:bCs/>
                <w:color w:val="000000"/>
              </w:rPr>
              <w:t>Universal NBS</w:t>
            </w:r>
          </w:p>
        </w:tc>
        <w:tc>
          <w:tcPr>
            <w:tcW w:w="1134" w:type="dxa"/>
            <w:tcBorders>
              <w:left w:val="nil"/>
              <w:right w:val="nil"/>
            </w:tcBorders>
            <w:noWrap/>
          </w:tcPr>
          <w:p w14:paraId="62D6BD25" w14:textId="77777777" w:rsidR="001F3F40" w:rsidRPr="00F70526" w:rsidRDefault="001F3F40" w:rsidP="00092CCC">
            <w:pPr>
              <w:keepNext/>
              <w:keepLines/>
              <w:spacing w:before="0" w:after="0"/>
              <w:jc w:val="right"/>
              <w:rPr>
                <w:rFonts w:ascii="Arial Narrow" w:hAnsi="Arial Narrow"/>
                <w:b/>
                <w:bCs/>
                <w:color w:val="000000"/>
              </w:rPr>
            </w:pPr>
          </w:p>
        </w:tc>
        <w:tc>
          <w:tcPr>
            <w:tcW w:w="1134" w:type="dxa"/>
            <w:tcBorders>
              <w:left w:val="nil"/>
              <w:right w:val="nil"/>
            </w:tcBorders>
            <w:noWrap/>
          </w:tcPr>
          <w:p w14:paraId="63231FD0" w14:textId="77777777" w:rsidR="001F3F40" w:rsidRPr="00F70526" w:rsidRDefault="001F3F40" w:rsidP="00092CCC">
            <w:pPr>
              <w:keepNext/>
              <w:keepLines/>
              <w:spacing w:before="0" w:after="0"/>
              <w:jc w:val="right"/>
              <w:rPr>
                <w:rFonts w:ascii="Arial Narrow" w:hAnsi="Arial Narrow"/>
                <w:b/>
                <w:bCs/>
                <w:color w:val="000000"/>
              </w:rPr>
            </w:pPr>
          </w:p>
        </w:tc>
        <w:tc>
          <w:tcPr>
            <w:tcW w:w="1134" w:type="dxa"/>
            <w:tcBorders>
              <w:left w:val="nil"/>
              <w:right w:val="nil"/>
            </w:tcBorders>
            <w:noWrap/>
          </w:tcPr>
          <w:p w14:paraId="55885391" w14:textId="77777777" w:rsidR="001F3F40" w:rsidRPr="00F70526" w:rsidRDefault="001F3F40" w:rsidP="00092CCC">
            <w:pPr>
              <w:keepNext/>
              <w:keepLines/>
              <w:spacing w:before="0" w:after="0"/>
              <w:jc w:val="right"/>
              <w:rPr>
                <w:rFonts w:ascii="Arial Narrow" w:hAnsi="Arial Narrow"/>
                <w:b/>
                <w:bCs/>
                <w:color w:val="000000"/>
              </w:rPr>
            </w:pPr>
          </w:p>
        </w:tc>
        <w:tc>
          <w:tcPr>
            <w:tcW w:w="1134" w:type="dxa"/>
            <w:tcBorders>
              <w:left w:val="nil"/>
              <w:right w:val="nil"/>
            </w:tcBorders>
            <w:noWrap/>
          </w:tcPr>
          <w:p w14:paraId="69FAB5D1" w14:textId="77777777" w:rsidR="001F3F40" w:rsidRPr="00F70526" w:rsidRDefault="001F3F40" w:rsidP="00092CCC">
            <w:pPr>
              <w:keepNext/>
              <w:keepLines/>
              <w:spacing w:before="0" w:after="0"/>
              <w:jc w:val="right"/>
              <w:rPr>
                <w:rFonts w:ascii="Arial Narrow" w:hAnsi="Arial Narrow"/>
                <w:b/>
                <w:bCs/>
                <w:color w:val="000000"/>
              </w:rPr>
            </w:pPr>
          </w:p>
        </w:tc>
        <w:tc>
          <w:tcPr>
            <w:tcW w:w="1134" w:type="dxa"/>
            <w:tcBorders>
              <w:left w:val="nil"/>
              <w:right w:val="nil"/>
            </w:tcBorders>
            <w:noWrap/>
          </w:tcPr>
          <w:p w14:paraId="521E1274" w14:textId="77777777" w:rsidR="001F3F40" w:rsidRPr="00F70526" w:rsidRDefault="001F3F40" w:rsidP="00092CCC">
            <w:pPr>
              <w:keepNext/>
              <w:keepLines/>
              <w:spacing w:before="0" w:after="0"/>
              <w:jc w:val="right"/>
              <w:rPr>
                <w:rFonts w:ascii="Arial Narrow" w:hAnsi="Arial Narrow"/>
                <w:b/>
                <w:bCs/>
                <w:color w:val="000000"/>
              </w:rPr>
            </w:pPr>
          </w:p>
        </w:tc>
        <w:tc>
          <w:tcPr>
            <w:tcW w:w="1085" w:type="dxa"/>
            <w:tcBorders>
              <w:left w:val="nil"/>
            </w:tcBorders>
            <w:noWrap/>
          </w:tcPr>
          <w:p w14:paraId="66B6CBD2" w14:textId="77777777" w:rsidR="001F3F40" w:rsidRPr="00F70526" w:rsidRDefault="001F3F40" w:rsidP="00092CCC">
            <w:pPr>
              <w:keepNext/>
              <w:keepLines/>
              <w:spacing w:before="0" w:after="0"/>
              <w:jc w:val="right"/>
              <w:rPr>
                <w:rFonts w:ascii="Arial Narrow" w:hAnsi="Arial Narrow"/>
                <w:b/>
                <w:bCs/>
                <w:color w:val="000000"/>
              </w:rPr>
            </w:pPr>
          </w:p>
        </w:tc>
      </w:tr>
      <w:tr w:rsidR="00E4153F" w:rsidRPr="00F87241" w14:paraId="28EB5551" w14:textId="77777777" w:rsidTr="007229D6">
        <w:trPr>
          <w:trHeight w:val="255"/>
        </w:trPr>
        <w:tc>
          <w:tcPr>
            <w:tcW w:w="2263" w:type="dxa"/>
            <w:noWrap/>
            <w:vAlign w:val="bottom"/>
            <w:hideMark/>
          </w:tcPr>
          <w:p w14:paraId="2239916C" w14:textId="77777777" w:rsidR="001F3F40" w:rsidRPr="00F87241" w:rsidRDefault="001F3F40" w:rsidP="00092CCC">
            <w:pPr>
              <w:keepNext/>
              <w:keepLines/>
              <w:spacing w:before="0" w:after="0"/>
              <w:rPr>
                <w:rFonts w:ascii="Arial Narrow" w:hAnsi="Arial Narrow"/>
                <w:color w:val="000000"/>
              </w:rPr>
            </w:pPr>
            <w:r>
              <w:rPr>
                <w:rFonts w:ascii="Arial Narrow" w:hAnsi="Arial Narrow"/>
                <w:color w:val="000000"/>
              </w:rPr>
              <w:t>Number of GSD II affected cases diagnosed</w:t>
            </w:r>
          </w:p>
        </w:tc>
        <w:tc>
          <w:tcPr>
            <w:tcW w:w="1134" w:type="dxa"/>
            <w:noWrap/>
            <w:vAlign w:val="center"/>
          </w:tcPr>
          <w:p w14:paraId="158CA152"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10.60</w:t>
            </w:r>
          </w:p>
        </w:tc>
        <w:tc>
          <w:tcPr>
            <w:tcW w:w="1134" w:type="dxa"/>
            <w:noWrap/>
            <w:vAlign w:val="center"/>
          </w:tcPr>
          <w:p w14:paraId="4F158C66"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10.60</w:t>
            </w:r>
          </w:p>
        </w:tc>
        <w:tc>
          <w:tcPr>
            <w:tcW w:w="1134" w:type="dxa"/>
            <w:noWrap/>
            <w:vAlign w:val="center"/>
          </w:tcPr>
          <w:p w14:paraId="08B7F515"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10.60</w:t>
            </w:r>
          </w:p>
        </w:tc>
        <w:tc>
          <w:tcPr>
            <w:tcW w:w="1134" w:type="dxa"/>
            <w:noWrap/>
            <w:vAlign w:val="center"/>
          </w:tcPr>
          <w:p w14:paraId="1441D9CF"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10.60</w:t>
            </w:r>
          </w:p>
        </w:tc>
        <w:tc>
          <w:tcPr>
            <w:tcW w:w="1134" w:type="dxa"/>
            <w:noWrap/>
            <w:vAlign w:val="center"/>
          </w:tcPr>
          <w:p w14:paraId="3D4D9000"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10.60</w:t>
            </w:r>
          </w:p>
        </w:tc>
        <w:tc>
          <w:tcPr>
            <w:tcW w:w="1085" w:type="dxa"/>
            <w:noWrap/>
            <w:vAlign w:val="center"/>
          </w:tcPr>
          <w:p w14:paraId="639A1382"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10.60</w:t>
            </w:r>
          </w:p>
        </w:tc>
      </w:tr>
      <w:tr w:rsidR="00E4153F" w:rsidRPr="00F87241" w14:paraId="2E811C3A" w14:textId="77777777" w:rsidTr="007229D6">
        <w:trPr>
          <w:trHeight w:val="255"/>
        </w:trPr>
        <w:tc>
          <w:tcPr>
            <w:tcW w:w="2263" w:type="dxa"/>
            <w:noWrap/>
            <w:vAlign w:val="bottom"/>
            <w:hideMark/>
          </w:tcPr>
          <w:p w14:paraId="6734DE43" w14:textId="77777777" w:rsidR="001F3F40" w:rsidRPr="00F87241" w:rsidRDefault="001F3F40" w:rsidP="00092CCC">
            <w:pPr>
              <w:keepNext/>
              <w:keepLines/>
              <w:spacing w:before="0" w:after="0"/>
              <w:ind w:firstLineChars="100" w:firstLine="200"/>
              <w:rPr>
                <w:rFonts w:ascii="Arial Narrow" w:hAnsi="Arial Narrow"/>
                <w:color w:val="000000"/>
              </w:rPr>
            </w:pPr>
            <w:r>
              <w:rPr>
                <w:rFonts w:ascii="Arial Narrow" w:hAnsi="Arial Narrow"/>
                <w:color w:val="000000"/>
              </w:rPr>
              <w:t>Number of affected cases with IOGSD II</w:t>
            </w:r>
          </w:p>
        </w:tc>
        <w:tc>
          <w:tcPr>
            <w:tcW w:w="1134" w:type="dxa"/>
            <w:noWrap/>
            <w:vAlign w:val="center"/>
          </w:tcPr>
          <w:p w14:paraId="723FA85F"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1.00</w:t>
            </w:r>
          </w:p>
        </w:tc>
        <w:tc>
          <w:tcPr>
            <w:tcW w:w="1134" w:type="dxa"/>
            <w:noWrap/>
            <w:vAlign w:val="center"/>
          </w:tcPr>
          <w:p w14:paraId="0F2B4445"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1.00</w:t>
            </w:r>
          </w:p>
        </w:tc>
        <w:tc>
          <w:tcPr>
            <w:tcW w:w="1134" w:type="dxa"/>
            <w:noWrap/>
            <w:vAlign w:val="center"/>
          </w:tcPr>
          <w:p w14:paraId="09E6B302"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1.00</w:t>
            </w:r>
          </w:p>
        </w:tc>
        <w:tc>
          <w:tcPr>
            <w:tcW w:w="1134" w:type="dxa"/>
            <w:noWrap/>
            <w:vAlign w:val="center"/>
          </w:tcPr>
          <w:p w14:paraId="726E0015"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1.00</w:t>
            </w:r>
          </w:p>
        </w:tc>
        <w:tc>
          <w:tcPr>
            <w:tcW w:w="1134" w:type="dxa"/>
            <w:noWrap/>
            <w:vAlign w:val="center"/>
          </w:tcPr>
          <w:p w14:paraId="010613DA"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1.00</w:t>
            </w:r>
          </w:p>
        </w:tc>
        <w:tc>
          <w:tcPr>
            <w:tcW w:w="1085" w:type="dxa"/>
            <w:noWrap/>
            <w:vAlign w:val="center"/>
          </w:tcPr>
          <w:p w14:paraId="61344D2A"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1.00</w:t>
            </w:r>
          </w:p>
        </w:tc>
      </w:tr>
      <w:tr w:rsidR="00E4153F" w:rsidRPr="00F87241" w14:paraId="17A39262" w14:textId="77777777" w:rsidTr="007229D6">
        <w:trPr>
          <w:trHeight w:val="255"/>
        </w:trPr>
        <w:tc>
          <w:tcPr>
            <w:tcW w:w="2263" w:type="dxa"/>
            <w:noWrap/>
            <w:vAlign w:val="bottom"/>
            <w:hideMark/>
          </w:tcPr>
          <w:p w14:paraId="2A24A574" w14:textId="77777777" w:rsidR="001F3F40" w:rsidRPr="00F87241" w:rsidRDefault="001F3F40" w:rsidP="00092CCC">
            <w:pPr>
              <w:keepNext/>
              <w:keepLines/>
              <w:spacing w:before="0" w:after="0"/>
              <w:ind w:firstLineChars="100" w:firstLine="200"/>
              <w:rPr>
                <w:rFonts w:ascii="Arial Narrow" w:hAnsi="Arial Narrow"/>
                <w:color w:val="000000"/>
              </w:rPr>
            </w:pPr>
            <w:r>
              <w:rPr>
                <w:rFonts w:ascii="Arial Narrow" w:hAnsi="Arial Narrow"/>
                <w:color w:val="000000"/>
              </w:rPr>
              <w:t>Number of affected cases with LOGSD II</w:t>
            </w:r>
          </w:p>
        </w:tc>
        <w:tc>
          <w:tcPr>
            <w:tcW w:w="1134" w:type="dxa"/>
            <w:noWrap/>
            <w:vAlign w:val="center"/>
          </w:tcPr>
          <w:p w14:paraId="5AEC1873"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9.60</w:t>
            </w:r>
          </w:p>
        </w:tc>
        <w:tc>
          <w:tcPr>
            <w:tcW w:w="1134" w:type="dxa"/>
            <w:noWrap/>
            <w:vAlign w:val="center"/>
          </w:tcPr>
          <w:p w14:paraId="2E72CE4B"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9.60</w:t>
            </w:r>
          </w:p>
        </w:tc>
        <w:tc>
          <w:tcPr>
            <w:tcW w:w="1134" w:type="dxa"/>
            <w:noWrap/>
            <w:vAlign w:val="center"/>
          </w:tcPr>
          <w:p w14:paraId="0560D6E9"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9.60</w:t>
            </w:r>
          </w:p>
        </w:tc>
        <w:tc>
          <w:tcPr>
            <w:tcW w:w="1134" w:type="dxa"/>
            <w:noWrap/>
            <w:vAlign w:val="center"/>
          </w:tcPr>
          <w:p w14:paraId="6F215CF1"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9.60</w:t>
            </w:r>
          </w:p>
        </w:tc>
        <w:tc>
          <w:tcPr>
            <w:tcW w:w="1134" w:type="dxa"/>
            <w:noWrap/>
            <w:vAlign w:val="center"/>
          </w:tcPr>
          <w:p w14:paraId="6DF78182"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9.60</w:t>
            </w:r>
          </w:p>
        </w:tc>
        <w:tc>
          <w:tcPr>
            <w:tcW w:w="1085" w:type="dxa"/>
            <w:noWrap/>
            <w:vAlign w:val="center"/>
          </w:tcPr>
          <w:p w14:paraId="4B305116"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9.60</w:t>
            </w:r>
          </w:p>
        </w:tc>
      </w:tr>
      <w:tr w:rsidR="00E4153F" w:rsidRPr="00F87241" w14:paraId="5D13B480" w14:textId="77777777" w:rsidTr="00E4153F">
        <w:trPr>
          <w:trHeight w:val="255"/>
        </w:trPr>
        <w:tc>
          <w:tcPr>
            <w:tcW w:w="2263" w:type="dxa"/>
            <w:noWrap/>
            <w:vAlign w:val="bottom"/>
            <w:hideMark/>
          </w:tcPr>
          <w:p w14:paraId="793387D3" w14:textId="77777777" w:rsidR="001F3F40" w:rsidRPr="00F87241" w:rsidRDefault="001F3F40" w:rsidP="00092CCC">
            <w:pPr>
              <w:keepNext/>
              <w:keepLines/>
              <w:spacing w:before="0" w:after="0"/>
              <w:rPr>
                <w:rFonts w:ascii="Arial Narrow" w:hAnsi="Arial Narrow"/>
                <w:color w:val="000000"/>
              </w:rPr>
            </w:pPr>
            <w:r>
              <w:rPr>
                <w:rFonts w:ascii="Arial Narrow" w:hAnsi="Arial Narrow"/>
                <w:color w:val="000000"/>
              </w:rPr>
              <w:t>Cumulative number of LOGSD II cases symptomatic at age 2 years</w:t>
            </w:r>
          </w:p>
        </w:tc>
        <w:tc>
          <w:tcPr>
            <w:tcW w:w="1134" w:type="dxa"/>
            <w:noWrap/>
            <w:vAlign w:val="center"/>
          </w:tcPr>
          <w:p w14:paraId="48EE9BC5"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0.00</w:t>
            </w:r>
          </w:p>
        </w:tc>
        <w:tc>
          <w:tcPr>
            <w:tcW w:w="1134" w:type="dxa"/>
            <w:noWrap/>
            <w:vAlign w:val="center"/>
          </w:tcPr>
          <w:p w14:paraId="04DAA09F"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0.00</w:t>
            </w:r>
          </w:p>
        </w:tc>
        <w:tc>
          <w:tcPr>
            <w:tcW w:w="1134" w:type="dxa"/>
            <w:noWrap/>
            <w:vAlign w:val="center"/>
          </w:tcPr>
          <w:p w14:paraId="5250B540"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0.63</w:t>
            </w:r>
          </w:p>
        </w:tc>
        <w:tc>
          <w:tcPr>
            <w:tcW w:w="1134" w:type="dxa"/>
            <w:noWrap/>
            <w:vAlign w:val="center"/>
          </w:tcPr>
          <w:p w14:paraId="7D4628A5"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1.26</w:t>
            </w:r>
          </w:p>
        </w:tc>
        <w:tc>
          <w:tcPr>
            <w:tcW w:w="1134" w:type="dxa"/>
            <w:noWrap/>
            <w:vAlign w:val="center"/>
          </w:tcPr>
          <w:p w14:paraId="07923E53"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1.89</w:t>
            </w:r>
          </w:p>
        </w:tc>
        <w:tc>
          <w:tcPr>
            <w:tcW w:w="1085" w:type="dxa"/>
            <w:noWrap/>
            <w:vAlign w:val="center"/>
          </w:tcPr>
          <w:p w14:paraId="106DBDB6" w14:textId="77777777" w:rsidR="001F3F40" w:rsidRPr="00F87241" w:rsidRDefault="001F3F40" w:rsidP="00092CCC">
            <w:pPr>
              <w:keepNext/>
              <w:keepLines/>
              <w:spacing w:before="0" w:after="0"/>
              <w:jc w:val="right"/>
              <w:rPr>
                <w:rFonts w:ascii="Arial Narrow" w:hAnsi="Arial Narrow"/>
                <w:color w:val="000000"/>
              </w:rPr>
            </w:pPr>
            <w:r>
              <w:rPr>
                <w:rFonts w:ascii="Arial Narrow" w:hAnsi="Arial Narrow"/>
                <w:color w:val="000000"/>
              </w:rPr>
              <w:t>2.52</w:t>
            </w:r>
          </w:p>
        </w:tc>
      </w:tr>
      <w:tr w:rsidR="00E4153F" w:rsidRPr="00F87241" w14:paraId="3626CFB3" w14:textId="77777777" w:rsidTr="007229D6">
        <w:trPr>
          <w:trHeight w:val="255"/>
        </w:trPr>
        <w:tc>
          <w:tcPr>
            <w:tcW w:w="2263" w:type="dxa"/>
            <w:noWrap/>
            <w:vAlign w:val="bottom"/>
            <w:hideMark/>
          </w:tcPr>
          <w:p w14:paraId="580073FB" w14:textId="2A8B3EA8" w:rsidR="00E4153F" w:rsidRPr="00F87241" w:rsidRDefault="00E4153F" w:rsidP="00E4153F">
            <w:pPr>
              <w:keepNext/>
              <w:keepLines/>
              <w:spacing w:before="0" w:after="0"/>
              <w:rPr>
                <w:rFonts w:ascii="Arial Narrow" w:hAnsi="Arial Narrow"/>
                <w:color w:val="000000"/>
              </w:rPr>
            </w:pPr>
            <w:r>
              <w:rPr>
                <w:rFonts w:ascii="Arial Narrow" w:hAnsi="Arial Narrow"/>
                <w:color w:val="000000"/>
              </w:rPr>
              <w:t>ERT costs, IOGSD II first year only</w:t>
            </w:r>
            <w:r w:rsidR="00B12AFD">
              <w:rPr>
                <w:rFonts w:ascii="Arial Narrow" w:hAnsi="Arial Narrow"/>
                <w:color w:val="000000"/>
              </w:rPr>
              <w:t xml:space="preserve"> ($)</w:t>
            </w:r>
          </w:p>
        </w:tc>
        <w:tc>
          <w:tcPr>
            <w:tcW w:w="1134" w:type="dxa"/>
            <w:noWrap/>
            <w:vAlign w:val="center"/>
          </w:tcPr>
          <w:p w14:paraId="246E4A17" w14:textId="5AB25FC0" w:rsidR="00E4153F" w:rsidRPr="00E4153F" w:rsidRDefault="00E4153F" w:rsidP="007229D6">
            <w:pPr>
              <w:keepNext/>
              <w:keepLines/>
              <w:spacing w:before="0" w:after="0"/>
              <w:jc w:val="center"/>
              <w:rPr>
                <w:rFonts w:ascii="Arial Narrow" w:hAnsi="Arial Narrow"/>
                <w:color w:val="000000"/>
                <w:sz w:val="18"/>
                <w:szCs w:val="18"/>
                <w:highlight w:val="yellow"/>
              </w:rPr>
            </w:pPr>
            <w:r w:rsidRPr="00E4153F">
              <w:rPr>
                <w:rFonts w:ascii="Arial Narrow" w:hAnsi="Arial Narrow"/>
                <w:b/>
                <w:bCs/>
                <w:color w:val="000000"/>
              </w:rPr>
              <w:t>Redacted</w:t>
            </w:r>
          </w:p>
        </w:tc>
        <w:tc>
          <w:tcPr>
            <w:tcW w:w="1134" w:type="dxa"/>
            <w:noWrap/>
            <w:vAlign w:val="center"/>
          </w:tcPr>
          <w:p w14:paraId="361D0908" w14:textId="07864E65" w:rsidR="00E4153F" w:rsidRPr="00E4153F" w:rsidRDefault="00E4153F" w:rsidP="007229D6">
            <w:pPr>
              <w:keepNext/>
              <w:keepLines/>
              <w:spacing w:before="0" w:after="0"/>
              <w:jc w:val="center"/>
              <w:rPr>
                <w:rFonts w:ascii="Arial Narrow" w:hAnsi="Arial Narrow"/>
                <w:color w:val="000000"/>
                <w:sz w:val="18"/>
                <w:szCs w:val="18"/>
                <w:highlight w:val="yellow"/>
              </w:rPr>
            </w:pPr>
            <w:r w:rsidRPr="00E5487B">
              <w:rPr>
                <w:rFonts w:ascii="Arial Narrow" w:hAnsi="Arial Narrow"/>
                <w:b/>
                <w:bCs/>
                <w:color w:val="000000"/>
              </w:rPr>
              <w:t>Redacted</w:t>
            </w:r>
          </w:p>
        </w:tc>
        <w:tc>
          <w:tcPr>
            <w:tcW w:w="1134" w:type="dxa"/>
            <w:noWrap/>
            <w:vAlign w:val="center"/>
          </w:tcPr>
          <w:p w14:paraId="12F045FC" w14:textId="467A389B" w:rsidR="00E4153F" w:rsidRPr="00E4153F" w:rsidRDefault="00E4153F" w:rsidP="007229D6">
            <w:pPr>
              <w:keepNext/>
              <w:keepLines/>
              <w:spacing w:before="0" w:after="0"/>
              <w:jc w:val="center"/>
              <w:rPr>
                <w:rFonts w:ascii="Arial Narrow" w:hAnsi="Arial Narrow"/>
                <w:color w:val="000000"/>
                <w:sz w:val="18"/>
                <w:szCs w:val="18"/>
                <w:highlight w:val="yellow"/>
              </w:rPr>
            </w:pPr>
            <w:r w:rsidRPr="00E5487B">
              <w:rPr>
                <w:rFonts w:ascii="Arial Narrow" w:hAnsi="Arial Narrow"/>
                <w:b/>
                <w:bCs/>
                <w:color w:val="000000"/>
              </w:rPr>
              <w:t>Redacted</w:t>
            </w:r>
          </w:p>
        </w:tc>
        <w:tc>
          <w:tcPr>
            <w:tcW w:w="1134" w:type="dxa"/>
            <w:noWrap/>
            <w:vAlign w:val="center"/>
          </w:tcPr>
          <w:p w14:paraId="26B9925D" w14:textId="59DA69D3" w:rsidR="00E4153F" w:rsidRPr="00E4153F" w:rsidRDefault="00E4153F" w:rsidP="007229D6">
            <w:pPr>
              <w:keepNext/>
              <w:keepLines/>
              <w:spacing w:before="0" w:after="0"/>
              <w:jc w:val="center"/>
              <w:rPr>
                <w:rFonts w:ascii="Arial Narrow" w:hAnsi="Arial Narrow"/>
                <w:color w:val="000000"/>
                <w:sz w:val="18"/>
                <w:szCs w:val="18"/>
                <w:highlight w:val="yellow"/>
              </w:rPr>
            </w:pPr>
            <w:r w:rsidRPr="00E5487B">
              <w:rPr>
                <w:rFonts w:ascii="Arial Narrow" w:hAnsi="Arial Narrow"/>
                <w:b/>
                <w:bCs/>
                <w:color w:val="000000"/>
              </w:rPr>
              <w:t>Redacted</w:t>
            </w:r>
          </w:p>
        </w:tc>
        <w:tc>
          <w:tcPr>
            <w:tcW w:w="1134" w:type="dxa"/>
            <w:noWrap/>
            <w:vAlign w:val="center"/>
          </w:tcPr>
          <w:p w14:paraId="3830CE01" w14:textId="2B1AA37D" w:rsidR="00E4153F" w:rsidRPr="00E4153F" w:rsidRDefault="00E4153F" w:rsidP="007229D6">
            <w:pPr>
              <w:keepNext/>
              <w:keepLines/>
              <w:spacing w:before="0" w:after="0"/>
              <w:jc w:val="center"/>
              <w:rPr>
                <w:rFonts w:ascii="Arial Narrow" w:hAnsi="Arial Narrow"/>
                <w:color w:val="000000"/>
                <w:sz w:val="18"/>
                <w:szCs w:val="18"/>
                <w:highlight w:val="yellow"/>
              </w:rPr>
            </w:pPr>
            <w:r w:rsidRPr="00E5487B">
              <w:rPr>
                <w:rFonts w:ascii="Arial Narrow" w:hAnsi="Arial Narrow"/>
                <w:b/>
                <w:bCs/>
                <w:color w:val="000000"/>
              </w:rPr>
              <w:t>Redacted</w:t>
            </w:r>
          </w:p>
        </w:tc>
        <w:tc>
          <w:tcPr>
            <w:tcW w:w="1085" w:type="dxa"/>
            <w:noWrap/>
            <w:vAlign w:val="center"/>
          </w:tcPr>
          <w:p w14:paraId="435BDC7F" w14:textId="37FEB21A" w:rsidR="00E4153F" w:rsidRPr="00E4153F" w:rsidRDefault="00E4153F" w:rsidP="007229D6">
            <w:pPr>
              <w:keepNext/>
              <w:keepLines/>
              <w:spacing w:before="0" w:after="0"/>
              <w:jc w:val="center"/>
              <w:rPr>
                <w:rFonts w:ascii="Arial Narrow" w:hAnsi="Arial Narrow"/>
                <w:color w:val="000000"/>
                <w:sz w:val="18"/>
                <w:szCs w:val="18"/>
                <w:highlight w:val="yellow"/>
              </w:rPr>
            </w:pPr>
            <w:r w:rsidRPr="00E5487B">
              <w:rPr>
                <w:rFonts w:ascii="Arial Narrow" w:hAnsi="Arial Narrow"/>
                <w:b/>
                <w:bCs/>
                <w:color w:val="000000"/>
              </w:rPr>
              <w:t>Redacted</w:t>
            </w:r>
          </w:p>
        </w:tc>
      </w:tr>
      <w:tr w:rsidR="00E4153F" w:rsidRPr="00F87241" w14:paraId="5672CB50" w14:textId="77777777" w:rsidTr="007229D6">
        <w:trPr>
          <w:trHeight w:val="255"/>
        </w:trPr>
        <w:tc>
          <w:tcPr>
            <w:tcW w:w="2263" w:type="dxa"/>
            <w:noWrap/>
            <w:vAlign w:val="bottom"/>
            <w:hideMark/>
          </w:tcPr>
          <w:p w14:paraId="09FADE85" w14:textId="77437B7C" w:rsidR="00E4153F" w:rsidRPr="00F87241" w:rsidRDefault="00E4153F" w:rsidP="00E4153F">
            <w:pPr>
              <w:keepNext/>
              <w:keepLines/>
              <w:spacing w:before="0" w:after="0"/>
              <w:rPr>
                <w:rFonts w:ascii="Arial Narrow" w:hAnsi="Arial Narrow"/>
                <w:color w:val="000000"/>
              </w:rPr>
            </w:pPr>
            <w:r>
              <w:rPr>
                <w:rFonts w:ascii="Arial Narrow" w:hAnsi="Arial Narrow"/>
                <w:color w:val="000000"/>
              </w:rPr>
              <w:t>ERT costs, LOGSD II</w:t>
            </w:r>
            <w:r w:rsidR="00B12AFD">
              <w:rPr>
                <w:rFonts w:ascii="Arial Narrow" w:hAnsi="Arial Narrow"/>
                <w:color w:val="000000"/>
              </w:rPr>
              <w:t xml:space="preserve"> ($)</w:t>
            </w:r>
          </w:p>
        </w:tc>
        <w:tc>
          <w:tcPr>
            <w:tcW w:w="1134" w:type="dxa"/>
            <w:noWrap/>
            <w:vAlign w:val="center"/>
          </w:tcPr>
          <w:p w14:paraId="78375BA5" w14:textId="4103520F" w:rsidR="00E4153F" w:rsidRPr="00E4153F" w:rsidRDefault="00E4153F" w:rsidP="007229D6">
            <w:pPr>
              <w:keepNext/>
              <w:keepLines/>
              <w:spacing w:before="0" w:after="0"/>
              <w:jc w:val="center"/>
              <w:rPr>
                <w:rFonts w:ascii="Arial Narrow" w:hAnsi="Arial Narrow"/>
                <w:color w:val="000000"/>
                <w:sz w:val="18"/>
                <w:szCs w:val="18"/>
                <w:highlight w:val="yellow"/>
              </w:rPr>
            </w:pPr>
            <w:r w:rsidRPr="00545F05">
              <w:rPr>
                <w:rFonts w:ascii="Arial Narrow" w:hAnsi="Arial Narrow"/>
                <w:b/>
                <w:bCs/>
                <w:color w:val="000000"/>
              </w:rPr>
              <w:t>Redacted</w:t>
            </w:r>
          </w:p>
        </w:tc>
        <w:tc>
          <w:tcPr>
            <w:tcW w:w="1134" w:type="dxa"/>
            <w:noWrap/>
            <w:vAlign w:val="center"/>
          </w:tcPr>
          <w:p w14:paraId="7EC3C625" w14:textId="376FCF49" w:rsidR="00E4153F" w:rsidRPr="00E4153F" w:rsidRDefault="00E4153F" w:rsidP="007229D6">
            <w:pPr>
              <w:keepNext/>
              <w:keepLines/>
              <w:spacing w:before="0" w:after="0"/>
              <w:jc w:val="center"/>
              <w:rPr>
                <w:rFonts w:ascii="Arial Narrow" w:hAnsi="Arial Narrow"/>
                <w:color w:val="000000"/>
                <w:sz w:val="18"/>
                <w:szCs w:val="18"/>
                <w:highlight w:val="yellow"/>
              </w:rPr>
            </w:pPr>
            <w:r w:rsidRPr="00E5487B">
              <w:rPr>
                <w:rFonts w:ascii="Arial Narrow" w:hAnsi="Arial Narrow"/>
                <w:b/>
                <w:bCs/>
                <w:color w:val="000000"/>
              </w:rPr>
              <w:t>Redacted</w:t>
            </w:r>
          </w:p>
        </w:tc>
        <w:tc>
          <w:tcPr>
            <w:tcW w:w="1134" w:type="dxa"/>
            <w:noWrap/>
            <w:vAlign w:val="center"/>
          </w:tcPr>
          <w:p w14:paraId="3795675D" w14:textId="576FE215" w:rsidR="00E4153F" w:rsidRPr="00E4153F" w:rsidRDefault="00E4153F" w:rsidP="007229D6">
            <w:pPr>
              <w:keepNext/>
              <w:keepLines/>
              <w:spacing w:before="0" w:after="0"/>
              <w:jc w:val="center"/>
              <w:rPr>
                <w:rFonts w:ascii="Arial Narrow" w:hAnsi="Arial Narrow"/>
                <w:color w:val="000000"/>
                <w:sz w:val="18"/>
                <w:szCs w:val="18"/>
                <w:highlight w:val="yellow"/>
              </w:rPr>
            </w:pPr>
            <w:r w:rsidRPr="00E5487B">
              <w:rPr>
                <w:rFonts w:ascii="Arial Narrow" w:hAnsi="Arial Narrow"/>
                <w:b/>
                <w:bCs/>
                <w:color w:val="000000"/>
              </w:rPr>
              <w:t>Redacted</w:t>
            </w:r>
          </w:p>
        </w:tc>
        <w:tc>
          <w:tcPr>
            <w:tcW w:w="1134" w:type="dxa"/>
            <w:noWrap/>
            <w:vAlign w:val="center"/>
          </w:tcPr>
          <w:p w14:paraId="79AB203E" w14:textId="7A41332A" w:rsidR="00E4153F" w:rsidRPr="00E4153F" w:rsidRDefault="00E4153F" w:rsidP="007229D6">
            <w:pPr>
              <w:keepNext/>
              <w:keepLines/>
              <w:spacing w:before="0" w:after="0"/>
              <w:jc w:val="center"/>
              <w:rPr>
                <w:rFonts w:ascii="Arial Narrow" w:hAnsi="Arial Narrow"/>
                <w:color w:val="000000"/>
                <w:sz w:val="18"/>
                <w:szCs w:val="18"/>
                <w:highlight w:val="yellow"/>
              </w:rPr>
            </w:pPr>
            <w:r w:rsidRPr="00E5487B">
              <w:rPr>
                <w:rFonts w:ascii="Arial Narrow" w:hAnsi="Arial Narrow"/>
                <w:b/>
                <w:bCs/>
                <w:color w:val="000000"/>
              </w:rPr>
              <w:t>Redacted</w:t>
            </w:r>
          </w:p>
        </w:tc>
        <w:tc>
          <w:tcPr>
            <w:tcW w:w="1134" w:type="dxa"/>
            <w:noWrap/>
            <w:vAlign w:val="center"/>
          </w:tcPr>
          <w:p w14:paraId="3500D2F9" w14:textId="3254D5E8" w:rsidR="00E4153F" w:rsidRPr="00E4153F" w:rsidRDefault="00E4153F" w:rsidP="007229D6">
            <w:pPr>
              <w:keepNext/>
              <w:keepLines/>
              <w:spacing w:before="0" w:after="0"/>
              <w:jc w:val="center"/>
              <w:rPr>
                <w:rFonts w:ascii="Arial Narrow" w:hAnsi="Arial Narrow"/>
                <w:color w:val="000000"/>
                <w:sz w:val="18"/>
                <w:szCs w:val="18"/>
                <w:highlight w:val="yellow"/>
              </w:rPr>
            </w:pPr>
            <w:r w:rsidRPr="00E5487B">
              <w:rPr>
                <w:rFonts w:ascii="Arial Narrow" w:hAnsi="Arial Narrow"/>
                <w:b/>
                <w:bCs/>
                <w:color w:val="000000"/>
              </w:rPr>
              <w:t>Redacted</w:t>
            </w:r>
          </w:p>
        </w:tc>
        <w:tc>
          <w:tcPr>
            <w:tcW w:w="1085" w:type="dxa"/>
            <w:noWrap/>
            <w:vAlign w:val="center"/>
          </w:tcPr>
          <w:p w14:paraId="7BAA7C63" w14:textId="7B9F04A9" w:rsidR="00E4153F" w:rsidRPr="00E4153F" w:rsidRDefault="00E4153F" w:rsidP="007229D6">
            <w:pPr>
              <w:keepNext/>
              <w:keepLines/>
              <w:spacing w:before="0" w:after="0"/>
              <w:jc w:val="center"/>
              <w:rPr>
                <w:rFonts w:ascii="Arial Narrow" w:hAnsi="Arial Narrow"/>
                <w:color w:val="000000"/>
                <w:sz w:val="18"/>
                <w:szCs w:val="18"/>
                <w:highlight w:val="yellow"/>
              </w:rPr>
            </w:pPr>
            <w:r w:rsidRPr="00E5487B">
              <w:rPr>
                <w:rFonts w:ascii="Arial Narrow" w:hAnsi="Arial Narrow"/>
                <w:b/>
                <w:bCs/>
                <w:color w:val="000000"/>
              </w:rPr>
              <w:t>Redacted</w:t>
            </w:r>
          </w:p>
        </w:tc>
      </w:tr>
      <w:tr w:rsidR="00E4153F" w:rsidRPr="00F87241" w14:paraId="0ECA44DF" w14:textId="77777777" w:rsidTr="007229D6">
        <w:trPr>
          <w:trHeight w:val="255"/>
        </w:trPr>
        <w:tc>
          <w:tcPr>
            <w:tcW w:w="2263" w:type="dxa"/>
            <w:tcBorders>
              <w:bottom w:val="single" w:sz="4" w:space="0" w:color="auto"/>
            </w:tcBorders>
            <w:noWrap/>
            <w:vAlign w:val="bottom"/>
          </w:tcPr>
          <w:p w14:paraId="0CEEA4E4" w14:textId="32E8AC65" w:rsidR="00E4153F" w:rsidRPr="00350FBE" w:rsidRDefault="00E4153F" w:rsidP="00E4153F">
            <w:pPr>
              <w:keepNext/>
              <w:keepLines/>
              <w:spacing w:before="0" w:after="0"/>
              <w:rPr>
                <w:rFonts w:ascii="Arial Narrow" w:hAnsi="Arial Narrow"/>
                <w:b/>
                <w:bCs/>
                <w:color w:val="000000"/>
              </w:rPr>
            </w:pPr>
            <w:r w:rsidRPr="00350FBE">
              <w:rPr>
                <w:rFonts w:ascii="Arial Narrow" w:hAnsi="Arial Narrow"/>
                <w:b/>
                <w:bCs/>
                <w:color w:val="000000"/>
              </w:rPr>
              <w:t>Total costs to LSDP due to NBS</w:t>
            </w:r>
            <w:r w:rsidR="00B12AFD">
              <w:rPr>
                <w:rFonts w:ascii="Arial Narrow" w:hAnsi="Arial Narrow"/>
                <w:b/>
                <w:bCs/>
                <w:color w:val="000000"/>
              </w:rPr>
              <w:t xml:space="preserve"> ($)</w:t>
            </w:r>
          </w:p>
        </w:tc>
        <w:tc>
          <w:tcPr>
            <w:tcW w:w="1134" w:type="dxa"/>
            <w:tcBorders>
              <w:bottom w:val="single" w:sz="4" w:space="0" w:color="auto"/>
            </w:tcBorders>
            <w:noWrap/>
            <w:vAlign w:val="center"/>
          </w:tcPr>
          <w:p w14:paraId="3A3876BA" w14:textId="1E82D05E" w:rsidR="00E4153F" w:rsidRPr="00E4153F" w:rsidRDefault="00E4153F" w:rsidP="007229D6">
            <w:pPr>
              <w:keepNext/>
              <w:keepLines/>
              <w:spacing w:before="0" w:after="0"/>
              <w:jc w:val="center"/>
              <w:rPr>
                <w:rFonts w:ascii="Arial Narrow" w:hAnsi="Arial Narrow"/>
                <w:color w:val="000000" w:themeColor="text1"/>
                <w:sz w:val="18"/>
                <w:szCs w:val="18"/>
                <w:highlight w:val="yellow"/>
              </w:rPr>
            </w:pPr>
            <w:r w:rsidRPr="00545F05">
              <w:rPr>
                <w:rFonts w:ascii="Arial Narrow" w:hAnsi="Arial Narrow"/>
                <w:b/>
                <w:bCs/>
                <w:color w:val="000000"/>
              </w:rPr>
              <w:t>Redacted</w:t>
            </w:r>
          </w:p>
        </w:tc>
        <w:tc>
          <w:tcPr>
            <w:tcW w:w="1134" w:type="dxa"/>
            <w:tcBorders>
              <w:bottom w:val="single" w:sz="4" w:space="0" w:color="auto"/>
            </w:tcBorders>
            <w:noWrap/>
            <w:vAlign w:val="center"/>
          </w:tcPr>
          <w:p w14:paraId="232F8461" w14:textId="1B805B20" w:rsidR="00E4153F" w:rsidRPr="00E4153F" w:rsidRDefault="00E4153F" w:rsidP="007229D6">
            <w:pPr>
              <w:keepNext/>
              <w:keepLines/>
              <w:spacing w:before="0" w:after="0"/>
              <w:jc w:val="center"/>
              <w:rPr>
                <w:rFonts w:ascii="Arial Narrow" w:hAnsi="Arial Narrow"/>
                <w:color w:val="000000" w:themeColor="text1"/>
                <w:sz w:val="18"/>
                <w:szCs w:val="18"/>
                <w:highlight w:val="yellow"/>
              </w:rPr>
            </w:pPr>
            <w:r w:rsidRPr="00E5487B">
              <w:rPr>
                <w:rFonts w:ascii="Arial Narrow" w:hAnsi="Arial Narrow"/>
                <w:b/>
                <w:bCs/>
                <w:color w:val="000000"/>
              </w:rPr>
              <w:t>Redacted</w:t>
            </w:r>
          </w:p>
        </w:tc>
        <w:tc>
          <w:tcPr>
            <w:tcW w:w="1134" w:type="dxa"/>
            <w:tcBorders>
              <w:bottom w:val="single" w:sz="4" w:space="0" w:color="auto"/>
            </w:tcBorders>
            <w:noWrap/>
            <w:vAlign w:val="center"/>
          </w:tcPr>
          <w:p w14:paraId="70F649AA" w14:textId="26349E36" w:rsidR="00E4153F" w:rsidRPr="00E4153F" w:rsidRDefault="00E4153F" w:rsidP="007229D6">
            <w:pPr>
              <w:keepNext/>
              <w:keepLines/>
              <w:spacing w:before="0" w:after="0"/>
              <w:jc w:val="center"/>
              <w:rPr>
                <w:rFonts w:ascii="Arial Narrow" w:hAnsi="Arial Narrow"/>
                <w:color w:val="000000" w:themeColor="text1"/>
                <w:sz w:val="18"/>
                <w:szCs w:val="18"/>
                <w:highlight w:val="yellow"/>
              </w:rPr>
            </w:pPr>
            <w:r w:rsidRPr="00E5487B">
              <w:rPr>
                <w:rFonts w:ascii="Arial Narrow" w:hAnsi="Arial Narrow"/>
                <w:b/>
                <w:bCs/>
                <w:color w:val="000000"/>
              </w:rPr>
              <w:t>Redacted</w:t>
            </w:r>
          </w:p>
        </w:tc>
        <w:tc>
          <w:tcPr>
            <w:tcW w:w="1134" w:type="dxa"/>
            <w:tcBorders>
              <w:bottom w:val="single" w:sz="4" w:space="0" w:color="auto"/>
            </w:tcBorders>
            <w:noWrap/>
            <w:vAlign w:val="center"/>
          </w:tcPr>
          <w:p w14:paraId="3374E317" w14:textId="4BA65150" w:rsidR="00E4153F" w:rsidRPr="00E4153F" w:rsidRDefault="00E4153F" w:rsidP="007229D6">
            <w:pPr>
              <w:keepNext/>
              <w:keepLines/>
              <w:spacing w:before="0" w:after="0"/>
              <w:jc w:val="center"/>
              <w:rPr>
                <w:rFonts w:ascii="Arial Narrow" w:hAnsi="Arial Narrow"/>
                <w:color w:val="000000" w:themeColor="text1"/>
                <w:sz w:val="18"/>
                <w:szCs w:val="18"/>
                <w:highlight w:val="yellow"/>
              </w:rPr>
            </w:pPr>
            <w:r w:rsidRPr="00E5487B">
              <w:rPr>
                <w:rFonts w:ascii="Arial Narrow" w:hAnsi="Arial Narrow"/>
                <w:b/>
                <w:bCs/>
                <w:color w:val="000000"/>
              </w:rPr>
              <w:t>Redacted</w:t>
            </w:r>
          </w:p>
        </w:tc>
        <w:tc>
          <w:tcPr>
            <w:tcW w:w="1134" w:type="dxa"/>
            <w:tcBorders>
              <w:bottom w:val="single" w:sz="4" w:space="0" w:color="auto"/>
            </w:tcBorders>
            <w:noWrap/>
            <w:vAlign w:val="center"/>
          </w:tcPr>
          <w:p w14:paraId="2638A53A" w14:textId="468A3FC8" w:rsidR="00E4153F" w:rsidRPr="00E4153F" w:rsidRDefault="00E4153F" w:rsidP="007229D6">
            <w:pPr>
              <w:keepNext/>
              <w:keepLines/>
              <w:spacing w:before="0" w:after="0"/>
              <w:jc w:val="center"/>
              <w:rPr>
                <w:rFonts w:ascii="Arial Narrow" w:hAnsi="Arial Narrow"/>
                <w:color w:val="000000" w:themeColor="text1"/>
                <w:sz w:val="18"/>
                <w:szCs w:val="18"/>
                <w:highlight w:val="yellow"/>
              </w:rPr>
            </w:pPr>
            <w:r w:rsidRPr="00E5487B">
              <w:rPr>
                <w:rFonts w:ascii="Arial Narrow" w:hAnsi="Arial Narrow"/>
                <w:b/>
                <w:bCs/>
                <w:color w:val="000000"/>
              </w:rPr>
              <w:t>Redacted</w:t>
            </w:r>
          </w:p>
        </w:tc>
        <w:tc>
          <w:tcPr>
            <w:tcW w:w="1085" w:type="dxa"/>
            <w:tcBorders>
              <w:bottom w:val="single" w:sz="4" w:space="0" w:color="auto"/>
            </w:tcBorders>
            <w:noWrap/>
            <w:vAlign w:val="center"/>
          </w:tcPr>
          <w:p w14:paraId="66275A90" w14:textId="40BDADB4" w:rsidR="00E4153F" w:rsidRPr="00E4153F" w:rsidRDefault="00E4153F" w:rsidP="007229D6">
            <w:pPr>
              <w:keepNext/>
              <w:keepLines/>
              <w:spacing w:before="0" w:after="0"/>
              <w:jc w:val="center"/>
              <w:rPr>
                <w:rFonts w:ascii="Arial Narrow" w:hAnsi="Arial Narrow"/>
                <w:color w:val="000000" w:themeColor="text1"/>
                <w:sz w:val="18"/>
                <w:szCs w:val="18"/>
                <w:highlight w:val="yellow"/>
              </w:rPr>
            </w:pPr>
            <w:r w:rsidRPr="00E5487B">
              <w:rPr>
                <w:rFonts w:ascii="Arial Narrow" w:hAnsi="Arial Narrow"/>
                <w:b/>
                <w:bCs/>
                <w:color w:val="000000"/>
              </w:rPr>
              <w:t>Redacted</w:t>
            </w:r>
          </w:p>
        </w:tc>
      </w:tr>
      <w:tr w:rsidR="00E4153F" w:rsidRPr="00CB3AD9" w14:paraId="27F7207F" w14:textId="77777777" w:rsidTr="007229D6">
        <w:trPr>
          <w:trHeight w:val="255"/>
        </w:trPr>
        <w:tc>
          <w:tcPr>
            <w:tcW w:w="2263" w:type="dxa"/>
            <w:tcBorders>
              <w:right w:val="nil"/>
            </w:tcBorders>
            <w:noWrap/>
            <w:vAlign w:val="bottom"/>
          </w:tcPr>
          <w:p w14:paraId="00C0CA79" w14:textId="429FF014" w:rsidR="001F3F40" w:rsidRPr="00CB3AD9" w:rsidRDefault="001F3F40" w:rsidP="00092CCC">
            <w:pPr>
              <w:keepNext/>
              <w:keepLines/>
              <w:spacing w:before="0" w:after="0"/>
              <w:rPr>
                <w:rFonts w:ascii="Arial Narrow" w:hAnsi="Arial Narrow"/>
                <w:b/>
                <w:bCs/>
                <w:color w:val="000000"/>
              </w:rPr>
            </w:pPr>
            <w:r w:rsidRPr="00CB3AD9">
              <w:rPr>
                <w:rFonts w:ascii="Arial Narrow" w:hAnsi="Arial Narrow"/>
                <w:b/>
                <w:bCs/>
                <w:color w:val="000000"/>
              </w:rPr>
              <w:t>Current practice</w:t>
            </w:r>
            <w:r w:rsidR="001E1791">
              <w:rPr>
                <w:rFonts w:ascii="Arial Narrow" w:hAnsi="Arial Narrow"/>
                <w:b/>
                <w:bCs/>
                <w:color w:val="000000"/>
              </w:rPr>
              <w:t xml:space="preserve"> (offsets)</w:t>
            </w:r>
          </w:p>
        </w:tc>
        <w:tc>
          <w:tcPr>
            <w:tcW w:w="1134" w:type="dxa"/>
            <w:tcBorders>
              <w:left w:val="nil"/>
              <w:right w:val="nil"/>
            </w:tcBorders>
            <w:noWrap/>
            <w:vAlign w:val="center"/>
          </w:tcPr>
          <w:p w14:paraId="7F2444EB" w14:textId="77777777" w:rsidR="001F3F40" w:rsidRPr="00CB3AD9" w:rsidRDefault="001F3F40" w:rsidP="007229D6">
            <w:pPr>
              <w:keepNext/>
              <w:keepLines/>
              <w:spacing w:before="0" w:after="0"/>
              <w:jc w:val="center"/>
              <w:rPr>
                <w:rFonts w:ascii="Arial Narrow" w:hAnsi="Arial Narrow"/>
                <w:b/>
                <w:bCs/>
                <w:color w:val="000000" w:themeColor="text1"/>
                <w:highlight w:val="yellow"/>
              </w:rPr>
            </w:pPr>
          </w:p>
        </w:tc>
        <w:tc>
          <w:tcPr>
            <w:tcW w:w="1134" w:type="dxa"/>
            <w:tcBorders>
              <w:left w:val="nil"/>
              <w:right w:val="nil"/>
            </w:tcBorders>
            <w:noWrap/>
            <w:vAlign w:val="center"/>
          </w:tcPr>
          <w:p w14:paraId="2D74D7B8" w14:textId="77777777" w:rsidR="001F3F40" w:rsidRPr="00CB3AD9" w:rsidRDefault="001F3F40" w:rsidP="007229D6">
            <w:pPr>
              <w:keepNext/>
              <w:keepLines/>
              <w:spacing w:before="0" w:after="0"/>
              <w:jc w:val="center"/>
              <w:rPr>
                <w:rFonts w:ascii="Arial Narrow" w:hAnsi="Arial Narrow"/>
                <w:b/>
                <w:bCs/>
                <w:color w:val="000000" w:themeColor="text1"/>
                <w:highlight w:val="yellow"/>
              </w:rPr>
            </w:pPr>
          </w:p>
        </w:tc>
        <w:tc>
          <w:tcPr>
            <w:tcW w:w="1134" w:type="dxa"/>
            <w:tcBorders>
              <w:left w:val="nil"/>
              <w:right w:val="nil"/>
            </w:tcBorders>
            <w:noWrap/>
            <w:vAlign w:val="center"/>
          </w:tcPr>
          <w:p w14:paraId="768485E2" w14:textId="77777777" w:rsidR="001F3F40" w:rsidRPr="00CB3AD9" w:rsidRDefault="001F3F40" w:rsidP="007229D6">
            <w:pPr>
              <w:keepNext/>
              <w:keepLines/>
              <w:spacing w:before="0" w:after="0"/>
              <w:jc w:val="center"/>
              <w:rPr>
                <w:rFonts w:ascii="Arial Narrow" w:hAnsi="Arial Narrow"/>
                <w:b/>
                <w:bCs/>
                <w:color w:val="000000" w:themeColor="text1"/>
                <w:highlight w:val="yellow"/>
              </w:rPr>
            </w:pPr>
          </w:p>
        </w:tc>
        <w:tc>
          <w:tcPr>
            <w:tcW w:w="1134" w:type="dxa"/>
            <w:tcBorders>
              <w:left w:val="nil"/>
              <w:right w:val="nil"/>
            </w:tcBorders>
            <w:noWrap/>
            <w:vAlign w:val="center"/>
          </w:tcPr>
          <w:p w14:paraId="55111959" w14:textId="77777777" w:rsidR="001F3F40" w:rsidRPr="00CB3AD9" w:rsidRDefault="001F3F40" w:rsidP="007229D6">
            <w:pPr>
              <w:keepNext/>
              <w:keepLines/>
              <w:spacing w:before="0" w:after="0"/>
              <w:jc w:val="center"/>
              <w:rPr>
                <w:rFonts w:ascii="Arial Narrow" w:hAnsi="Arial Narrow"/>
                <w:b/>
                <w:bCs/>
                <w:color w:val="000000" w:themeColor="text1"/>
                <w:highlight w:val="yellow"/>
              </w:rPr>
            </w:pPr>
          </w:p>
        </w:tc>
        <w:tc>
          <w:tcPr>
            <w:tcW w:w="1134" w:type="dxa"/>
            <w:tcBorders>
              <w:left w:val="nil"/>
              <w:right w:val="nil"/>
            </w:tcBorders>
            <w:noWrap/>
            <w:vAlign w:val="center"/>
          </w:tcPr>
          <w:p w14:paraId="0C065B0E" w14:textId="77777777" w:rsidR="001F3F40" w:rsidRPr="00CB3AD9" w:rsidRDefault="001F3F40" w:rsidP="007229D6">
            <w:pPr>
              <w:keepNext/>
              <w:keepLines/>
              <w:spacing w:before="0" w:after="0"/>
              <w:jc w:val="center"/>
              <w:rPr>
                <w:rFonts w:ascii="Arial Narrow" w:hAnsi="Arial Narrow"/>
                <w:b/>
                <w:bCs/>
                <w:color w:val="000000" w:themeColor="text1"/>
                <w:highlight w:val="yellow"/>
              </w:rPr>
            </w:pPr>
          </w:p>
        </w:tc>
        <w:tc>
          <w:tcPr>
            <w:tcW w:w="1085" w:type="dxa"/>
            <w:tcBorders>
              <w:left w:val="nil"/>
            </w:tcBorders>
            <w:noWrap/>
            <w:vAlign w:val="center"/>
          </w:tcPr>
          <w:p w14:paraId="6ADFD4E4" w14:textId="77777777" w:rsidR="001F3F40" w:rsidRPr="00CB3AD9" w:rsidRDefault="001F3F40" w:rsidP="007229D6">
            <w:pPr>
              <w:keepNext/>
              <w:keepLines/>
              <w:spacing w:before="0" w:after="0"/>
              <w:jc w:val="center"/>
              <w:rPr>
                <w:rFonts w:ascii="Arial Narrow" w:hAnsi="Arial Narrow"/>
                <w:b/>
                <w:bCs/>
                <w:color w:val="000000" w:themeColor="text1"/>
                <w:highlight w:val="yellow"/>
              </w:rPr>
            </w:pPr>
          </w:p>
        </w:tc>
      </w:tr>
      <w:tr w:rsidR="00E4153F" w:rsidRPr="00F87241" w14:paraId="469FA09A" w14:textId="77777777" w:rsidTr="007229D6">
        <w:trPr>
          <w:trHeight w:val="255"/>
        </w:trPr>
        <w:tc>
          <w:tcPr>
            <w:tcW w:w="2263" w:type="dxa"/>
            <w:noWrap/>
            <w:vAlign w:val="bottom"/>
            <w:hideMark/>
          </w:tcPr>
          <w:p w14:paraId="4EA670BE" w14:textId="77777777" w:rsidR="001F3F40" w:rsidRPr="00F87241" w:rsidRDefault="001F3F40" w:rsidP="00092CCC">
            <w:pPr>
              <w:keepNext/>
              <w:keepLines/>
              <w:spacing w:before="0" w:after="0"/>
              <w:rPr>
                <w:rFonts w:ascii="Arial Narrow" w:hAnsi="Arial Narrow"/>
                <w:color w:val="000000"/>
              </w:rPr>
            </w:pPr>
            <w:r>
              <w:rPr>
                <w:rFonts w:ascii="Arial Narrow" w:hAnsi="Arial Narrow"/>
                <w:color w:val="000000"/>
              </w:rPr>
              <w:t>Number of GSD II affected cases diagnosed</w:t>
            </w:r>
          </w:p>
        </w:tc>
        <w:tc>
          <w:tcPr>
            <w:tcW w:w="1134" w:type="dxa"/>
            <w:noWrap/>
            <w:vAlign w:val="center"/>
          </w:tcPr>
          <w:p w14:paraId="6240033C"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6.67</w:t>
            </w:r>
          </w:p>
        </w:tc>
        <w:tc>
          <w:tcPr>
            <w:tcW w:w="1134" w:type="dxa"/>
            <w:noWrap/>
            <w:vAlign w:val="center"/>
          </w:tcPr>
          <w:p w14:paraId="4CC9094F"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6.68</w:t>
            </w:r>
          </w:p>
        </w:tc>
        <w:tc>
          <w:tcPr>
            <w:tcW w:w="1134" w:type="dxa"/>
            <w:noWrap/>
            <w:vAlign w:val="center"/>
          </w:tcPr>
          <w:p w14:paraId="577706D8"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6.68</w:t>
            </w:r>
          </w:p>
        </w:tc>
        <w:tc>
          <w:tcPr>
            <w:tcW w:w="1134" w:type="dxa"/>
            <w:noWrap/>
            <w:vAlign w:val="center"/>
          </w:tcPr>
          <w:p w14:paraId="0C4E82EF"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6.68</w:t>
            </w:r>
          </w:p>
        </w:tc>
        <w:tc>
          <w:tcPr>
            <w:tcW w:w="1134" w:type="dxa"/>
            <w:noWrap/>
            <w:vAlign w:val="center"/>
          </w:tcPr>
          <w:p w14:paraId="3B01C4F8"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6.69</w:t>
            </w:r>
          </w:p>
        </w:tc>
        <w:tc>
          <w:tcPr>
            <w:tcW w:w="1085" w:type="dxa"/>
            <w:noWrap/>
            <w:vAlign w:val="center"/>
          </w:tcPr>
          <w:p w14:paraId="4DEE3622"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6.69</w:t>
            </w:r>
          </w:p>
        </w:tc>
      </w:tr>
      <w:tr w:rsidR="00E4153F" w:rsidRPr="00F87241" w14:paraId="68303855" w14:textId="77777777" w:rsidTr="007229D6">
        <w:trPr>
          <w:trHeight w:val="255"/>
        </w:trPr>
        <w:tc>
          <w:tcPr>
            <w:tcW w:w="2263" w:type="dxa"/>
            <w:noWrap/>
            <w:vAlign w:val="bottom"/>
            <w:hideMark/>
          </w:tcPr>
          <w:p w14:paraId="74E0FD26" w14:textId="77777777" w:rsidR="001F3F40" w:rsidRPr="00F87241" w:rsidRDefault="001F3F40" w:rsidP="00092CCC">
            <w:pPr>
              <w:keepNext/>
              <w:keepLines/>
              <w:spacing w:before="0" w:after="0"/>
              <w:ind w:firstLineChars="100" w:firstLine="200"/>
              <w:rPr>
                <w:rFonts w:ascii="Arial Narrow" w:hAnsi="Arial Narrow"/>
                <w:color w:val="000000"/>
              </w:rPr>
            </w:pPr>
            <w:r>
              <w:rPr>
                <w:rFonts w:ascii="Arial Narrow" w:hAnsi="Arial Narrow"/>
                <w:color w:val="000000"/>
              </w:rPr>
              <w:t>Number of affected cases with IOGSD II</w:t>
            </w:r>
          </w:p>
        </w:tc>
        <w:tc>
          <w:tcPr>
            <w:tcW w:w="1134" w:type="dxa"/>
            <w:noWrap/>
            <w:vAlign w:val="center"/>
          </w:tcPr>
          <w:p w14:paraId="765C8666"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1.00</w:t>
            </w:r>
          </w:p>
        </w:tc>
        <w:tc>
          <w:tcPr>
            <w:tcW w:w="1134" w:type="dxa"/>
            <w:noWrap/>
            <w:vAlign w:val="center"/>
          </w:tcPr>
          <w:p w14:paraId="569CF0F6"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1.00</w:t>
            </w:r>
          </w:p>
        </w:tc>
        <w:tc>
          <w:tcPr>
            <w:tcW w:w="1134" w:type="dxa"/>
            <w:noWrap/>
            <w:vAlign w:val="center"/>
          </w:tcPr>
          <w:p w14:paraId="5DD4FB96"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1.00</w:t>
            </w:r>
          </w:p>
        </w:tc>
        <w:tc>
          <w:tcPr>
            <w:tcW w:w="1134" w:type="dxa"/>
            <w:noWrap/>
            <w:vAlign w:val="center"/>
          </w:tcPr>
          <w:p w14:paraId="4EC48AC0"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1.00</w:t>
            </w:r>
          </w:p>
        </w:tc>
        <w:tc>
          <w:tcPr>
            <w:tcW w:w="1134" w:type="dxa"/>
            <w:noWrap/>
            <w:vAlign w:val="center"/>
          </w:tcPr>
          <w:p w14:paraId="650BB8BF"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1.00</w:t>
            </w:r>
          </w:p>
        </w:tc>
        <w:tc>
          <w:tcPr>
            <w:tcW w:w="1085" w:type="dxa"/>
            <w:noWrap/>
            <w:vAlign w:val="center"/>
          </w:tcPr>
          <w:p w14:paraId="0DBB5ECB"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1.00</w:t>
            </w:r>
          </w:p>
        </w:tc>
      </w:tr>
      <w:tr w:rsidR="00E4153F" w:rsidRPr="00F87241" w14:paraId="4835000C" w14:textId="77777777" w:rsidTr="007229D6">
        <w:trPr>
          <w:trHeight w:val="255"/>
        </w:trPr>
        <w:tc>
          <w:tcPr>
            <w:tcW w:w="2263" w:type="dxa"/>
            <w:noWrap/>
            <w:vAlign w:val="bottom"/>
            <w:hideMark/>
          </w:tcPr>
          <w:p w14:paraId="1CEE03A0" w14:textId="77777777" w:rsidR="001F3F40" w:rsidRPr="00F87241" w:rsidRDefault="001F3F40" w:rsidP="00092CCC">
            <w:pPr>
              <w:keepNext/>
              <w:keepLines/>
              <w:spacing w:before="0" w:after="0"/>
              <w:ind w:firstLineChars="100" w:firstLine="200"/>
              <w:rPr>
                <w:rFonts w:ascii="Arial Narrow" w:hAnsi="Arial Narrow"/>
                <w:color w:val="000000"/>
              </w:rPr>
            </w:pPr>
            <w:r>
              <w:rPr>
                <w:rFonts w:ascii="Arial Narrow" w:hAnsi="Arial Narrow"/>
                <w:color w:val="000000"/>
              </w:rPr>
              <w:t>Number of affected cases with LOGSD II</w:t>
            </w:r>
          </w:p>
        </w:tc>
        <w:tc>
          <w:tcPr>
            <w:tcW w:w="1134" w:type="dxa"/>
            <w:noWrap/>
            <w:vAlign w:val="center"/>
          </w:tcPr>
          <w:p w14:paraId="720DD66E"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5.67</w:t>
            </w:r>
          </w:p>
        </w:tc>
        <w:tc>
          <w:tcPr>
            <w:tcW w:w="1134" w:type="dxa"/>
            <w:noWrap/>
            <w:vAlign w:val="center"/>
          </w:tcPr>
          <w:p w14:paraId="17E83AD7"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5.67</w:t>
            </w:r>
          </w:p>
        </w:tc>
        <w:tc>
          <w:tcPr>
            <w:tcW w:w="1134" w:type="dxa"/>
            <w:noWrap/>
            <w:vAlign w:val="center"/>
          </w:tcPr>
          <w:p w14:paraId="43260DC4"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5.68</w:t>
            </w:r>
          </w:p>
        </w:tc>
        <w:tc>
          <w:tcPr>
            <w:tcW w:w="1134" w:type="dxa"/>
            <w:noWrap/>
            <w:vAlign w:val="center"/>
          </w:tcPr>
          <w:p w14:paraId="25EAF2DE"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5.68</w:t>
            </w:r>
          </w:p>
        </w:tc>
        <w:tc>
          <w:tcPr>
            <w:tcW w:w="1134" w:type="dxa"/>
            <w:noWrap/>
            <w:vAlign w:val="center"/>
          </w:tcPr>
          <w:p w14:paraId="4174003F"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5.68</w:t>
            </w:r>
          </w:p>
        </w:tc>
        <w:tc>
          <w:tcPr>
            <w:tcW w:w="1085" w:type="dxa"/>
            <w:noWrap/>
            <w:vAlign w:val="center"/>
          </w:tcPr>
          <w:p w14:paraId="1A3A434F"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5.69</w:t>
            </w:r>
          </w:p>
        </w:tc>
      </w:tr>
      <w:tr w:rsidR="00E4153F" w:rsidRPr="00F87241" w14:paraId="42FE0236" w14:textId="77777777" w:rsidTr="007229D6">
        <w:trPr>
          <w:trHeight w:val="255"/>
        </w:trPr>
        <w:tc>
          <w:tcPr>
            <w:tcW w:w="2263" w:type="dxa"/>
            <w:noWrap/>
            <w:vAlign w:val="bottom"/>
            <w:hideMark/>
          </w:tcPr>
          <w:p w14:paraId="344F97BD" w14:textId="77777777" w:rsidR="001F3F40" w:rsidRPr="00F87241" w:rsidRDefault="001F3F40" w:rsidP="00092CCC">
            <w:pPr>
              <w:keepNext/>
              <w:keepLines/>
              <w:spacing w:before="0" w:after="0"/>
              <w:rPr>
                <w:rFonts w:ascii="Arial Narrow" w:hAnsi="Arial Narrow"/>
                <w:color w:val="000000"/>
              </w:rPr>
            </w:pPr>
            <w:r>
              <w:rPr>
                <w:rFonts w:ascii="Arial Narrow" w:hAnsi="Arial Narrow"/>
                <w:color w:val="000000"/>
              </w:rPr>
              <w:t>Cumulative number of LOGSD II cases symptomatic at age 2 years</w:t>
            </w:r>
          </w:p>
        </w:tc>
        <w:tc>
          <w:tcPr>
            <w:tcW w:w="1134" w:type="dxa"/>
            <w:noWrap/>
            <w:vAlign w:val="center"/>
          </w:tcPr>
          <w:p w14:paraId="6C7CFD28"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0.00</w:t>
            </w:r>
          </w:p>
        </w:tc>
        <w:tc>
          <w:tcPr>
            <w:tcW w:w="1134" w:type="dxa"/>
            <w:noWrap/>
            <w:vAlign w:val="center"/>
          </w:tcPr>
          <w:p w14:paraId="1208DD06"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0.00</w:t>
            </w:r>
          </w:p>
        </w:tc>
        <w:tc>
          <w:tcPr>
            <w:tcW w:w="1134" w:type="dxa"/>
            <w:noWrap/>
            <w:vAlign w:val="center"/>
          </w:tcPr>
          <w:p w14:paraId="7913DB76"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0.37</w:t>
            </w:r>
          </w:p>
        </w:tc>
        <w:tc>
          <w:tcPr>
            <w:tcW w:w="1134" w:type="dxa"/>
            <w:noWrap/>
            <w:vAlign w:val="center"/>
          </w:tcPr>
          <w:p w14:paraId="09D7251F"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0.74</w:t>
            </w:r>
          </w:p>
        </w:tc>
        <w:tc>
          <w:tcPr>
            <w:tcW w:w="1134" w:type="dxa"/>
            <w:noWrap/>
            <w:vAlign w:val="center"/>
          </w:tcPr>
          <w:p w14:paraId="1DB7D56E"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1.12</w:t>
            </w:r>
          </w:p>
        </w:tc>
        <w:tc>
          <w:tcPr>
            <w:tcW w:w="1085" w:type="dxa"/>
            <w:noWrap/>
            <w:vAlign w:val="center"/>
          </w:tcPr>
          <w:p w14:paraId="30839529" w14:textId="77777777" w:rsidR="001F3F40" w:rsidRPr="00F87241" w:rsidRDefault="001F3F40" w:rsidP="007229D6">
            <w:pPr>
              <w:keepNext/>
              <w:keepLines/>
              <w:spacing w:before="0" w:after="0"/>
              <w:jc w:val="center"/>
              <w:rPr>
                <w:rFonts w:ascii="Arial Narrow" w:hAnsi="Arial Narrow"/>
                <w:color w:val="000000"/>
              </w:rPr>
            </w:pPr>
            <w:r>
              <w:rPr>
                <w:rFonts w:ascii="Arial Narrow" w:hAnsi="Arial Narrow"/>
                <w:color w:val="000000"/>
              </w:rPr>
              <w:t>1.49</w:t>
            </w:r>
          </w:p>
        </w:tc>
      </w:tr>
      <w:tr w:rsidR="00E4153F" w:rsidRPr="00F87241" w14:paraId="4805AD50" w14:textId="77777777" w:rsidTr="007229D6">
        <w:trPr>
          <w:trHeight w:val="255"/>
        </w:trPr>
        <w:tc>
          <w:tcPr>
            <w:tcW w:w="2263" w:type="dxa"/>
            <w:noWrap/>
            <w:vAlign w:val="bottom"/>
            <w:hideMark/>
          </w:tcPr>
          <w:p w14:paraId="25A7B3ED" w14:textId="6B0DEA6E" w:rsidR="00E4153F" w:rsidRPr="00F87241" w:rsidRDefault="00E4153F" w:rsidP="00E4153F">
            <w:pPr>
              <w:keepNext/>
              <w:keepLines/>
              <w:spacing w:before="0" w:after="0"/>
              <w:rPr>
                <w:rFonts w:ascii="Arial Narrow" w:hAnsi="Arial Narrow"/>
                <w:color w:val="000000"/>
              </w:rPr>
            </w:pPr>
            <w:r>
              <w:rPr>
                <w:rFonts w:ascii="Arial Narrow" w:hAnsi="Arial Narrow"/>
                <w:color w:val="000000"/>
              </w:rPr>
              <w:t>ERT costs, IOGSD II first year only</w:t>
            </w:r>
            <w:r w:rsidR="00B12AFD">
              <w:rPr>
                <w:rFonts w:ascii="Arial Narrow" w:hAnsi="Arial Narrow"/>
                <w:color w:val="000000"/>
              </w:rPr>
              <w:t xml:space="preserve"> ($)</w:t>
            </w:r>
          </w:p>
        </w:tc>
        <w:tc>
          <w:tcPr>
            <w:tcW w:w="1134" w:type="dxa"/>
            <w:noWrap/>
            <w:vAlign w:val="center"/>
          </w:tcPr>
          <w:p w14:paraId="2DAE4A90" w14:textId="47BDA842" w:rsidR="00E4153F" w:rsidRPr="00E4153F" w:rsidRDefault="00E4153F" w:rsidP="007229D6">
            <w:pPr>
              <w:keepNext/>
              <w:keepLines/>
              <w:spacing w:before="0" w:after="0"/>
              <w:jc w:val="center"/>
              <w:rPr>
                <w:rFonts w:ascii="Arial Narrow" w:hAnsi="Arial Narrow"/>
                <w:color w:val="000000"/>
                <w:sz w:val="18"/>
                <w:szCs w:val="18"/>
                <w:highlight w:val="yellow"/>
              </w:rPr>
            </w:pPr>
            <w:r w:rsidRPr="00C400B9">
              <w:rPr>
                <w:rFonts w:ascii="Arial Narrow" w:hAnsi="Arial Narrow"/>
                <w:b/>
                <w:bCs/>
                <w:color w:val="000000"/>
              </w:rPr>
              <w:t>Redacted</w:t>
            </w:r>
          </w:p>
        </w:tc>
        <w:tc>
          <w:tcPr>
            <w:tcW w:w="1134" w:type="dxa"/>
            <w:noWrap/>
            <w:vAlign w:val="center"/>
          </w:tcPr>
          <w:p w14:paraId="126F4A63" w14:textId="51ECCBF5" w:rsidR="00E4153F" w:rsidRPr="00E4153F" w:rsidRDefault="00E4153F" w:rsidP="007229D6">
            <w:pPr>
              <w:keepNext/>
              <w:keepLines/>
              <w:spacing w:before="0" w:after="0"/>
              <w:jc w:val="center"/>
              <w:rPr>
                <w:rFonts w:ascii="Arial Narrow" w:hAnsi="Arial Narrow"/>
                <w:color w:val="000000"/>
                <w:sz w:val="18"/>
                <w:szCs w:val="18"/>
                <w:highlight w:val="yellow"/>
              </w:rPr>
            </w:pPr>
            <w:r w:rsidRPr="00C400B9">
              <w:rPr>
                <w:rFonts w:ascii="Arial Narrow" w:hAnsi="Arial Narrow"/>
                <w:b/>
                <w:bCs/>
                <w:color w:val="000000"/>
              </w:rPr>
              <w:t>Redacted</w:t>
            </w:r>
          </w:p>
        </w:tc>
        <w:tc>
          <w:tcPr>
            <w:tcW w:w="1134" w:type="dxa"/>
            <w:noWrap/>
            <w:vAlign w:val="center"/>
          </w:tcPr>
          <w:p w14:paraId="528563CC" w14:textId="045969FF" w:rsidR="00E4153F" w:rsidRPr="00E4153F" w:rsidRDefault="00E4153F" w:rsidP="007229D6">
            <w:pPr>
              <w:keepNext/>
              <w:keepLines/>
              <w:spacing w:before="0" w:after="0"/>
              <w:jc w:val="center"/>
              <w:rPr>
                <w:rFonts w:ascii="Arial Narrow" w:hAnsi="Arial Narrow"/>
                <w:color w:val="000000"/>
                <w:sz w:val="18"/>
                <w:szCs w:val="18"/>
                <w:highlight w:val="yellow"/>
              </w:rPr>
            </w:pPr>
            <w:r w:rsidRPr="00C400B9">
              <w:rPr>
                <w:rFonts w:ascii="Arial Narrow" w:hAnsi="Arial Narrow"/>
                <w:b/>
                <w:bCs/>
                <w:color w:val="000000"/>
              </w:rPr>
              <w:t>Redacted</w:t>
            </w:r>
          </w:p>
        </w:tc>
        <w:tc>
          <w:tcPr>
            <w:tcW w:w="1134" w:type="dxa"/>
            <w:noWrap/>
            <w:vAlign w:val="center"/>
          </w:tcPr>
          <w:p w14:paraId="62526CE9" w14:textId="75441601" w:rsidR="00E4153F" w:rsidRPr="00E4153F" w:rsidRDefault="00E4153F" w:rsidP="007229D6">
            <w:pPr>
              <w:keepNext/>
              <w:keepLines/>
              <w:spacing w:before="0" w:after="0"/>
              <w:jc w:val="center"/>
              <w:rPr>
                <w:rFonts w:ascii="Arial Narrow" w:hAnsi="Arial Narrow"/>
                <w:color w:val="000000"/>
                <w:sz w:val="18"/>
                <w:szCs w:val="18"/>
                <w:highlight w:val="yellow"/>
              </w:rPr>
            </w:pPr>
            <w:r w:rsidRPr="00C400B9">
              <w:rPr>
                <w:rFonts w:ascii="Arial Narrow" w:hAnsi="Arial Narrow"/>
                <w:b/>
                <w:bCs/>
                <w:color w:val="000000"/>
              </w:rPr>
              <w:t>Redacted</w:t>
            </w:r>
          </w:p>
        </w:tc>
        <w:tc>
          <w:tcPr>
            <w:tcW w:w="1134" w:type="dxa"/>
            <w:noWrap/>
            <w:vAlign w:val="center"/>
          </w:tcPr>
          <w:p w14:paraId="0F2924C1" w14:textId="500D114F" w:rsidR="00E4153F" w:rsidRPr="00E4153F" w:rsidRDefault="00E4153F" w:rsidP="007229D6">
            <w:pPr>
              <w:keepNext/>
              <w:keepLines/>
              <w:spacing w:before="0" w:after="0"/>
              <w:jc w:val="center"/>
              <w:rPr>
                <w:rFonts w:ascii="Arial Narrow" w:hAnsi="Arial Narrow"/>
                <w:color w:val="000000"/>
                <w:sz w:val="18"/>
                <w:szCs w:val="18"/>
                <w:highlight w:val="yellow"/>
              </w:rPr>
            </w:pPr>
            <w:r w:rsidRPr="00C400B9">
              <w:rPr>
                <w:rFonts w:ascii="Arial Narrow" w:hAnsi="Arial Narrow"/>
                <w:b/>
                <w:bCs/>
                <w:color w:val="000000"/>
              </w:rPr>
              <w:t>Redacted</w:t>
            </w:r>
          </w:p>
        </w:tc>
        <w:tc>
          <w:tcPr>
            <w:tcW w:w="1085" w:type="dxa"/>
            <w:noWrap/>
            <w:vAlign w:val="center"/>
          </w:tcPr>
          <w:p w14:paraId="3873A820" w14:textId="205DE1BD" w:rsidR="00E4153F" w:rsidRPr="00E4153F" w:rsidRDefault="00E4153F" w:rsidP="007229D6">
            <w:pPr>
              <w:keepNext/>
              <w:keepLines/>
              <w:spacing w:before="0" w:after="0"/>
              <w:jc w:val="center"/>
              <w:rPr>
                <w:rFonts w:ascii="Arial Narrow" w:hAnsi="Arial Narrow"/>
                <w:color w:val="000000"/>
                <w:sz w:val="18"/>
                <w:szCs w:val="18"/>
                <w:highlight w:val="yellow"/>
              </w:rPr>
            </w:pPr>
            <w:r w:rsidRPr="00C400B9">
              <w:rPr>
                <w:rFonts w:ascii="Arial Narrow" w:hAnsi="Arial Narrow"/>
                <w:b/>
                <w:bCs/>
                <w:color w:val="000000"/>
              </w:rPr>
              <w:t>Redacted</w:t>
            </w:r>
          </w:p>
        </w:tc>
      </w:tr>
      <w:tr w:rsidR="00E4153F" w:rsidRPr="00F87241" w14:paraId="17E02769" w14:textId="77777777" w:rsidTr="007229D6">
        <w:trPr>
          <w:trHeight w:val="255"/>
        </w:trPr>
        <w:tc>
          <w:tcPr>
            <w:tcW w:w="2263" w:type="dxa"/>
            <w:noWrap/>
            <w:vAlign w:val="bottom"/>
            <w:hideMark/>
          </w:tcPr>
          <w:p w14:paraId="1CD6C02A" w14:textId="1E0583A0" w:rsidR="00E4153F" w:rsidRPr="00F87241" w:rsidRDefault="00E4153F" w:rsidP="00E4153F">
            <w:pPr>
              <w:keepNext/>
              <w:keepLines/>
              <w:spacing w:before="0" w:after="0"/>
              <w:rPr>
                <w:rFonts w:ascii="Arial Narrow" w:hAnsi="Arial Narrow"/>
                <w:color w:val="000000"/>
              </w:rPr>
            </w:pPr>
            <w:r>
              <w:rPr>
                <w:rFonts w:ascii="Arial Narrow" w:hAnsi="Arial Narrow"/>
                <w:color w:val="000000"/>
              </w:rPr>
              <w:t>ERT costs, LOGSD II</w:t>
            </w:r>
            <w:r w:rsidR="00B12AFD">
              <w:rPr>
                <w:rFonts w:ascii="Arial Narrow" w:hAnsi="Arial Narrow"/>
                <w:color w:val="000000"/>
              </w:rPr>
              <w:t xml:space="preserve"> ($)</w:t>
            </w:r>
          </w:p>
        </w:tc>
        <w:tc>
          <w:tcPr>
            <w:tcW w:w="1134" w:type="dxa"/>
            <w:noWrap/>
            <w:vAlign w:val="center"/>
          </w:tcPr>
          <w:p w14:paraId="7596C686" w14:textId="4CA9C190" w:rsidR="00E4153F" w:rsidRPr="00E4153F" w:rsidRDefault="00E4153F" w:rsidP="007229D6">
            <w:pPr>
              <w:keepNext/>
              <w:keepLines/>
              <w:spacing w:before="0" w:after="0"/>
              <w:jc w:val="center"/>
              <w:rPr>
                <w:rFonts w:ascii="Arial Narrow" w:hAnsi="Arial Narrow"/>
                <w:color w:val="000000"/>
                <w:sz w:val="18"/>
                <w:szCs w:val="18"/>
                <w:highlight w:val="yellow"/>
              </w:rPr>
            </w:pPr>
            <w:r w:rsidRPr="00C400B9">
              <w:rPr>
                <w:rFonts w:ascii="Arial Narrow" w:hAnsi="Arial Narrow"/>
                <w:b/>
                <w:bCs/>
                <w:color w:val="000000"/>
              </w:rPr>
              <w:t>Redacted</w:t>
            </w:r>
          </w:p>
        </w:tc>
        <w:tc>
          <w:tcPr>
            <w:tcW w:w="1134" w:type="dxa"/>
            <w:noWrap/>
            <w:vAlign w:val="center"/>
          </w:tcPr>
          <w:p w14:paraId="344AF685" w14:textId="27738A1B" w:rsidR="00E4153F" w:rsidRPr="00E4153F" w:rsidRDefault="00E4153F" w:rsidP="007229D6">
            <w:pPr>
              <w:keepNext/>
              <w:keepLines/>
              <w:spacing w:before="0" w:after="0"/>
              <w:jc w:val="center"/>
              <w:rPr>
                <w:rFonts w:ascii="Arial Narrow" w:hAnsi="Arial Narrow"/>
                <w:color w:val="000000"/>
                <w:sz w:val="18"/>
                <w:szCs w:val="18"/>
                <w:highlight w:val="yellow"/>
              </w:rPr>
            </w:pPr>
            <w:r w:rsidRPr="00C400B9">
              <w:rPr>
                <w:rFonts w:ascii="Arial Narrow" w:hAnsi="Arial Narrow"/>
                <w:b/>
                <w:bCs/>
                <w:color w:val="000000"/>
              </w:rPr>
              <w:t>Redacted</w:t>
            </w:r>
          </w:p>
        </w:tc>
        <w:tc>
          <w:tcPr>
            <w:tcW w:w="1134" w:type="dxa"/>
            <w:noWrap/>
            <w:vAlign w:val="center"/>
          </w:tcPr>
          <w:p w14:paraId="3AE01F43" w14:textId="1685EAA7" w:rsidR="00E4153F" w:rsidRPr="00E4153F" w:rsidRDefault="00E4153F" w:rsidP="007229D6">
            <w:pPr>
              <w:keepNext/>
              <w:keepLines/>
              <w:spacing w:before="0" w:after="0"/>
              <w:jc w:val="center"/>
              <w:rPr>
                <w:rFonts w:ascii="Arial Narrow" w:hAnsi="Arial Narrow"/>
                <w:color w:val="000000"/>
                <w:sz w:val="18"/>
                <w:szCs w:val="18"/>
                <w:highlight w:val="yellow"/>
              </w:rPr>
            </w:pPr>
            <w:r w:rsidRPr="00C400B9">
              <w:rPr>
                <w:rFonts w:ascii="Arial Narrow" w:hAnsi="Arial Narrow"/>
                <w:b/>
                <w:bCs/>
                <w:color w:val="000000"/>
              </w:rPr>
              <w:t>Redacted</w:t>
            </w:r>
          </w:p>
        </w:tc>
        <w:tc>
          <w:tcPr>
            <w:tcW w:w="1134" w:type="dxa"/>
            <w:noWrap/>
            <w:vAlign w:val="center"/>
          </w:tcPr>
          <w:p w14:paraId="431C2A1A" w14:textId="2A87CF07" w:rsidR="00E4153F" w:rsidRPr="00E4153F" w:rsidRDefault="00E4153F" w:rsidP="007229D6">
            <w:pPr>
              <w:keepNext/>
              <w:keepLines/>
              <w:spacing w:before="0" w:after="0"/>
              <w:jc w:val="center"/>
              <w:rPr>
                <w:rFonts w:ascii="Arial Narrow" w:hAnsi="Arial Narrow"/>
                <w:color w:val="000000"/>
                <w:sz w:val="18"/>
                <w:szCs w:val="18"/>
                <w:highlight w:val="yellow"/>
              </w:rPr>
            </w:pPr>
            <w:r w:rsidRPr="00C400B9">
              <w:rPr>
                <w:rFonts w:ascii="Arial Narrow" w:hAnsi="Arial Narrow"/>
                <w:b/>
                <w:bCs/>
                <w:color w:val="000000"/>
              </w:rPr>
              <w:t>Redacted</w:t>
            </w:r>
          </w:p>
        </w:tc>
        <w:tc>
          <w:tcPr>
            <w:tcW w:w="1134" w:type="dxa"/>
            <w:noWrap/>
            <w:vAlign w:val="center"/>
          </w:tcPr>
          <w:p w14:paraId="2A87FC57" w14:textId="371E0886" w:rsidR="00E4153F" w:rsidRPr="00E4153F" w:rsidRDefault="00E4153F" w:rsidP="007229D6">
            <w:pPr>
              <w:keepNext/>
              <w:keepLines/>
              <w:spacing w:before="0" w:after="0"/>
              <w:jc w:val="center"/>
              <w:rPr>
                <w:rFonts w:ascii="Arial Narrow" w:hAnsi="Arial Narrow"/>
                <w:color w:val="000000"/>
                <w:sz w:val="18"/>
                <w:szCs w:val="18"/>
                <w:highlight w:val="yellow"/>
              </w:rPr>
            </w:pPr>
            <w:r w:rsidRPr="00C400B9">
              <w:rPr>
                <w:rFonts w:ascii="Arial Narrow" w:hAnsi="Arial Narrow"/>
                <w:b/>
                <w:bCs/>
                <w:color w:val="000000"/>
              </w:rPr>
              <w:t>Redacted</w:t>
            </w:r>
          </w:p>
        </w:tc>
        <w:tc>
          <w:tcPr>
            <w:tcW w:w="1085" w:type="dxa"/>
            <w:noWrap/>
            <w:vAlign w:val="center"/>
          </w:tcPr>
          <w:p w14:paraId="3DE867BA" w14:textId="1639D360" w:rsidR="00E4153F" w:rsidRPr="00E4153F" w:rsidRDefault="00E4153F" w:rsidP="007229D6">
            <w:pPr>
              <w:keepNext/>
              <w:keepLines/>
              <w:spacing w:before="0" w:after="0"/>
              <w:jc w:val="center"/>
              <w:rPr>
                <w:rFonts w:ascii="Arial Narrow" w:hAnsi="Arial Narrow"/>
                <w:color w:val="000000"/>
                <w:sz w:val="18"/>
                <w:szCs w:val="18"/>
                <w:highlight w:val="yellow"/>
              </w:rPr>
            </w:pPr>
            <w:r w:rsidRPr="00C400B9">
              <w:rPr>
                <w:rFonts w:ascii="Arial Narrow" w:hAnsi="Arial Narrow"/>
                <w:b/>
                <w:bCs/>
                <w:color w:val="000000"/>
              </w:rPr>
              <w:t>Redacted</w:t>
            </w:r>
          </w:p>
        </w:tc>
      </w:tr>
      <w:tr w:rsidR="00E4153F" w:rsidRPr="00F53811" w14:paraId="2189C284" w14:textId="77777777" w:rsidTr="007229D6">
        <w:trPr>
          <w:trHeight w:val="255"/>
        </w:trPr>
        <w:tc>
          <w:tcPr>
            <w:tcW w:w="2263" w:type="dxa"/>
            <w:noWrap/>
            <w:vAlign w:val="bottom"/>
            <w:hideMark/>
          </w:tcPr>
          <w:p w14:paraId="0D549CA6" w14:textId="4A48CFC8" w:rsidR="00E4153F" w:rsidRPr="00F53811" w:rsidRDefault="00E4153F" w:rsidP="00E4153F">
            <w:pPr>
              <w:keepNext/>
              <w:keepLines/>
              <w:spacing w:before="0" w:after="0"/>
              <w:rPr>
                <w:rFonts w:ascii="Arial Narrow" w:hAnsi="Arial Narrow"/>
                <w:b/>
                <w:bCs/>
                <w:color w:val="000000"/>
              </w:rPr>
            </w:pPr>
            <w:r>
              <w:rPr>
                <w:rFonts w:ascii="Arial Narrow" w:hAnsi="Arial Narrow"/>
                <w:b/>
                <w:bCs/>
                <w:color w:val="000000"/>
              </w:rPr>
              <w:t>Total</w:t>
            </w:r>
            <w:r w:rsidRPr="00F53811">
              <w:rPr>
                <w:rFonts w:ascii="Arial Narrow" w:hAnsi="Arial Narrow"/>
                <w:b/>
                <w:bCs/>
                <w:color w:val="000000"/>
              </w:rPr>
              <w:t xml:space="preserve"> costs to LSDP</w:t>
            </w:r>
            <w:r>
              <w:rPr>
                <w:rFonts w:ascii="Arial Narrow" w:hAnsi="Arial Narrow"/>
                <w:b/>
                <w:bCs/>
                <w:color w:val="000000"/>
              </w:rPr>
              <w:t xml:space="preserve"> (current practice)</w:t>
            </w:r>
            <w:r w:rsidR="00B12AFD">
              <w:rPr>
                <w:rFonts w:ascii="Arial Narrow" w:hAnsi="Arial Narrow"/>
                <w:b/>
                <w:bCs/>
                <w:color w:val="000000"/>
              </w:rPr>
              <w:t xml:space="preserve"> ($)</w:t>
            </w:r>
          </w:p>
        </w:tc>
        <w:tc>
          <w:tcPr>
            <w:tcW w:w="1134" w:type="dxa"/>
            <w:noWrap/>
            <w:vAlign w:val="center"/>
          </w:tcPr>
          <w:p w14:paraId="020A33F2" w14:textId="436EC36C" w:rsidR="00E4153F" w:rsidRPr="00E4153F" w:rsidRDefault="00E4153F" w:rsidP="007229D6">
            <w:pPr>
              <w:keepNext/>
              <w:keepLines/>
              <w:spacing w:before="0" w:after="0"/>
              <w:jc w:val="center"/>
              <w:rPr>
                <w:rFonts w:ascii="Arial Narrow" w:hAnsi="Arial Narrow"/>
                <w:b/>
                <w:color w:val="000000"/>
                <w:sz w:val="18"/>
                <w:szCs w:val="18"/>
                <w:highlight w:val="yellow"/>
              </w:rPr>
            </w:pPr>
            <w:r w:rsidRPr="00C400B9">
              <w:rPr>
                <w:rFonts w:ascii="Arial Narrow" w:hAnsi="Arial Narrow"/>
                <w:b/>
                <w:bCs/>
                <w:color w:val="000000"/>
              </w:rPr>
              <w:t>Redacted</w:t>
            </w:r>
          </w:p>
        </w:tc>
        <w:tc>
          <w:tcPr>
            <w:tcW w:w="1134" w:type="dxa"/>
            <w:noWrap/>
            <w:vAlign w:val="center"/>
          </w:tcPr>
          <w:p w14:paraId="5C7781C3" w14:textId="0B4BCCE5" w:rsidR="00E4153F" w:rsidRPr="00E4153F" w:rsidRDefault="00E4153F" w:rsidP="007229D6">
            <w:pPr>
              <w:keepNext/>
              <w:keepLines/>
              <w:spacing w:before="0" w:after="0"/>
              <w:jc w:val="center"/>
              <w:rPr>
                <w:rFonts w:ascii="Arial Narrow" w:hAnsi="Arial Narrow"/>
                <w:b/>
                <w:color w:val="000000"/>
                <w:sz w:val="18"/>
                <w:szCs w:val="18"/>
                <w:highlight w:val="yellow"/>
              </w:rPr>
            </w:pPr>
            <w:r w:rsidRPr="00C400B9">
              <w:rPr>
                <w:rFonts w:ascii="Arial Narrow" w:hAnsi="Arial Narrow"/>
                <w:b/>
                <w:bCs/>
                <w:color w:val="000000"/>
              </w:rPr>
              <w:t>Redacted</w:t>
            </w:r>
          </w:p>
        </w:tc>
        <w:tc>
          <w:tcPr>
            <w:tcW w:w="1134" w:type="dxa"/>
            <w:noWrap/>
            <w:vAlign w:val="center"/>
          </w:tcPr>
          <w:p w14:paraId="6FB9EE2E" w14:textId="76002BAE" w:rsidR="00E4153F" w:rsidRPr="00E4153F" w:rsidRDefault="00E4153F" w:rsidP="007229D6">
            <w:pPr>
              <w:keepNext/>
              <w:keepLines/>
              <w:spacing w:before="0" w:after="0"/>
              <w:jc w:val="center"/>
              <w:rPr>
                <w:rFonts w:ascii="Arial Narrow" w:hAnsi="Arial Narrow"/>
                <w:b/>
                <w:color w:val="000000"/>
                <w:sz w:val="18"/>
                <w:szCs w:val="18"/>
                <w:highlight w:val="yellow"/>
              </w:rPr>
            </w:pPr>
            <w:r w:rsidRPr="00C400B9">
              <w:rPr>
                <w:rFonts w:ascii="Arial Narrow" w:hAnsi="Arial Narrow"/>
                <w:b/>
                <w:bCs/>
                <w:color w:val="000000"/>
              </w:rPr>
              <w:t>Redacted</w:t>
            </w:r>
          </w:p>
        </w:tc>
        <w:tc>
          <w:tcPr>
            <w:tcW w:w="1134" w:type="dxa"/>
            <w:noWrap/>
            <w:vAlign w:val="center"/>
          </w:tcPr>
          <w:p w14:paraId="4AF35179" w14:textId="7F989EC7" w:rsidR="00E4153F" w:rsidRPr="00E4153F" w:rsidRDefault="00E4153F" w:rsidP="007229D6">
            <w:pPr>
              <w:keepNext/>
              <w:keepLines/>
              <w:spacing w:before="0" w:after="0"/>
              <w:jc w:val="center"/>
              <w:rPr>
                <w:rFonts w:ascii="Arial Narrow" w:hAnsi="Arial Narrow"/>
                <w:b/>
                <w:color w:val="000000"/>
                <w:sz w:val="18"/>
                <w:szCs w:val="18"/>
                <w:highlight w:val="yellow"/>
              </w:rPr>
            </w:pPr>
            <w:r w:rsidRPr="00C400B9">
              <w:rPr>
                <w:rFonts w:ascii="Arial Narrow" w:hAnsi="Arial Narrow"/>
                <w:b/>
                <w:bCs/>
                <w:color w:val="000000"/>
              </w:rPr>
              <w:t>Redacted</w:t>
            </w:r>
          </w:p>
        </w:tc>
        <w:tc>
          <w:tcPr>
            <w:tcW w:w="1134" w:type="dxa"/>
            <w:noWrap/>
            <w:vAlign w:val="center"/>
          </w:tcPr>
          <w:p w14:paraId="7389650C" w14:textId="1D104024" w:rsidR="00E4153F" w:rsidRPr="00E4153F" w:rsidRDefault="00E4153F" w:rsidP="007229D6">
            <w:pPr>
              <w:keepNext/>
              <w:keepLines/>
              <w:spacing w:before="0" w:after="0"/>
              <w:jc w:val="center"/>
              <w:rPr>
                <w:rFonts w:ascii="Arial Narrow" w:hAnsi="Arial Narrow"/>
                <w:b/>
                <w:color w:val="000000"/>
                <w:sz w:val="18"/>
                <w:szCs w:val="18"/>
                <w:highlight w:val="yellow"/>
              </w:rPr>
            </w:pPr>
            <w:r w:rsidRPr="00C400B9">
              <w:rPr>
                <w:rFonts w:ascii="Arial Narrow" w:hAnsi="Arial Narrow"/>
                <w:b/>
                <w:bCs/>
                <w:color w:val="000000"/>
              </w:rPr>
              <w:t>Redacted</w:t>
            </w:r>
          </w:p>
        </w:tc>
        <w:tc>
          <w:tcPr>
            <w:tcW w:w="1085" w:type="dxa"/>
            <w:noWrap/>
            <w:vAlign w:val="center"/>
          </w:tcPr>
          <w:p w14:paraId="78F6723F" w14:textId="137964B2" w:rsidR="00E4153F" w:rsidRPr="00E4153F" w:rsidRDefault="00E4153F" w:rsidP="007229D6">
            <w:pPr>
              <w:keepNext/>
              <w:keepLines/>
              <w:spacing w:before="0" w:after="0"/>
              <w:jc w:val="center"/>
              <w:rPr>
                <w:rFonts w:ascii="Arial Narrow" w:hAnsi="Arial Narrow"/>
                <w:b/>
                <w:color w:val="000000"/>
                <w:sz w:val="18"/>
                <w:szCs w:val="18"/>
                <w:highlight w:val="yellow"/>
              </w:rPr>
            </w:pPr>
            <w:r w:rsidRPr="00C400B9">
              <w:rPr>
                <w:rFonts w:ascii="Arial Narrow" w:hAnsi="Arial Narrow"/>
                <w:b/>
                <w:bCs/>
                <w:color w:val="000000"/>
              </w:rPr>
              <w:t>Redacted</w:t>
            </w:r>
          </w:p>
        </w:tc>
      </w:tr>
      <w:tr w:rsidR="00E4153F" w:rsidRPr="00F53811" w14:paraId="5EA1351F" w14:textId="77777777" w:rsidTr="007229D6">
        <w:trPr>
          <w:trHeight w:val="255"/>
        </w:trPr>
        <w:tc>
          <w:tcPr>
            <w:tcW w:w="2263" w:type="dxa"/>
            <w:noWrap/>
            <w:vAlign w:val="bottom"/>
            <w:hideMark/>
          </w:tcPr>
          <w:p w14:paraId="3CF7FD86" w14:textId="03973C2E" w:rsidR="00E4153F" w:rsidRPr="00F53811" w:rsidRDefault="00E4153F" w:rsidP="00E4153F">
            <w:pPr>
              <w:keepNext/>
              <w:keepLines/>
              <w:spacing w:before="0" w:after="0"/>
              <w:rPr>
                <w:rFonts w:ascii="Arial Narrow" w:hAnsi="Arial Narrow"/>
                <w:b/>
                <w:bCs/>
                <w:color w:val="000000"/>
              </w:rPr>
            </w:pPr>
            <w:r w:rsidRPr="00F53811">
              <w:rPr>
                <w:rFonts w:ascii="Arial Narrow" w:hAnsi="Arial Narrow"/>
                <w:b/>
                <w:bCs/>
                <w:color w:val="000000"/>
              </w:rPr>
              <w:t>Net costs to LSDP due to NBS</w:t>
            </w:r>
            <w:r w:rsidR="00B12AFD">
              <w:rPr>
                <w:rFonts w:ascii="Arial Narrow" w:hAnsi="Arial Narrow"/>
                <w:b/>
                <w:bCs/>
                <w:color w:val="000000"/>
              </w:rPr>
              <w:t xml:space="preserve"> ($)</w:t>
            </w:r>
          </w:p>
        </w:tc>
        <w:tc>
          <w:tcPr>
            <w:tcW w:w="1134" w:type="dxa"/>
            <w:noWrap/>
            <w:vAlign w:val="center"/>
          </w:tcPr>
          <w:p w14:paraId="10C5C0AB" w14:textId="3318BC4F" w:rsidR="00E4153F" w:rsidRPr="00E4153F" w:rsidRDefault="00E4153F" w:rsidP="007229D6">
            <w:pPr>
              <w:keepNext/>
              <w:keepLines/>
              <w:spacing w:before="0" w:after="0"/>
              <w:jc w:val="center"/>
              <w:rPr>
                <w:rFonts w:ascii="Arial Narrow" w:hAnsi="Arial Narrow"/>
                <w:b/>
                <w:color w:val="000000"/>
                <w:sz w:val="18"/>
                <w:szCs w:val="18"/>
                <w:highlight w:val="yellow"/>
              </w:rPr>
            </w:pPr>
            <w:r w:rsidRPr="00C400B9">
              <w:rPr>
                <w:rFonts w:ascii="Arial Narrow" w:hAnsi="Arial Narrow"/>
                <w:b/>
                <w:bCs/>
                <w:color w:val="000000"/>
              </w:rPr>
              <w:t>Redacted</w:t>
            </w:r>
          </w:p>
        </w:tc>
        <w:tc>
          <w:tcPr>
            <w:tcW w:w="1134" w:type="dxa"/>
            <w:noWrap/>
            <w:vAlign w:val="center"/>
          </w:tcPr>
          <w:p w14:paraId="0D7D2270" w14:textId="56FCECA7" w:rsidR="00E4153F" w:rsidRPr="00E4153F" w:rsidRDefault="00E4153F" w:rsidP="007229D6">
            <w:pPr>
              <w:keepNext/>
              <w:keepLines/>
              <w:spacing w:before="0" w:after="0"/>
              <w:jc w:val="center"/>
              <w:rPr>
                <w:rFonts w:ascii="Arial Narrow" w:hAnsi="Arial Narrow"/>
                <w:b/>
                <w:color w:val="000000"/>
                <w:sz w:val="18"/>
                <w:szCs w:val="18"/>
                <w:highlight w:val="yellow"/>
              </w:rPr>
            </w:pPr>
            <w:r w:rsidRPr="00C400B9">
              <w:rPr>
                <w:rFonts w:ascii="Arial Narrow" w:hAnsi="Arial Narrow"/>
                <w:b/>
                <w:bCs/>
                <w:color w:val="000000"/>
              </w:rPr>
              <w:t>Redacted</w:t>
            </w:r>
          </w:p>
        </w:tc>
        <w:tc>
          <w:tcPr>
            <w:tcW w:w="1134" w:type="dxa"/>
            <w:noWrap/>
            <w:vAlign w:val="center"/>
          </w:tcPr>
          <w:p w14:paraId="149ECCA6" w14:textId="400FA739" w:rsidR="00E4153F" w:rsidRPr="00E4153F" w:rsidRDefault="00E4153F" w:rsidP="007229D6">
            <w:pPr>
              <w:keepNext/>
              <w:keepLines/>
              <w:spacing w:before="0" w:after="0"/>
              <w:jc w:val="center"/>
              <w:rPr>
                <w:rFonts w:ascii="Arial Narrow" w:hAnsi="Arial Narrow"/>
                <w:b/>
                <w:color w:val="000000"/>
                <w:sz w:val="18"/>
                <w:szCs w:val="18"/>
                <w:highlight w:val="yellow"/>
              </w:rPr>
            </w:pPr>
            <w:r w:rsidRPr="00C400B9">
              <w:rPr>
                <w:rFonts w:ascii="Arial Narrow" w:hAnsi="Arial Narrow"/>
                <w:b/>
                <w:bCs/>
                <w:color w:val="000000"/>
              </w:rPr>
              <w:t>Redacted</w:t>
            </w:r>
          </w:p>
        </w:tc>
        <w:tc>
          <w:tcPr>
            <w:tcW w:w="1134" w:type="dxa"/>
            <w:noWrap/>
            <w:vAlign w:val="center"/>
          </w:tcPr>
          <w:p w14:paraId="2B1DCB5B" w14:textId="338F0668" w:rsidR="00E4153F" w:rsidRPr="00E4153F" w:rsidRDefault="00E4153F" w:rsidP="007229D6">
            <w:pPr>
              <w:keepNext/>
              <w:keepLines/>
              <w:spacing w:before="0" w:after="0"/>
              <w:jc w:val="center"/>
              <w:rPr>
                <w:rFonts w:ascii="Arial Narrow" w:hAnsi="Arial Narrow"/>
                <w:b/>
                <w:color w:val="000000"/>
                <w:sz w:val="18"/>
                <w:szCs w:val="18"/>
                <w:highlight w:val="yellow"/>
              </w:rPr>
            </w:pPr>
            <w:r w:rsidRPr="00C400B9">
              <w:rPr>
                <w:rFonts w:ascii="Arial Narrow" w:hAnsi="Arial Narrow"/>
                <w:b/>
                <w:bCs/>
                <w:color w:val="000000"/>
              </w:rPr>
              <w:t>Redacted</w:t>
            </w:r>
          </w:p>
        </w:tc>
        <w:tc>
          <w:tcPr>
            <w:tcW w:w="1134" w:type="dxa"/>
            <w:noWrap/>
            <w:vAlign w:val="center"/>
          </w:tcPr>
          <w:p w14:paraId="310F2DBD" w14:textId="10F58F50" w:rsidR="00E4153F" w:rsidRPr="00E4153F" w:rsidRDefault="00E4153F" w:rsidP="007229D6">
            <w:pPr>
              <w:keepNext/>
              <w:keepLines/>
              <w:spacing w:before="0" w:after="0"/>
              <w:jc w:val="center"/>
              <w:rPr>
                <w:rFonts w:ascii="Arial Narrow" w:hAnsi="Arial Narrow"/>
                <w:b/>
                <w:color w:val="000000"/>
                <w:sz w:val="18"/>
                <w:szCs w:val="18"/>
                <w:highlight w:val="yellow"/>
              </w:rPr>
            </w:pPr>
            <w:r w:rsidRPr="00C400B9">
              <w:rPr>
                <w:rFonts w:ascii="Arial Narrow" w:hAnsi="Arial Narrow"/>
                <w:b/>
                <w:bCs/>
                <w:color w:val="000000"/>
              </w:rPr>
              <w:t>Redacted</w:t>
            </w:r>
          </w:p>
        </w:tc>
        <w:tc>
          <w:tcPr>
            <w:tcW w:w="1085" w:type="dxa"/>
            <w:noWrap/>
            <w:vAlign w:val="center"/>
          </w:tcPr>
          <w:p w14:paraId="2E5A70AC" w14:textId="3787A723" w:rsidR="00E4153F" w:rsidRPr="00E4153F" w:rsidRDefault="00E4153F" w:rsidP="007229D6">
            <w:pPr>
              <w:keepNext/>
              <w:keepLines/>
              <w:spacing w:before="0" w:after="0"/>
              <w:jc w:val="center"/>
              <w:rPr>
                <w:rFonts w:ascii="Arial Narrow" w:hAnsi="Arial Narrow"/>
                <w:b/>
                <w:color w:val="000000"/>
                <w:sz w:val="18"/>
                <w:szCs w:val="18"/>
                <w:highlight w:val="yellow"/>
              </w:rPr>
            </w:pPr>
            <w:r w:rsidRPr="00C400B9">
              <w:rPr>
                <w:rFonts w:ascii="Arial Narrow" w:hAnsi="Arial Narrow"/>
                <w:b/>
                <w:bCs/>
                <w:color w:val="000000"/>
              </w:rPr>
              <w:t>Redacted</w:t>
            </w:r>
          </w:p>
        </w:tc>
      </w:tr>
    </w:tbl>
    <w:p w14:paraId="697FE0C4" w14:textId="77777777" w:rsidR="001F3F40" w:rsidRDefault="001F3F40" w:rsidP="00092CCC">
      <w:pPr>
        <w:pStyle w:val="Tablenotes"/>
        <w:keepNext/>
        <w:keepLines/>
      </w:pPr>
      <w:r>
        <w:t>ERT = enzyme replacement therapy; GSD II = glycogen storage disease Type II; IOGSD II = infantile-onset glycogen storage disease Type II; LOGSD II = late-onset glycogen storage disease Type II; LSDP = Life Saving Drugs Program; NBS = newborn bloodspot screening</w:t>
      </w:r>
    </w:p>
    <w:p w14:paraId="69DEBEBB" w14:textId="32D77D17" w:rsidR="001F3F40" w:rsidRDefault="001F3F40" w:rsidP="00C81A35">
      <w:r w:rsidRPr="02E2EE7D">
        <w:t xml:space="preserve">The financial impact was driven by the cost per screening. Number of births, prevalence of GSD II and the false positive rate for the first-tier screening had very low impact on the financial implications to NBS programs. </w:t>
      </w:r>
      <w:r>
        <w:fldChar w:fldCharType="begin"/>
      </w:r>
      <w:r>
        <w:instrText xml:space="preserve"> REF _Ref175163322 \h </w:instrText>
      </w:r>
      <w:r>
        <w:fldChar w:fldCharType="end"/>
      </w:r>
      <w:r w:rsidR="00F05AEC">
        <w:t xml:space="preserve">Table 18 </w:t>
      </w:r>
      <w:r w:rsidRPr="02E2EE7D">
        <w:t>presents the key sensitivity analysis.</w:t>
      </w:r>
    </w:p>
    <w:p w14:paraId="2147EB9F" w14:textId="0BF7621C" w:rsidR="001F3F40" w:rsidRDefault="001F3F40" w:rsidP="00C81A35">
      <w:pPr>
        <w:pStyle w:val="Caption"/>
      </w:pPr>
      <w:bookmarkStart w:id="66" w:name="_Ref175163322"/>
      <w:r>
        <w:t>Table</w:t>
      </w:r>
      <w:r w:rsidR="00D32374">
        <w:t xml:space="preserve"> </w:t>
      </w:r>
      <w:r w:rsidR="00707D22">
        <w:t>18</w:t>
      </w:r>
      <w:bookmarkEnd w:id="66"/>
      <w:r>
        <w:tab/>
        <w:t>Sensitivity analysis</w:t>
      </w:r>
    </w:p>
    <w:tbl>
      <w:tblPr>
        <w:tblW w:w="0" w:type="auto"/>
        <w:tblLayout w:type="fixed"/>
        <w:tblLook w:val="04A0" w:firstRow="1" w:lastRow="0" w:firstColumn="1" w:lastColumn="0" w:noHBand="0" w:noVBand="1"/>
      </w:tblPr>
      <w:tblGrid>
        <w:gridCol w:w="2122"/>
        <w:gridCol w:w="1134"/>
        <w:gridCol w:w="1134"/>
        <w:gridCol w:w="1134"/>
        <w:gridCol w:w="1134"/>
        <w:gridCol w:w="1134"/>
        <w:gridCol w:w="1224"/>
      </w:tblGrid>
      <w:tr w:rsidR="00E4153F" w:rsidRPr="0044416A" w14:paraId="5B89E8C9" w14:textId="77777777" w:rsidTr="007229D6">
        <w:trPr>
          <w:tblHeader/>
        </w:trPr>
        <w:tc>
          <w:tcPr>
            <w:tcW w:w="2122" w:type="dxa"/>
            <w:tcBorders>
              <w:top w:val="single" w:sz="4" w:space="0" w:color="auto"/>
              <w:left w:val="single" w:sz="4" w:space="0" w:color="auto"/>
              <w:bottom w:val="single" w:sz="4" w:space="0" w:color="auto"/>
              <w:right w:val="single" w:sz="4" w:space="0" w:color="auto"/>
            </w:tcBorders>
            <w:noWrap/>
            <w:vAlign w:val="bottom"/>
            <w:hideMark/>
          </w:tcPr>
          <w:p w14:paraId="5F26E483" w14:textId="77777777" w:rsidR="001F3F40" w:rsidRPr="0044416A" w:rsidRDefault="001F3F40" w:rsidP="00EC15A4">
            <w:pPr>
              <w:spacing w:before="0" w:after="0" w:line="240" w:lineRule="auto"/>
              <w:rPr>
                <w:rFonts w:ascii="Arial Narrow" w:eastAsia="Times New Roman" w:hAnsi="Arial Narrow" w:cs="Times New Roman"/>
                <w:color w:val="000000"/>
                <w:sz w:val="20"/>
                <w:szCs w:val="20"/>
                <w:lang w:eastAsia="en-AU"/>
              </w:rPr>
            </w:pPr>
            <w:r w:rsidRPr="0044416A">
              <w:rPr>
                <w:rFonts w:ascii="Arial Narrow" w:eastAsia="Times New Roman" w:hAnsi="Arial Narrow" w:cs="Times New Roman"/>
                <w:color w:val="000000"/>
                <w:sz w:val="20"/>
                <w:szCs w:val="20"/>
                <w:lang w:eastAsia="en-AU"/>
              </w:rPr>
              <w:t> </w:t>
            </w:r>
          </w:p>
        </w:tc>
        <w:tc>
          <w:tcPr>
            <w:tcW w:w="1134" w:type="dxa"/>
            <w:tcBorders>
              <w:top w:val="single" w:sz="4" w:space="0" w:color="auto"/>
              <w:left w:val="nil"/>
              <w:bottom w:val="single" w:sz="4" w:space="0" w:color="auto"/>
              <w:right w:val="single" w:sz="4" w:space="0" w:color="auto"/>
            </w:tcBorders>
            <w:noWrap/>
            <w:vAlign w:val="bottom"/>
            <w:hideMark/>
          </w:tcPr>
          <w:p w14:paraId="721966CE" w14:textId="77777777" w:rsidR="001F3F40" w:rsidRPr="0044416A" w:rsidRDefault="001F3F40" w:rsidP="00EC15A4">
            <w:pPr>
              <w:spacing w:before="0" w:after="0" w:line="240" w:lineRule="auto"/>
              <w:jc w:val="center"/>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2025−26</w:t>
            </w:r>
          </w:p>
        </w:tc>
        <w:tc>
          <w:tcPr>
            <w:tcW w:w="1134" w:type="dxa"/>
            <w:tcBorders>
              <w:top w:val="single" w:sz="4" w:space="0" w:color="auto"/>
              <w:left w:val="nil"/>
              <w:bottom w:val="single" w:sz="4" w:space="0" w:color="auto"/>
              <w:right w:val="single" w:sz="4" w:space="0" w:color="auto"/>
            </w:tcBorders>
            <w:noWrap/>
            <w:vAlign w:val="bottom"/>
            <w:hideMark/>
          </w:tcPr>
          <w:p w14:paraId="5389D848" w14:textId="77777777" w:rsidR="001F3F40" w:rsidRPr="0044416A" w:rsidRDefault="001F3F40" w:rsidP="00EC15A4">
            <w:pPr>
              <w:spacing w:before="0" w:after="0" w:line="240" w:lineRule="auto"/>
              <w:jc w:val="center"/>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2026−27</w:t>
            </w:r>
          </w:p>
        </w:tc>
        <w:tc>
          <w:tcPr>
            <w:tcW w:w="1134" w:type="dxa"/>
            <w:tcBorders>
              <w:top w:val="single" w:sz="4" w:space="0" w:color="auto"/>
              <w:left w:val="nil"/>
              <w:bottom w:val="single" w:sz="4" w:space="0" w:color="auto"/>
              <w:right w:val="single" w:sz="4" w:space="0" w:color="auto"/>
            </w:tcBorders>
            <w:noWrap/>
            <w:vAlign w:val="bottom"/>
            <w:hideMark/>
          </w:tcPr>
          <w:p w14:paraId="6A3B2E47" w14:textId="77777777" w:rsidR="001F3F40" w:rsidRPr="0044416A" w:rsidRDefault="001F3F40" w:rsidP="00EC15A4">
            <w:pPr>
              <w:spacing w:before="0" w:after="0" w:line="240" w:lineRule="auto"/>
              <w:jc w:val="center"/>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2027−28</w:t>
            </w:r>
          </w:p>
        </w:tc>
        <w:tc>
          <w:tcPr>
            <w:tcW w:w="1134" w:type="dxa"/>
            <w:tcBorders>
              <w:top w:val="single" w:sz="4" w:space="0" w:color="auto"/>
              <w:left w:val="nil"/>
              <w:bottom w:val="single" w:sz="4" w:space="0" w:color="auto"/>
              <w:right w:val="single" w:sz="4" w:space="0" w:color="auto"/>
            </w:tcBorders>
            <w:noWrap/>
            <w:vAlign w:val="bottom"/>
            <w:hideMark/>
          </w:tcPr>
          <w:p w14:paraId="7B6B37C0" w14:textId="77777777" w:rsidR="001F3F40" w:rsidRPr="0044416A" w:rsidRDefault="001F3F40" w:rsidP="00EC15A4">
            <w:pPr>
              <w:spacing w:before="0" w:after="0" w:line="240" w:lineRule="auto"/>
              <w:jc w:val="center"/>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2028−29</w:t>
            </w:r>
          </w:p>
        </w:tc>
        <w:tc>
          <w:tcPr>
            <w:tcW w:w="1134" w:type="dxa"/>
            <w:tcBorders>
              <w:top w:val="single" w:sz="4" w:space="0" w:color="auto"/>
              <w:left w:val="nil"/>
              <w:bottom w:val="single" w:sz="4" w:space="0" w:color="auto"/>
              <w:right w:val="single" w:sz="4" w:space="0" w:color="auto"/>
            </w:tcBorders>
            <w:noWrap/>
            <w:vAlign w:val="bottom"/>
            <w:hideMark/>
          </w:tcPr>
          <w:p w14:paraId="5B46B869" w14:textId="77777777" w:rsidR="001F3F40" w:rsidRPr="0044416A" w:rsidRDefault="001F3F40" w:rsidP="00EC15A4">
            <w:pPr>
              <w:spacing w:before="0" w:after="0" w:line="240" w:lineRule="auto"/>
              <w:jc w:val="center"/>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2029−30</w:t>
            </w:r>
          </w:p>
        </w:tc>
        <w:tc>
          <w:tcPr>
            <w:tcW w:w="1224" w:type="dxa"/>
            <w:tcBorders>
              <w:top w:val="single" w:sz="4" w:space="0" w:color="auto"/>
              <w:left w:val="nil"/>
              <w:bottom w:val="single" w:sz="4" w:space="0" w:color="auto"/>
              <w:right w:val="single" w:sz="4" w:space="0" w:color="auto"/>
            </w:tcBorders>
            <w:noWrap/>
            <w:vAlign w:val="bottom"/>
            <w:hideMark/>
          </w:tcPr>
          <w:p w14:paraId="431D7121" w14:textId="77777777" w:rsidR="001F3F40" w:rsidRPr="0044416A" w:rsidRDefault="001F3F40" w:rsidP="00EC15A4">
            <w:pPr>
              <w:spacing w:before="0" w:after="0" w:line="240" w:lineRule="auto"/>
              <w:jc w:val="center"/>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2030−31</w:t>
            </w:r>
          </w:p>
        </w:tc>
      </w:tr>
      <w:tr w:rsidR="00016B46" w:rsidRPr="00E4153F" w14:paraId="21AE34B1" w14:textId="77777777" w:rsidTr="007229D6">
        <w:tc>
          <w:tcPr>
            <w:tcW w:w="2122" w:type="dxa"/>
            <w:tcBorders>
              <w:top w:val="nil"/>
              <w:left w:val="single" w:sz="4" w:space="0" w:color="auto"/>
              <w:bottom w:val="single" w:sz="4" w:space="0" w:color="auto"/>
              <w:right w:val="single" w:sz="4" w:space="0" w:color="auto"/>
            </w:tcBorders>
            <w:noWrap/>
            <w:vAlign w:val="bottom"/>
            <w:hideMark/>
          </w:tcPr>
          <w:p w14:paraId="54B45324" w14:textId="77777777" w:rsidR="00016B46" w:rsidRPr="0044416A" w:rsidRDefault="00016B46" w:rsidP="00016B46">
            <w:pPr>
              <w:spacing w:before="0" w:after="0" w:line="240" w:lineRule="auto"/>
              <w:rPr>
                <w:rFonts w:ascii="Arial Narrow" w:eastAsia="Times New Roman" w:hAnsi="Arial Narrow" w:cs="Times New Roman"/>
                <w:b/>
                <w:bCs/>
                <w:color w:val="000000"/>
                <w:sz w:val="20"/>
                <w:szCs w:val="20"/>
                <w:lang w:eastAsia="en-AU"/>
              </w:rPr>
            </w:pPr>
            <w:r w:rsidRPr="0044416A">
              <w:rPr>
                <w:rFonts w:ascii="Arial Narrow" w:eastAsia="Times New Roman" w:hAnsi="Arial Narrow" w:cs="Times New Roman"/>
                <w:b/>
                <w:bCs/>
                <w:color w:val="000000"/>
                <w:sz w:val="20"/>
                <w:szCs w:val="20"/>
                <w:lang w:eastAsia="en-AU"/>
              </w:rPr>
              <w:t>Base case</w:t>
            </w:r>
          </w:p>
        </w:tc>
        <w:tc>
          <w:tcPr>
            <w:tcW w:w="1134" w:type="dxa"/>
            <w:tcBorders>
              <w:top w:val="nil"/>
              <w:left w:val="nil"/>
              <w:bottom w:val="single" w:sz="4" w:space="0" w:color="auto"/>
              <w:right w:val="single" w:sz="4" w:space="0" w:color="auto"/>
            </w:tcBorders>
            <w:noWrap/>
            <w:vAlign w:val="bottom"/>
            <w:hideMark/>
          </w:tcPr>
          <w:p w14:paraId="24E66A0A" w14:textId="05AB3F47" w:rsidR="00016B46" w:rsidRPr="00016B46" w:rsidRDefault="00016B46" w:rsidP="00016B46">
            <w:pPr>
              <w:spacing w:before="0" w:after="0" w:line="240" w:lineRule="auto"/>
              <w:jc w:val="right"/>
              <w:rPr>
                <w:rFonts w:ascii="Arial Narrow" w:eastAsia="Times New Roman" w:hAnsi="Arial Narrow" w:cs="Times New Roman"/>
                <w:b/>
                <w:bCs/>
                <w:color w:val="000000"/>
                <w:sz w:val="18"/>
                <w:szCs w:val="18"/>
                <w:lang w:eastAsia="en-AU"/>
              </w:rPr>
            </w:pPr>
            <w:r w:rsidRPr="00016B46">
              <w:rPr>
                <w:rFonts w:ascii="Arial Narrow" w:hAnsi="Arial Narrow"/>
                <w:b/>
                <w:bCs/>
                <w:color w:val="000000"/>
                <w:sz w:val="18"/>
                <w:szCs w:val="18"/>
              </w:rPr>
              <w:t>$</w:t>
            </w:r>
            <w:r w:rsidRPr="00C400B9">
              <w:rPr>
                <w:rFonts w:ascii="Arial Narrow" w:hAnsi="Arial Narrow"/>
                <w:b/>
                <w:bCs/>
                <w:color w:val="000000"/>
                <w:sz w:val="20"/>
                <w:szCs w:val="20"/>
              </w:rPr>
              <w:t xml:space="preserve"> Redacted</w:t>
            </w:r>
          </w:p>
        </w:tc>
        <w:tc>
          <w:tcPr>
            <w:tcW w:w="1134" w:type="dxa"/>
            <w:tcBorders>
              <w:top w:val="nil"/>
              <w:left w:val="nil"/>
              <w:bottom w:val="single" w:sz="4" w:space="0" w:color="auto"/>
              <w:right w:val="single" w:sz="4" w:space="0" w:color="auto"/>
            </w:tcBorders>
            <w:noWrap/>
            <w:hideMark/>
          </w:tcPr>
          <w:p w14:paraId="367ED2EE" w14:textId="499BCFF3" w:rsidR="00016B46" w:rsidRPr="00016B46" w:rsidRDefault="00016B46" w:rsidP="00016B46">
            <w:pPr>
              <w:spacing w:before="0" w:after="0" w:line="240" w:lineRule="auto"/>
              <w:jc w:val="right"/>
              <w:rPr>
                <w:rFonts w:ascii="Arial Narrow" w:eastAsia="Times New Roman" w:hAnsi="Arial Narrow" w:cs="Times New Roman"/>
                <w:b/>
                <w:bCs/>
                <w:color w:val="000000"/>
                <w:sz w:val="18"/>
                <w:szCs w:val="18"/>
                <w:lang w:eastAsia="en-AU"/>
              </w:rPr>
            </w:pPr>
            <w:r>
              <w:rPr>
                <w:rFonts w:ascii="Arial Narrow" w:hAnsi="Arial Narrow"/>
                <w:b/>
                <w:bCs/>
                <w:color w:val="000000"/>
                <w:sz w:val="20"/>
                <w:szCs w:val="20"/>
              </w:rPr>
              <w:t>$</w:t>
            </w:r>
            <w:r w:rsidRPr="00484F06">
              <w:rPr>
                <w:rFonts w:ascii="Arial Narrow" w:hAnsi="Arial Narrow"/>
                <w:b/>
                <w:bCs/>
                <w:color w:val="000000"/>
                <w:sz w:val="20"/>
                <w:szCs w:val="20"/>
              </w:rPr>
              <w:t>Redacted</w:t>
            </w:r>
          </w:p>
        </w:tc>
        <w:tc>
          <w:tcPr>
            <w:tcW w:w="1134" w:type="dxa"/>
            <w:tcBorders>
              <w:top w:val="nil"/>
              <w:left w:val="nil"/>
              <w:bottom w:val="single" w:sz="4" w:space="0" w:color="auto"/>
              <w:right w:val="single" w:sz="4" w:space="0" w:color="auto"/>
            </w:tcBorders>
            <w:noWrap/>
            <w:hideMark/>
          </w:tcPr>
          <w:p w14:paraId="3A6ED15F" w14:textId="0DF2E5B3" w:rsidR="00016B46" w:rsidRPr="00016B46" w:rsidRDefault="00016B46" w:rsidP="00016B46">
            <w:pPr>
              <w:spacing w:before="0" w:after="0" w:line="240" w:lineRule="auto"/>
              <w:jc w:val="right"/>
              <w:rPr>
                <w:rFonts w:ascii="Arial Narrow" w:eastAsia="Times New Roman" w:hAnsi="Arial Narrow" w:cs="Times New Roman"/>
                <w:b/>
                <w:bCs/>
                <w:color w:val="000000"/>
                <w:sz w:val="18"/>
                <w:szCs w:val="18"/>
                <w:lang w:eastAsia="en-AU"/>
              </w:rPr>
            </w:pPr>
            <w:r>
              <w:rPr>
                <w:rFonts w:ascii="Arial Narrow" w:hAnsi="Arial Narrow"/>
                <w:b/>
                <w:bCs/>
                <w:color w:val="000000"/>
                <w:sz w:val="20"/>
                <w:szCs w:val="20"/>
              </w:rPr>
              <w:t>$</w:t>
            </w:r>
            <w:r w:rsidRPr="00484F06">
              <w:rPr>
                <w:rFonts w:ascii="Arial Narrow" w:hAnsi="Arial Narrow"/>
                <w:b/>
                <w:bCs/>
                <w:color w:val="000000"/>
                <w:sz w:val="20"/>
                <w:szCs w:val="20"/>
              </w:rPr>
              <w:t>Redacted</w:t>
            </w:r>
          </w:p>
        </w:tc>
        <w:tc>
          <w:tcPr>
            <w:tcW w:w="1134" w:type="dxa"/>
            <w:tcBorders>
              <w:top w:val="nil"/>
              <w:left w:val="nil"/>
              <w:bottom w:val="single" w:sz="4" w:space="0" w:color="auto"/>
              <w:right w:val="single" w:sz="4" w:space="0" w:color="auto"/>
            </w:tcBorders>
            <w:noWrap/>
            <w:hideMark/>
          </w:tcPr>
          <w:p w14:paraId="48630C58" w14:textId="765AB639" w:rsidR="00016B46" w:rsidRPr="00016B46" w:rsidRDefault="00016B46" w:rsidP="00016B46">
            <w:pPr>
              <w:spacing w:before="0" w:after="0" w:line="240" w:lineRule="auto"/>
              <w:jc w:val="right"/>
              <w:rPr>
                <w:rFonts w:ascii="Arial Narrow" w:eastAsia="Times New Roman" w:hAnsi="Arial Narrow" w:cs="Times New Roman"/>
                <w:b/>
                <w:bCs/>
                <w:color w:val="000000"/>
                <w:sz w:val="18"/>
                <w:szCs w:val="18"/>
                <w:lang w:eastAsia="en-AU"/>
              </w:rPr>
            </w:pPr>
            <w:r>
              <w:rPr>
                <w:rFonts w:ascii="Arial Narrow" w:hAnsi="Arial Narrow"/>
                <w:b/>
                <w:bCs/>
                <w:color w:val="000000"/>
                <w:sz w:val="20"/>
                <w:szCs w:val="20"/>
              </w:rPr>
              <w:t>$</w:t>
            </w:r>
            <w:r w:rsidRPr="00484F06">
              <w:rPr>
                <w:rFonts w:ascii="Arial Narrow" w:hAnsi="Arial Narrow"/>
                <w:b/>
                <w:bCs/>
                <w:color w:val="000000"/>
                <w:sz w:val="20"/>
                <w:szCs w:val="20"/>
              </w:rPr>
              <w:t>Redacted</w:t>
            </w:r>
          </w:p>
        </w:tc>
        <w:tc>
          <w:tcPr>
            <w:tcW w:w="1134" w:type="dxa"/>
            <w:tcBorders>
              <w:top w:val="nil"/>
              <w:left w:val="nil"/>
              <w:bottom w:val="single" w:sz="4" w:space="0" w:color="auto"/>
              <w:right w:val="single" w:sz="4" w:space="0" w:color="auto"/>
            </w:tcBorders>
            <w:noWrap/>
            <w:hideMark/>
          </w:tcPr>
          <w:p w14:paraId="1ADD55DA" w14:textId="551878C0" w:rsidR="00016B46" w:rsidRPr="00016B46" w:rsidRDefault="00016B46" w:rsidP="00016B46">
            <w:pPr>
              <w:spacing w:before="0" w:after="0" w:line="240" w:lineRule="auto"/>
              <w:jc w:val="right"/>
              <w:rPr>
                <w:rFonts w:ascii="Arial Narrow" w:eastAsia="Times New Roman" w:hAnsi="Arial Narrow" w:cs="Times New Roman"/>
                <w:b/>
                <w:bCs/>
                <w:color w:val="000000"/>
                <w:sz w:val="18"/>
                <w:szCs w:val="18"/>
                <w:lang w:eastAsia="en-AU"/>
              </w:rPr>
            </w:pPr>
            <w:r>
              <w:rPr>
                <w:rFonts w:ascii="Arial Narrow" w:hAnsi="Arial Narrow"/>
                <w:b/>
                <w:bCs/>
                <w:color w:val="000000"/>
                <w:sz w:val="20"/>
                <w:szCs w:val="20"/>
              </w:rPr>
              <w:t>$</w:t>
            </w:r>
            <w:r w:rsidRPr="00484F06">
              <w:rPr>
                <w:rFonts w:ascii="Arial Narrow" w:hAnsi="Arial Narrow"/>
                <w:b/>
                <w:bCs/>
                <w:color w:val="000000"/>
                <w:sz w:val="20"/>
                <w:szCs w:val="20"/>
              </w:rPr>
              <w:t>Redacted</w:t>
            </w:r>
          </w:p>
        </w:tc>
        <w:tc>
          <w:tcPr>
            <w:tcW w:w="1224" w:type="dxa"/>
            <w:tcBorders>
              <w:top w:val="nil"/>
              <w:left w:val="nil"/>
              <w:bottom w:val="single" w:sz="4" w:space="0" w:color="auto"/>
              <w:right w:val="single" w:sz="4" w:space="0" w:color="auto"/>
            </w:tcBorders>
            <w:noWrap/>
            <w:hideMark/>
          </w:tcPr>
          <w:p w14:paraId="3833436B" w14:textId="128D2C4B" w:rsidR="00016B46" w:rsidRPr="00016B46" w:rsidRDefault="00016B46" w:rsidP="00016B46">
            <w:pPr>
              <w:spacing w:before="0" w:after="0" w:line="240" w:lineRule="auto"/>
              <w:jc w:val="right"/>
              <w:rPr>
                <w:rFonts w:ascii="Arial Narrow" w:eastAsia="Times New Roman" w:hAnsi="Arial Narrow" w:cs="Times New Roman"/>
                <w:b/>
                <w:bCs/>
                <w:color w:val="000000"/>
                <w:sz w:val="18"/>
                <w:szCs w:val="18"/>
                <w:lang w:eastAsia="en-AU"/>
              </w:rPr>
            </w:pPr>
            <w:r>
              <w:rPr>
                <w:rFonts w:ascii="Arial Narrow" w:hAnsi="Arial Narrow"/>
                <w:b/>
                <w:bCs/>
                <w:color w:val="000000"/>
                <w:sz w:val="20"/>
                <w:szCs w:val="20"/>
              </w:rPr>
              <w:t>$</w:t>
            </w:r>
            <w:r w:rsidRPr="00484F06">
              <w:rPr>
                <w:rFonts w:ascii="Arial Narrow" w:hAnsi="Arial Narrow"/>
                <w:b/>
                <w:bCs/>
                <w:color w:val="000000"/>
                <w:sz w:val="20"/>
                <w:szCs w:val="20"/>
              </w:rPr>
              <w:t>Redacted</w:t>
            </w:r>
          </w:p>
        </w:tc>
      </w:tr>
      <w:tr w:rsidR="001F3F40" w:rsidRPr="0044416A" w14:paraId="28978419" w14:textId="77777777" w:rsidTr="007229D6">
        <w:tc>
          <w:tcPr>
            <w:tcW w:w="9016" w:type="dxa"/>
            <w:gridSpan w:val="7"/>
            <w:tcBorders>
              <w:top w:val="nil"/>
              <w:left w:val="single" w:sz="4" w:space="0" w:color="auto"/>
              <w:bottom w:val="single" w:sz="4" w:space="0" w:color="auto"/>
              <w:right w:val="single" w:sz="4" w:space="0" w:color="auto"/>
            </w:tcBorders>
            <w:noWrap/>
            <w:vAlign w:val="bottom"/>
            <w:hideMark/>
          </w:tcPr>
          <w:p w14:paraId="33283574" w14:textId="5229E5B1" w:rsidR="001F3F40" w:rsidRPr="00352179" w:rsidRDefault="001F3F40" w:rsidP="02E2EE7D">
            <w:pPr>
              <w:spacing w:before="0" w:after="0" w:line="240" w:lineRule="auto"/>
              <w:rPr>
                <w:rFonts w:ascii="Arial Narrow" w:eastAsia="Times New Roman" w:hAnsi="Arial Narrow" w:cs="Times New Roman"/>
                <w:i/>
                <w:iCs/>
                <w:color w:val="000000"/>
                <w:sz w:val="20"/>
                <w:szCs w:val="20"/>
                <w:lang w:eastAsia="en-AU"/>
              </w:rPr>
            </w:pPr>
            <w:r w:rsidRPr="02E2EE7D">
              <w:rPr>
                <w:rFonts w:ascii="Arial Narrow" w:eastAsia="Times New Roman" w:hAnsi="Arial Narrow" w:cs="Times New Roman"/>
                <w:i/>
                <w:iCs/>
                <w:color w:val="000000" w:themeColor="text1"/>
                <w:sz w:val="20"/>
                <w:szCs w:val="20"/>
                <w:lang w:eastAsia="en-AU"/>
              </w:rPr>
              <w:t>Cost of 1st tier screening (base case: $</w:t>
            </w:r>
            <w:r w:rsidR="00807D60" w:rsidRPr="00E025B8">
              <w:rPr>
                <w:rFonts w:ascii="Arial Narrow" w:eastAsia="Times New Roman" w:hAnsi="Arial Narrow" w:cs="Times New Roman"/>
                <w:b/>
                <w:bCs/>
                <w:i/>
                <w:iCs/>
                <w:color w:val="000000" w:themeColor="text1"/>
                <w:sz w:val="20"/>
                <w:szCs w:val="20"/>
                <w:lang w:eastAsia="en-AU"/>
              </w:rPr>
              <w:t>R</w:t>
            </w:r>
            <w:r w:rsidR="00807D60">
              <w:rPr>
                <w:rFonts w:ascii="Arial Narrow" w:eastAsia="Times New Roman" w:hAnsi="Arial Narrow" w:cs="Times New Roman"/>
                <w:b/>
                <w:bCs/>
                <w:i/>
                <w:iCs/>
                <w:color w:val="000000" w:themeColor="text1"/>
                <w:sz w:val="20"/>
                <w:szCs w:val="20"/>
                <w:lang w:eastAsia="en-AU"/>
              </w:rPr>
              <w:t>edacted</w:t>
            </w:r>
            <w:r w:rsidR="00807D60" w:rsidRPr="02E2EE7D">
              <w:rPr>
                <w:rFonts w:ascii="Arial Narrow" w:eastAsia="Times New Roman" w:hAnsi="Arial Narrow" w:cs="Times New Roman"/>
                <w:i/>
                <w:iCs/>
                <w:color w:val="000000" w:themeColor="text1"/>
                <w:sz w:val="20"/>
                <w:szCs w:val="20"/>
                <w:lang w:eastAsia="en-AU"/>
              </w:rPr>
              <w:t xml:space="preserve"> </w:t>
            </w:r>
            <w:r w:rsidRPr="02E2EE7D">
              <w:rPr>
                <w:rFonts w:ascii="Arial Narrow" w:eastAsia="Times New Roman" w:hAnsi="Arial Narrow" w:cs="Times New Roman"/>
                <w:i/>
                <w:iCs/>
                <w:color w:val="000000" w:themeColor="text1"/>
                <w:sz w:val="20"/>
                <w:szCs w:val="20"/>
                <w:lang w:eastAsia="en-AU"/>
              </w:rPr>
              <w:t xml:space="preserve">for </w:t>
            </w:r>
            <w:proofErr w:type="spellStart"/>
            <w:r w:rsidRPr="02E2EE7D">
              <w:rPr>
                <w:rFonts w:ascii="Arial Narrow" w:eastAsia="Times New Roman" w:hAnsi="Arial Narrow" w:cs="Times New Roman"/>
                <w:i/>
                <w:iCs/>
                <w:color w:val="000000" w:themeColor="text1"/>
                <w:sz w:val="20"/>
                <w:szCs w:val="20"/>
                <w:lang w:eastAsia="en-AU"/>
              </w:rPr>
              <w:t>GelbChem</w:t>
            </w:r>
            <w:proofErr w:type="spellEnd"/>
            <w:r w:rsidRPr="02E2EE7D">
              <w:rPr>
                <w:rFonts w:ascii="Arial Narrow" w:eastAsia="Times New Roman" w:hAnsi="Arial Narrow" w:cs="Times New Roman"/>
                <w:i/>
                <w:iCs/>
                <w:color w:val="000000" w:themeColor="text1"/>
                <w:sz w:val="20"/>
                <w:szCs w:val="20"/>
                <w:lang w:eastAsia="en-AU"/>
              </w:rPr>
              <w:t xml:space="preserve"> kit)</w:t>
            </w:r>
          </w:p>
        </w:tc>
      </w:tr>
      <w:tr w:rsidR="00B12AFD" w:rsidRPr="0044416A" w14:paraId="30190D7B" w14:textId="77777777" w:rsidTr="007229D6">
        <w:tc>
          <w:tcPr>
            <w:tcW w:w="2122" w:type="dxa"/>
            <w:tcBorders>
              <w:top w:val="nil"/>
              <w:left w:val="single" w:sz="4" w:space="0" w:color="auto"/>
              <w:bottom w:val="single" w:sz="4" w:space="0" w:color="auto"/>
              <w:right w:val="single" w:sz="4" w:space="0" w:color="auto"/>
            </w:tcBorders>
            <w:noWrap/>
            <w:vAlign w:val="bottom"/>
            <w:hideMark/>
          </w:tcPr>
          <w:p w14:paraId="57B38E91" w14:textId="6D424A06" w:rsidR="00B12AFD" w:rsidRPr="00352179" w:rsidRDefault="00606312" w:rsidP="00B12AFD">
            <w:pPr>
              <w:spacing w:before="0" w:after="0" w:line="240" w:lineRule="auto"/>
              <w:rPr>
                <w:rFonts w:ascii="Arial Narrow" w:eastAsia="Times New Roman" w:hAnsi="Arial Narrow" w:cs="Times New Roman"/>
                <w:color w:val="000000"/>
                <w:sz w:val="20"/>
                <w:szCs w:val="20"/>
                <w:vertAlign w:val="superscript"/>
                <w:lang w:eastAsia="en-AU"/>
              </w:rPr>
            </w:pPr>
            <w:r w:rsidRPr="00606312">
              <w:rPr>
                <w:rFonts w:ascii="Arial Narrow" w:eastAsia="Times New Roman" w:hAnsi="Arial Narrow" w:cs="Times New Roman"/>
                <w:b/>
                <w:bCs/>
                <w:color w:val="000000" w:themeColor="text1"/>
                <w:sz w:val="20"/>
                <w:szCs w:val="20"/>
                <w:lang w:eastAsia="en-AU"/>
              </w:rPr>
              <w:t>Redacted</w:t>
            </w:r>
            <w:r w:rsidR="00B12AFD" w:rsidRPr="00F076FA">
              <w:rPr>
                <w:rFonts w:ascii="Arial Narrow" w:eastAsia="Times New Roman" w:hAnsi="Arial Narrow" w:cs="Times New Roman"/>
                <w:color w:val="000000" w:themeColor="text1"/>
                <w:sz w:val="20"/>
                <w:szCs w:val="20"/>
                <w:lang w:eastAsia="en-AU"/>
              </w:rPr>
              <w:t xml:space="preserve"> kit</w:t>
            </w:r>
            <w:r w:rsidR="00B12AFD" w:rsidRPr="02E2EE7D">
              <w:rPr>
                <w:rFonts w:ascii="Arial Narrow" w:eastAsia="Times New Roman" w:hAnsi="Arial Narrow" w:cs="Times New Roman"/>
                <w:color w:val="000000" w:themeColor="text1"/>
                <w:sz w:val="20"/>
                <w:szCs w:val="20"/>
                <w:lang w:eastAsia="en-AU"/>
              </w:rPr>
              <w:t xml:space="preserve"> multiplexed </w:t>
            </w:r>
            <w:r w:rsidR="00B12AFD" w:rsidRPr="02E2EE7D">
              <w:rPr>
                <w:rFonts w:ascii="Arial Narrow" w:eastAsia="Times New Roman" w:hAnsi="Arial Narrow" w:cs="Times New Roman"/>
                <w:color w:val="000000" w:themeColor="text1"/>
                <w:sz w:val="20"/>
                <w:szCs w:val="20"/>
                <w:vertAlign w:val="superscript"/>
                <w:lang w:eastAsia="en-AU"/>
              </w:rPr>
              <w:t>a</w:t>
            </w:r>
            <w:r w:rsidR="00B12AFD" w:rsidRPr="02E2EE7D">
              <w:rPr>
                <w:rFonts w:ascii="Arial Narrow" w:eastAsia="Times New Roman" w:hAnsi="Arial Narrow" w:cs="Times New Roman"/>
                <w:color w:val="000000" w:themeColor="text1"/>
                <w:sz w:val="20"/>
                <w:szCs w:val="20"/>
                <w:lang w:eastAsia="en-AU"/>
              </w:rPr>
              <w:t>: $</w:t>
            </w:r>
            <w:r w:rsidR="00B12AFD" w:rsidRPr="00C400B9">
              <w:rPr>
                <w:rFonts w:ascii="Arial Narrow" w:hAnsi="Arial Narrow"/>
                <w:b/>
                <w:bCs/>
                <w:color w:val="000000"/>
                <w:sz w:val="20"/>
                <w:szCs w:val="20"/>
              </w:rPr>
              <w:t xml:space="preserve"> Redacted</w:t>
            </w:r>
          </w:p>
        </w:tc>
        <w:tc>
          <w:tcPr>
            <w:tcW w:w="1134" w:type="dxa"/>
            <w:tcBorders>
              <w:top w:val="nil"/>
              <w:left w:val="nil"/>
              <w:bottom w:val="single" w:sz="4" w:space="0" w:color="auto"/>
              <w:right w:val="single" w:sz="4" w:space="0" w:color="auto"/>
            </w:tcBorders>
            <w:noWrap/>
            <w:hideMark/>
          </w:tcPr>
          <w:p w14:paraId="1E714890" w14:textId="396D2485" w:rsidR="00B12AFD" w:rsidRPr="00E4153F" w:rsidRDefault="00B12AFD" w:rsidP="00B12AFD">
            <w:pPr>
              <w:spacing w:before="0" w:after="0" w:line="240" w:lineRule="auto"/>
              <w:jc w:val="right"/>
              <w:rPr>
                <w:rFonts w:ascii="Arial Narrow" w:eastAsia="Times New Roman" w:hAnsi="Arial Narrow" w:cs="Times New Roman"/>
                <w:color w:val="000000"/>
                <w:sz w:val="18"/>
                <w:szCs w:val="18"/>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134" w:type="dxa"/>
            <w:tcBorders>
              <w:top w:val="nil"/>
              <w:left w:val="nil"/>
              <w:bottom w:val="single" w:sz="4" w:space="0" w:color="auto"/>
              <w:right w:val="single" w:sz="4" w:space="0" w:color="auto"/>
            </w:tcBorders>
            <w:noWrap/>
            <w:hideMark/>
          </w:tcPr>
          <w:p w14:paraId="7AF987C3" w14:textId="2B1EC6F4" w:rsidR="00B12AFD" w:rsidRPr="00E4153F" w:rsidRDefault="00B12AFD" w:rsidP="00B12AFD">
            <w:pPr>
              <w:spacing w:before="0" w:after="0" w:line="240" w:lineRule="auto"/>
              <w:jc w:val="right"/>
              <w:rPr>
                <w:rFonts w:ascii="Arial Narrow" w:eastAsia="Times New Roman" w:hAnsi="Arial Narrow" w:cs="Times New Roman"/>
                <w:color w:val="000000"/>
                <w:sz w:val="18"/>
                <w:szCs w:val="18"/>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134" w:type="dxa"/>
            <w:tcBorders>
              <w:top w:val="nil"/>
              <w:left w:val="nil"/>
              <w:bottom w:val="single" w:sz="4" w:space="0" w:color="auto"/>
              <w:right w:val="single" w:sz="4" w:space="0" w:color="auto"/>
            </w:tcBorders>
            <w:noWrap/>
            <w:hideMark/>
          </w:tcPr>
          <w:p w14:paraId="51DA40AB" w14:textId="56C340CD" w:rsidR="00B12AFD" w:rsidRPr="00E4153F" w:rsidRDefault="00B12AFD" w:rsidP="00B12AFD">
            <w:pPr>
              <w:spacing w:before="0" w:after="0" w:line="240" w:lineRule="auto"/>
              <w:jc w:val="center"/>
              <w:rPr>
                <w:rFonts w:ascii="Arial Narrow" w:eastAsia="Times New Roman" w:hAnsi="Arial Narrow" w:cs="Times New Roman"/>
                <w:color w:val="000000"/>
                <w:sz w:val="18"/>
                <w:szCs w:val="18"/>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134" w:type="dxa"/>
            <w:tcBorders>
              <w:top w:val="nil"/>
              <w:left w:val="nil"/>
              <w:bottom w:val="single" w:sz="4" w:space="0" w:color="auto"/>
              <w:right w:val="single" w:sz="4" w:space="0" w:color="auto"/>
            </w:tcBorders>
            <w:noWrap/>
            <w:hideMark/>
          </w:tcPr>
          <w:p w14:paraId="3CEFD1A3" w14:textId="1B99E13A" w:rsidR="00B12AFD" w:rsidRPr="00E4153F" w:rsidRDefault="00B12AFD" w:rsidP="00B12AFD">
            <w:pPr>
              <w:spacing w:before="0" w:after="0" w:line="240" w:lineRule="auto"/>
              <w:jc w:val="right"/>
              <w:rPr>
                <w:rFonts w:ascii="Arial Narrow" w:eastAsia="Times New Roman" w:hAnsi="Arial Narrow" w:cs="Times New Roman"/>
                <w:color w:val="000000"/>
                <w:sz w:val="18"/>
                <w:szCs w:val="18"/>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134" w:type="dxa"/>
            <w:tcBorders>
              <w:top w:val="nil"/>
              <w:left w:val="nil"/>
              <w:bottom w:val="single" w:sz="4" w:space="0" w:color="auto"/>
              <w:right w:val="single" w:sz="4" w:space="0" w:color="auto"/>
            </w:tcBorders>
            <w:noWrap/>
            <w:hideMark/>
          </w:tcPr>
          <w:p w14:paraId="574A3B2C" w14:textId="79621EFF" w:rsidR="00B12AFD" w:rsidRPr="00E4153F" w:rsidRDefault="00B12AFD" w:rsidP="00B12AFD">
            <w:pPr>
              <w:spacing w:before="0" w:after="0" w:line="240" w:lineRule="auto"/>
              <w:jc w:val="right"/>
              <w:rPr>
                <w:rFonts w:ascii="Arial Narrow" w:eastAsia="Times New Roman" w:hAnsi="Arial Narrow" w:cs="Times New Roman"/>
                <w:color w:val="000000"/>
                <w:sz w:val="18"/>
                <w:szCs w:val="18"/>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224" w:type="dxa"/>
            <w:tcBorders>
              <w:top w:val="nil"/>
              <w:left w:val="nil"/>
              <w:bottom w:val="single" w:sz="4" w:space="0" w:color="auto"/>
              <w:right w:val="single" w:sz="4" w:space="0" w:color="auto"/>
            </w:tcBorders>
            <w:noWrap/>
            <w:hideMark/>
          </w:tcPr>
          <w:p w14:paraId="55CCE279" w14:textId="444C0DEE" w:rsidR="00B12AFD" w:rsidRPr="00E4153F" w:rsidRDefault="00B12AFD" w:rsidP="00B12AFD">
            <w:pPr>
              <w:spacing w:before="0" w:after="0" w:line="240" w:lineRule="auto"/>
              <w:jc w:val="right"/>
              <w:rPr>
                <w:rFonts w:ascii="Arial Narrow" w:eastAsia="Times New Roman" w:hAnsi="Arial Narrow" w:cs="Times New Roman"/>
                <w:color w:val="000000"/>
                <w:sz w:val="18"/>
                <w:szCs w:val="18"/>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r>
      <w:tr w:rsidR="00B12AFD" w:rsidRPr="0044416A" w14:paraId="0FD9F62A" w14:textId="77777777" w:rsidTr="007229D6">
        <w:tc>
          <w:tcPr>
            <w:tcW w:w="2122" w:type="dxa"/>
            <w:tcBorders>
              <w:top w:val="nil"/>
              <w:left w:val="single" w:sz="4" w:space="0" w:color="auto"/>
              <w:bottom w:val="single" w:sz="4" w:space="0" w:color="auto"/>
              <w:right w:val="single" w:sz="4" w:space="0" w:color="auto"/>
            </w:tcBorders>
            <w:noWrap/>
            <w:vAlign w:val="bottom"/>
            <w:hideMark/>
          </w:tcPr>
          <w:p w14:paraId="4C26F323" w14:textId="19688E1D" w:rsidR="00B12AFD" w:rsidRPr="0044416A" w:rsidRDefault="00B12AFD" w:rsidP="00B12AFD">
            <w:pPr>
              <w:spacing w:before="0" w:after="0" w:line="240" w:lineRule="auto"/>
              <w:rPr>
                <w:rFonts w:ascii="Arial Narrow" w:eastAsia="Times New Roman" w:hAnsi="Arial Narrow" w:cs="Times New Roman"/>
                <w:color w:val="000000"/>
                <w:sz w:val="20"/>
                <w:szCs w:val="20"/>
                <w:lang w:eastAsia="en-AU"/>
              </w:rPr>
            </w:pPr>
            <w:proofErr w:type="spellStart"/>
            <w:r w:rsidRPr="02E2EE7D">
              <w:rPr>
                <w:rFonts w:ascii="Arial Narrow" w:eastAsia="Times New Roman" w:hAnsi="Arial Narrow" w:cs="Times New Roman"/>
                <w:color w:val="000000" w:themeColor="text1"/>
                <w:sz w:val="20"/>
                <w:szCs w:val="20"/>
                <w:lang w:eastAsia="en-AU"/>
              </w:rPr>
              <w:t>Revvity</w:t>
            </w:r>
            <w:proofErr w:type="spellEnd"/>
            <w:r w:rsidRPr="02E2EE7D">
              <w:rPr>
                <w:rFonts w:ascii="Arial Narrow" w:eastAsia="Times New Roman" w:hAnsi="Arial Narrow" w:cs="Times New Roman"/>
                <w:color w:val="000000" w:themeColor="text1"/>
                <w:sz w:val="20"/>
                <w:szCs w:val="20"/>
                <w:lang w:eastAsia="en-AU"/>
              </w:rPr>
              <w:t xml:space="preserve"> </w:t>
            </w:r>
            <w:proofErr w:type="spellStart"/>
            <w:r w:rsidRPr="02E2EE7D">
              <w:rPr>
                <w:rFonts w:ascii="Arial Narrow" w:eastAsia="Times New Roman" w:hAnsi="Arial Narrow" w:cs="Times New Roman"/>
                <w:color w:val="000000" w:themeColor="text1"/>
                <w:sz w:val="20"/>
                <w:szCs w:val="20"/>
                <w:lang w:eastAsia="en-AU"/>
              </w:rPr>
              <w:t>NeoLSD</w:t>
            </w:r>
            <w:proofErr w:type="spellEnd"/>
            <w:r w:rsidRPr="006404F8">
              <w:rPr>
                <w:rFonts w:ascii="Arial Narrow" w:eastAsia="Times New Roman" w:hAnsi="Arial Narrow" w:cs="Times New Roman"/>
                <w:color w:val="000000" w:themeColor="text1"/>
                <w:sz w:val="20"/>
                <w:szCs w:val="20"/>
                <w:lang w:eastAsia="en-AU"/>
              </w:rPr>
              <w:t>™</w:t>
            </w:r>
            <w:r w:rsidRPr="02E2EE7D">
              <w:rPr>
                <w:rFonts w:ascii="Arial Narrow" w:eastAsia="Times New Roman" w:hAnsi="Arial Narrow" w:cs="Times New Roman"/>
                <w:color w:val="000000" w:themeColor="text1"/>
                <w:sz w:val="20"/>
                <w:szCs w:val="20"/>
                <w:lang w:eastAsia="en-AU"/>
              </w:rPr>
              <w:t xml:space="preserve"> MS/MS kit: $</w:t>
            </w:r>
            <w:r w:rsidRPr="00C400B9">
              <w:rPr>
                <w:rFonts w:ascii="Arial Narrow" w:hAnsi="Arial Narrow"/>
                <w:b/>
                <w:bCs/>
                <w:color w:val="000000"/>
                <w:sz w:val="20"/>
                <w:szCs w:val="20"/>
              </w:rPr>
              <w:t>Redacted</w:t>
            </w:r>
          </w:p>
        </w:tc>
        <w:tc>
          <w:tcPr>
            <w:tcW w:w="1134" w:type="dxa"/>
            <w:tcBorders>
              <w:top w:val="nil"/>
              <w:left w:val="nil"/>
              <w:bottom w:val="single" w:sz="4" w:space="0" w:color="auto"/>
              <w:right w:val="single" w:sz="4" w:space="0" w:color="auto"/>
            </w:tcBorders>
            <w:noWrap/>
            <w:hideMark/>
          </w:tcPr>
          <w:p w14:paraId="0D4A5C2F" w14:textId="34BF2F84" w:rsidR="00B12AFD" w:rsidRPr="00016B46" w:rsidRDefault="00B12AFD" w:rsidP="00B12AFD">
            <w:pPr>
              <w:spacing w:before="0" w:after="0" w:line="240" w:lineRule="auto"/>
              <w:jc w:val="right"/>
              <w:rPr>
                <w:rFonts w:ascii="Arial Narrow" w:eastAsia="Times New Roman" w:hAnsi="Arial Narrow" w:cs="Times New Roman"/>
                <w:color w:val="000000"/>
                <w:sz w:val="18"/>
                <w:szCs w:val="18"/>
                <w:highlight w:val="yellow"/>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134" w:type="dxa"/>
            <w:tcBorders>
              <w:top w:val="nil"/>
              <w:left w:val="nil"/>
              <w:bottom w:val="single" w:sz="4" w:space="0" w:color="auto"/>
              <w:right w:val="single" w:sz="4" w:space="0" w:color="auto"/>
            </w:tcBorders>
            <w:noWrap/>
            <w:hideMark/>
          </w:tcPr>
          <w:p w14:paraId="78BF4213" w14:textId="258E9C71" w:rsidR="00B12AFD" w:rsidRPr="00016B46" w:rsidRDefault="00B12AFD" w:rsidP="00B12AFD">
            <w:pPr>
              <w:spacing w:before="0" w:after="0" w:line="240" w:lineRule="auto"/>
              <w:jc w:val="right"/>
              <w:rPr>
                <w:rFonts w:ascii="Arial Narrow" w:eastAsia="Times New Roman" w:hAnsi="Arial Narrow" w:cs="Times New Roman"/>
                <w:color w:val="000000"/>
                <w:sz w:val="18"/>
                <w:szCs w:val="18"/>
                <w:highlight w:val="yellow"/>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134" w:type="dxa"/>
            <w:tcBorders>
              <w:top w:val="nil"/>
              <w:left w:val="nil"/>
              <w:bottom w:val="single" w:sz="4" w:space="0" w:color="auto"/>
              <w:right w:val="single" w:sz="4" w:space="0" w:color="auto"/>
            </w:tcBorders>
            <w:noWrap/>
            <w:hideMark/>
          </w:tcPr>
          <w:p w14:paraId="5C56CC49" w14:textId="6B146B72" w:rsidR="00B12AFD" w:rsidRPr="00016B46" w:rsidRDefault="00B12AFD" w:rsidP="00B12AFD">
            <w:pPr>
              <w:spacing w:before="0" w:after="0" w:line="240" w:lineRule="auto"/>
              <w:jc w:val="right"/>
              <w:rPr>
                <w:rFonts w:ascii="Arial Narrow" w:eastAsia="Times New Roman" w:hAnsi="Arial Narrow" w:cs="Times New Roman"/>
                <w:color w:val="000000"/>
                <w:sz w:val="18"/>
                <w:szCs w:val="18"/>
                <w:highlight w:val="yellow"/>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134" w:type="dxa"/>
            <w:tcBorders>
              <w:top w:val="nil"/>
              <w:left w:val="nil"/>
              <w:bottom w:val="single" w:sz="4" w:space="0" w:color="auto"/>
              <w:right w:val="single" w:sz="4" w:space="0" w:color="auto"/>
            </w:tcBorders>
            <w:noWrap/>
            <w:hideMark/>
          </w:tcPr>
          <w:p w14:paraId="08E7F041" w14:textId="096AF0CC" w:rsidR="00B12AFD" w:rsidRPr="00016B46" w:rsidRDefault="00B12AFD" w:rsidP="00B12AFD">
            <w:pPr>
              <w:spacing w:before="0" w:after="0" w:line="240" w:lineRule="auto"/>
              <w:jc w:val="right"/>
              <w:rPr>
                <w:rFonts w:ascii="Arial Narrow" w:eastAsia="Times New Roman" w:hAnsi="Arial Narrow" w:cs="Times New Roman"/>
                <w:color w:val="000000"/>
                <w:sz w:val="18"/>
                <w:szCs w:val="18"/>
                <w:highlight w:val="yellow"/>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134" w:type="dxa"/>
            <w:tcBorders>
              <w:top w:val="nil"/>
              <w:left w:val="nil"/>
              <w:bottom w:val="single" w:sz="4" w:space="0" w:color="auto"/>
              <w:right w:val="single" w:sz="4" w:space="0" w:color="auto"/>
            </w:tcBorders>
            <w:noWrap/>
            <w:hideMark/>
          </w:tcPr>
          <w:p w14:paraId="44F89806" w14:textId="66A489AA" w:rsidR="00B12AFD" w:rsidRPr="00016B46" w:rsidRDefault="00B12AFD" w:rsidP="00B12AFD">
            <w:pPr>
              <w:spacing w:before="0" w:after="0" w:line="240" w:lineRule="auto"/>
              <w:jc w:val="right"/>
              <w:rPr>
                <w:rFonts w:ascii="Arial Narrow" w:eastAsia="Times New Roman" w:hAnsi="Arial Narrow" w:cs="Times New Roman"/>
                <w:color w:val="000000"/>
                <w:sz w:val="18"/>
                <w:szCs w:val="18"/>
                <w:highlight w:val="yellow"/>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224" w:type="dxa"/>
            <w:tcBorders>
              <w:top w:val="nil"/>
              <w:left w:val="nil"/>
              <w:bottom w:val="single" w:sz="4" w:space="0" w:color="auto"/>
              <w:right w:val="single" w:sz="4" w:space="0" w:color="auto"/>
            </w:tcBorders>
            <w:noWrap/>
            <w:hideMark/>
          </w:tcPr>
          <w:p w14:paraId="0FECF0AE" w14:textId="51422A81" w:rsidR="00B12AFD" w:rsidRPr="00016B46" w:rsidRDefault="00B12AFD" w:rsidP="00B12AFD">
            <w:pPr>
              <w:spacing w:before="0" w:after="0" w:line="240" w:lineRule="auto"/>
              <w:jc w:val="right"/>
              <w:rPr>
                <w:rFonts w:ascii="Arial Narrow" w:eastAsia="Times New Roman" w:hAnsi="Arial Narrow" w:cs="Times New Roman"/>
                <w:color w:val="000000"/>
                <w:sz w:val="18"/>
                <w:szCs w:val="18"/>
                <w:highlight w:val="yellow"/>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r>
      <w:tr w:rsidR="00B12AFD" w:rsidRPr="0044416A" w14:paraId="36EEE045" w14:textId="77777777" w:rsidTr="007229D6">
        <w:tc>
          <w:tcPr>
            <w:tcW w:w="2122" w:type="dxa"/>
            <w:tcBorders>
              <w:top w:val="nil"/>
              <w:left w:val="single" w:sz="4" w:space="0" w:color="auto"/>
              <w:bottom w:val="single" w:sz="4" w:space="0" w:color="auto"/>
              <w:right w:val="single" w:sz="4" w:space="0" w:color="auto"/>
            </w:tcBorders>
            <w:noWrap/>
            <w:vAlign w:val="bottom"/>
            <w:hideMark/>
          </w:tcPr>
          <w:p w14:paraId="37C57084" w14:textId="5B20C06E" w:rsidR="00B12AFD" w:rsidRPr="00352179" w:rsidRDefault="00B12AFD" w:rsidP="00B12AFD">
            <w:pPr>
              <w:spacing w:before="0" w:after="0" w:line="240" w:lineRule="auto"/>
              <w:rPr>
                <w:rFonts w:ascii="Arial Narrow" w:eastAsia="Times New Roman" w:hAnsi="Arial Narrow" w:cs="Times New Roman"/>
                <w:color w:val="000000"/>
                <w:sz w:val="20"/>
                <w:szCs w:val="20"/>
                <w:vertAlign w:val="superscript"/>
                <w:lang w:eastAsia="en-AU"/>
              </w:rPr>
            </w:pPr>
            <w:proofErr w:type="spellStart"/>
            <w:r w:rsidRPr="02E2EE7D">
              <w:rPr>
                <w:rFonts w:ascii="Arial Narrow" w:eastAsia="Times New Roman" w:hAnsi="Arial Narrow" w:cs="Times New Roman"/>
                <w:color w:val="000000" w:themeColor="text1"/>
                <w:sz w:val="20"/>
                <w:szCs w:val="20"/>
                <w:lang w:eastAsia="en-AU"/>
              </w:rPr>
              <w:t>Revvity</w:t>
            </w:r>
            <w:proofErr w:type="spellEnd"/>
            <w:r w:rsidRPr="02E2EE7D">
              <w:rPr>
                <w:rFonts w:ascii="Arial Narrow" w:eastAsia="Times New Roman" w:hAnsi="Arial Narrow" w:cs="Times New Roman"/>
                <w:color w:val="000000" w:themeColor="text1"/>
                <w:sz w:val="20"/>
                <w:szCs w:val="20"/>
                <w:lang w:eastAsia="en-AU"/>
              </w:rPr>
              <w:t xml:space="preserve"> kit multiplexed</w:t>
            </w:r>
            <w:r w:rsidRPr="02E2EE7D">
              <w:rPr>
                <w:rFonts w:ascii="Arial Narrow" w:eastAsia="Times New Roman" w:hAnsi="Arial Narrow" w:cs="Times New Roman"/>
                <w:color w:val="000000" w:themeColor="text1"/>
                <w:sz w:val="20"/>
                <w:szCs w:val="20"/>
                <w:vertAlign w:val="superscript"/>
                <w:lang w:eastAsia="en-AU"/>
              </w:rPr>
              <w:t xml:space="preserve"> b</w:t>
            </w:r>
            <w:r w:rsidRPr="02E2EE7D">
              <w:rPr>
                <w:rFonts w:ascii="Arial Narrow" w:eastAsia="Times New Roman" w:hAnsi="Arial Narrow" w:cs="Times New Roman"/>
                <w:color w:val="000000" w:themeColor="text1"/>
                <w:sz w:val="20"/>
                <w:szCs w:val="20"/>
                <w:lang w:eastAsia="en-AU"/>
              </w:rPr>
              <w:t>: $</w:t>
            </w:r>
            <w:r w:rsidRPr="00C400B9">
              <w:rPr>
                <w:rFonts w:ascii="Arial Narrow" w:hAnsi="Arial Narrow"/>
                <w:b/>
                <w:bCs/>
                <w:color w:val="000000"/>
                <w:sz w:val="20"/>
                <w:szCs w:val="20"/>
              </w:rPr>
              <w:t>Redacted</w:t>
            </w:r>
            <w:r w:rsidRPr="02E2EE7D">
              <w:rPr>
                <w:rFonts w:ascii="Arial Narrow" w:eastAsia="Times New Roman" w:hAnsi="Arial Narrow" w:cs="Times New Roman"/>
                <w:color w:val="000000" w:themeColor="text1"/>
                <w:sz w:val="20"/>
                <w:szCs w:val="20"/>
                <w:lang w:eastAsia="en-AU"/>
              </w:rPr>
              <w:t xml:space="preserve"> </w:t>
            </w:r>
          </w:p>
        </w:tc>
        <w:tc>
          <w:tcPr>
            <w:tcW w:w="1134" w:type="dxa"/>
            <w:tcBorders>
              <w:top w:val="nil"/>
              <w:left w:val="nil"/>
              <w:bottom w:val="single" w:sz="4" w:space="0" w:color="auto"/>
              <w:right w:val="single" w:sz="4" w:space="0" w:color="auto"/>
            </w:tcBorders>
            <w:noWrap/>
            <w:hideMark/>
          </w:tcPr>
          <w:p w14:paraId="2C7A47D4" w14:textId="72657858" w:rsidR="00B12AFD" w:rsidRPr="00016B46" w:rsidRDefault="00B12AFD" w:rsidP="00B12AFD">
            <w:pPr>
              <w:spacing w:before="0" w:after="0" w:line="240" w:lineRule="auto"/>
              <w:jc w:val="right"/>
              <w:rPr>
                <w:rFonts w:ascii="Arial Narrow" w:eastAsia="Times New Roman" w:hAnsi="Arial Narrow" w:cs="Times New Roman"/>
                <w:color w:val="000000"/>
                <w:sz w:val="18"/>
                <w:szCs w:val="18"/>
                <w:highlight w:val="yellow"/>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134" w:type="dxa"/>
            <w:tcBorders>
              <w:top w:val="nil"/>
              <w:left w:val="nil"/>
              <w:bottom w:val="single" w:sz="4" w:space="0" w:color="auto"/>
              <w:right w:val="single" w:sz="4" w:space="0" w:color="auto"/>
            </w:tcBorders>
            <w:noWrap/>
            <w:hideMark/>
          </w:tcPr>
          <w:p w14:paraId="6A225B9E" w14:textId="39C6ADDF" w:rsidR="00B12AFD" w:rsidRPr="00016B46" w:rsidRDefault="00B12AFD" w:rsidP="00B12AFD">
            <w:pPr>
              <w:spacing w:before="0" w:after="0" w:line="240" w:lineRule="auto"/>
              <w:jc w:val="right"/>
              <w:rPr>
                <w:rFonts w:ascii="Arial Narrow" w:eastAsia="Times New Roman" w:hAnsi="Arial Narrow" w:cs="Times New Roman"/>
                <w:color w:val="000000"/>
                <w:sz w:val="18"/>
                <w:szCs w:val="18"/>
                <w:highlight w:val="yellow"/>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134" w:type="dxa"/>
            <w:tcBorders>
              <w:top w:val="nil"/>
              <w:left w:val="nil"/>
              <w:bottom w:val="single" w:sz="4" w:space="0" w:color="auto"/>
              <w:right w:val="single" w:sz="4" w:space="0" w:color="auto"/>
            </w:tcBorders>
            <w:noWrap/>
            <w:hideMark/>
          </w:tcPr>
          <w:p w14:paraId="4321A0CD" w14:textId="16091F0D" w:rsidR="00B12AFD" w:rsidRPr="00016B46" w:rsidRDefault="00B12AFD" w:rsidP="00B12AFD">
            <w:pPr>
              <w:spacing w:before="0" w:after="0" w:line="240" w:lineRule="auto"/>
              <w:jc w:val="right"/>
              <w:rPr>
                <w:rFonts w:ascii="Arial Narrow" w:eastAsia="Times New Roman" w:hAnsi="Arial Narrow" w:cs="Times New Roman"/>
                <w:color w:val="000000"/>
                <w:sz w:val="18"/>
                <w:szCs w:val="18"/>
                <w:highlight w:val="yellow"/>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134" w:type="dxa"/>
            <w:tcBorders>
              <w:top w:val="nil"/>
              <w:left w:val="nil"/>
              <w:bottom w:val="single" w:sz="4" w:space="0" w:color="auto"/>
              <w:right w:val="single" w:sz="4" w:space="0" w:color="auto"/>
            </w:tcBorders>
            <w:noWrap/>
            <w:hideMark/>
          </w:tcPr>
          <w:p w14:paraId="7C22C198" w14:textId="76F903CB" w:rsidR="00B12AFD" w:rsidRPr="00016B46" w:rsidRDefault="00B12AFD" w:rsidP="00B12AFD">
            <w:pPr>
              <w:spacing w:before="0" w:after="0" w:line="240" w:lineRule="auto"/>
              <w:jc w:val="right"/>
              <w:rPr>
                <w:rFonts w:ascii="Arial Narrow" w:eastAsia="Times New Roman" w:hAnsi="Arial Narrow" w:cs="Times New Roman"/>
                <w:color w:val="000000"/>
                <w:sz w:val="18"/>
                <w:szCs w:val="18"/>
                <w:highlight w:val="yellow"/>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134" w:type="dxa"/>
            <w:tcBorders>
              <w:top w:val="nil"/>
              <w:left w:val="nil"/>
              <w:bottom w:val="single" w:sz="4" w:space="0" w:color="auto"/>
              <w:right w:val="single" w:sz="4" w:space="0" w:color="auto"/>
            </w:tcBorders>
            <w:noWrap/>
            <w:hideMark/>
          </w:tcPr>
          <w:p w14:paraId="5C69DE5A" w14:textId="4A138D4A" w:rsidR="00B12AFD" w:rsidRPr="00016B46" w:rsidRDefault="00B12AFD" w:rsidP="00B12AFD">
            <w:pPr>
              <w:spacing w:before="0" w:after="0" w:line="240" w:lineRule="auto"/>
              <w:jc w:val="right"/>
              <w:rPr>
                <w:rFonts w:ascii="Arial Narrow" w:eastAsia="Times New Roman" w:hAnsi="Arial Narrow" w:cs="Times New Roman"/>
                <w:color w:val="000000"/>
                <w:sz w:val="18"/>
                <w:szCs w:val="18"/>
                <w:highlight w:val="yellow"/>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c>
          <w:tcPr>
            <w:tcW w:w="1224" w:type="dxa"/>
            <w:tcBorders>
              <w:top w:val="nil"/>
              <w:left w:val="nil"/>
              <w:bottom w:val="single" w:sz="4" w:space="0" w:color="auto"/>
              <w:right w:val="single" w:sz="4" w:space="0" w:color="auto"/>
            </w:tcBorders>
            <w:noWrap/>
            <w:hideMark/>
          </w:tcPr>
          <w:p w14:paraId="6483FF88" w14:textId="6B20242D" w:rsidR="00B12AFD" w:rsidRPr="00016B46" w:rsidRDefault="00B12AFD" w:rsidP="00B12AFD">
            <w:pPr>
              <w:spacing w:before="0" w:after="0" w:line="240" w:lineRule="auto"/>
              <w:jc w:val="right"/>
              <w:rPr>
                <w:rFonts w:ascii="Arial Narrow" w:eastAsia="Times New Roman" w:hAnsi="Arial Narrow" w:cs="Times New Roman"/>
                <w:color w:val="000000"/>
                <w:sz w:val="18"/>
                <w:szCs w:val="18"/>
                <w:highlight w:val="yellow"/>
                <w:lang w:eastAsia="en-AU"/>
              </w:rPr>
            </w:pPr>
            <w:r w:rsidRPr="006A2754">
              <w:rPr>
                <w:rFonts w:ascii="Arial Narrow" w:eastAsia="Times New Roman" w:hAnsi="Arial Narrow" w:cs="Calibri"/>
                <w:color w:val="000000"/>
                <w:sz w:val="20"/>
                <w:szCs w:val="20"/>
                <w:lang w:eastAsia="en-AU"/>
              </w:rPr>
              <w:t>$</w:t>
            </w:r>
            <w:r w:rsidRPr="006A2754">
              <w:rPr>
                <w:rFonts w:ascii="Arial Narrow" w:eastAsia="Times New Roman" w:hAnsi="Arial Narrow" w:cs="Calibri"/>
                <w:b/>
                <w:bCs/>
                <w:color w:val="000000"/>
                <w:sz w:val="20"/>
                <w:szCs w:val="20"/>
                <w:lang w:eastAsia="en-AU"/>
              </w:rPr>
              <w:t>Redacted</w:t>
            </w:r>
          </w:p>
        </w:tc>
      </w:tr>
    </w:tbl>
    <w:p w14:paraId="051E8512" w14:textId="7DFB7409" w:rsidR="001F3F40" w:rsidRDefault="001F3F40" w:rsidP="008B6BB7">
      <w:pPr>
        <w:pStyle w:val="Tablenotes"/>
        <w:contextualSpacing w:val="0"/>
      </w:pPr>
      <w:r>
        <w:t>GSD II = glycogen storage disease Type II; MPS I = mucopolysaccharidosis Type I; MPS II = mucopolysaccharidosis Type II; MS/MS = tandem mass spectrometry; NBS = newborn bloodspot screening</w:t>
      </w:r>
    </w:p>
    <w:p w14:paraId="7EE3BA62" w14:textId="231EB308" w:rsidR="001F3F40" w:rsidRPr="00352179" w:rsidRDefault="001F3F40" w:rsidP="00C81A35">
      <w:pPr>
        <w:pStyle w:val="Tablenotes"/>
      </w:pPr>
      <w:r w:rsidRPr="02E2EE7D">
        <w:rPr>
          <w:vertAlign w:val="superscript"/>
        </w:rPr>
        <w:t xml:space="preserve">a </w:t>
      </w:r>
      <w:r w:rsidR="00606312">
        <w:rPr>
          <w:rFonts w:cs="Calibri"/>
          <w:b/>
          <w:bCs/>
          <w:color w:val="000000"/>
        </w:rPr>
        <w:t>Redacted</w:t>
      </w:r>
      <w:r w:rsidR="00606312" w:rsidRPr="00F076FA" w:rsidDel="00606312">
        <w:t xml:space="preserve"> </w:t>
      </w:r>
      <w:r w:rsidRPr="00F076FA">
        <w:t>kit</w:t>
      </w:r>
      <w:r w:rsidRPr="02E2EE7D">
        <w:t xml:space="preserve"> multiplexed for MPS I, MPS II and GSD II (i.e. cost per screen is one third the cost per screen in base case).</w:t>
      </w:r>
    </w:p>
    <w:p w14:paraId="08CFED23" w14:textId="6688CBDC" w:rsidR="00BF4D52" w:rsidRPr="00ED5CB7" w:rsidRDefault="001F3F40" w:rsidP="00ED5CB7">
      <w:pPr>
        <w:pStyle w:val="Tablenotes"/>
      </w:pPr>
      <w:r w:rsidRPr="02E2EE7D">
        <w:rPr>
          <w:vertAlign w:val="superscript"/>
        </w:rPr>
        <w:t>b</w:t>
      </w:r>
      <w:r w:rsidRPr="02E2EE7D">
        <w:t xml:space="preserve"> </w:t>
      </w:r>
      <w:proofErr w:type="spellStart"/>
      <w:r w:rsidRPr="02E2EE7D">
        <w:t>Revvity</w:t>
      </w:r>
      <w:proofErr w:type="spellEnd"/>
      <w:r w:rsidRPr="02E2EE7D">
        <w:t xml:space="preserve"> kit multiplexed for MPS I and GSD II (i.e</w:t>
      </w:r>
      <w:r w:rsidR="00063282">
        <w:t>.,</w:t>
      </w:r>
      <w:r w:rsidRPr="02E2EE7D">
        <w:t xml:space="preserve"> cost per screen is halved)</w:t>
      </w:r>
    </w:p>
    <w:p w14:paraId="3A1E8FB2" w14:textId="7E44D233" w:rsidR="009D40F6" w:rsidRPr="00EA7C9B" w:rsidRDefault="002D5F0C" w:rsidP="009D40F6">
      <w:pPr>
        <w:pStyle w:val="MSACESParagraph"/>
        <w:jc w:val="both"/>
        <w:rPr>
          <w:rFonts w:ascii="Franklin Gothic Book" w:hAnsi="Franklin Gothic Book"/>
          <w:sz w:val="22"/>
        </w:rPr>
      </w:pPr>
      <w:r w:rsidRPr="00EA7C9B">
        <w:rPr>
          <w:rFonts w:ascii="Franklin Gothic Book" w:hAnsi="Franklin Gothic Book"/>
          <w:sz w:val="22"/>
        </w:rPr>
        <w:t xml:space="preserve">Three </w:t>
      </w:r>
      <w:r w:rsidR="009D40F6" w:rsidRPr="00EA7C9B">
        <w:rPr>
          <w:rFonts w:ascii="Franklin Gothic Book" w:hAnsi="Franklin Gothic Book"/>
          <w:sz w:val="22"/>
        </w:rPr>
        <w:t xml:space="preserve">additional scenario analyses </w:t>
      </w:r>
      <w:r w:rsidR="009A45CA" w:rsidRPr="00EA7C9B">
        <w:rPr>
          <w:rFonts w:ascii="Franklin Gothic Book" w:hAnsi="Franklin Gothic Book"/>
          <w:sz w:val="22"/>
        </w:rPr>
        <w:t xml:space="preserve">from the </w:t>
      </w:r>
      <w:r w:rsidR="00934486" w:rsidRPr="00EA7C9B">
        <w:rPr>
          <w:rFonts w:ascii="Franklin Gothic Book" w:hAnsi="Franklin Gothic Book"/>
          <w:sz w:val="22"/>
        </w:rPr>
        <w:t>Rejoinder for</w:t>
      </w:r>
      <w:r w:rsidR="009D40F6" w:rsidRPr="00EA7C9B">
        <w:rPr>
          <w:rFonts w:ascii="Franklin Gothic Book" w:hAnsi="Franklin Gothic Book"/>
          <w:sz w:val="22"/>
        </w:rPr>
        <w:t xml:space="preserve"> the potential impact on ERT expenditure associated with NBS screening for GSD II, under alternative scenarios are presented in </w:t>
      </w:r>
      <w:r w:rsidR="00735874" w:rsidRPr="00C05D04">
        <w:rPr>
          <w:rFonts w:ascii="Franklin Gothic Book" w:hAnsi="Franklin Gothic Book"/>
          <w:sz w:val="22"/>
          <w:szCs w:val="20"/>
        </w:rPr>
        <w:t>Table 19</w:t>
      </w:r>
      <w:r w:rsidR="00735874" w:rsidRPr="00263379">
        <w:t xml:space="preserve"> </w:t>
      </w:r>
      <w:r w:rsidR="009D40F6" w:rsidRPr="00EA7C9B">
        <w:rPr>
          <w:rFonts w:ascii="Franklin Gothic Book" w:hAnsi="Franklin Gothic Book"/>
          <w:sz w:val="22"/>
        </w:rPr>
        <w:t xml:space="preserve"> </w:t>
      </w:r>
      <w:r w:rsidR="00BF4D52" w:rsidRPr="00EA7C9B">
        <w:rPr>
          <w:rFonts w:ascii="Franklin Gothic Book" w:hAnsi="Franklin Gothic Book"/>
          <w:sz w:val="22"/>
        </w:rPr>
        <w:fldChar w:fldCharType="begin"/>
      </w:r>
      <w:r w:rsidR="00BF4D52" w:rsidRPr="00ED5CB7">
        <w:rPr>
          <w:rFonts w:ascii="Franklin Gothic Book" w:hAnsi="Franklin Gothic Book"/>
          <w:i/>
          <w:sz w:val="22"/>
        </w:rPr>
        <w:instrText xml:space="preserve"> REF _Ref191567339 \h  \* MERGEFORMAT </w:instrText>
      </w:r>
      <w:r w:rsidR="00BF4D52" w:rsidRPr="00EA7C9B">
        <w:rPr>
          <w:rFonts w:ascii="Franklin Gothic Book" w:hAnsi="Franklin Gothic Book"/>
          <w:sz w:val="22"/>
        </w:rPr>
      </w:r>
      <w:r w:rsidR="00BF4D52" w:rsidRPr="00EA7C9B">
        <w:rPr>
          <w:rFonts w:ascii="Franklin Gothic Book" w:hAnsi="Franklin Gothic Book"/>
          <w:sz w:val="22"/>
        </w:rPr>
        <w:fldChar w:fldCharType="end"/>
      </w:r>
      <w:r w:rsidR="00BF4D52" w:rsidRPr="00EA7C9B">
        <w:rPr>
          <w:rFonts w:ascii="Franklin Gothic Book" w:hAnsi="Franklin Gothic Book"/>
          <w:sz w:val="22"/>
        </w:rPr>
        <w:t xml:space="preserve"> to</w:t>
      </w:r>
      <w:r w:rsidR="00B7281A" w:rsidRPr="00EA7C9B">
        <w:rPr>
          <w:rFonts w:ascii="Franklin Gothic Book" w:hAnsi="Franklin Gothic Book"/>
          <w:sz w:val="22"/>
        </w:rPr>
        <w:t xml:space="preserve"> </w:t>
      </w:r>
      <w:r w:rsidR="003A1205" w:rsidRPr="00C05D04">
        <w:rPr>
          <w:rFonts w:ascii="Franklin Gothic Book" w:hAnsi="Franklin Gothic Book"/>
          <w:sz w:val="22"/>
          <w:szCs w:val="20"/>
        </w:rPr>
        <w:t>Table 23</w:t>
      </w:r>
      <w:r w:rsidR="00B7281A" w:rsidRPr="00C05D04">
        <w:rPr>
          <w:rFonts w:ascii="Franklin Gothic Book" w:hAnsi="Franklin Gothic Book"/>
          <w:sz w:val="20"/>
          <w:szCs w:val="20"/>
        </w:rPr>
        <w:t xml:space="preserve"> </w:t>
      </w:r>
      <w:r w:rsidR="00BF4D52" w:rsidRPr="00EA7C9B">
        <w:rPr>
          <w:rFonts w:ascii="Franklin Gothic Book" w:hAnsi="Franklin Gothic Book"/>
          <w:sz w:val="22"/>
        </w:rPr>
        <w:fldChar w:fldCharType="begin"/>
      </w:r>
      <w:r w:rsidR="00BF4D52" w:rsidRPr="00ED5CB7">
        <w:rPr>
          <w:rFonts w:ascii="Franklin Gothic Book" w:hAnsi="Franklin Gothic Book"/>
          <w:i/>
          <w:sz w:val="22"/>
        </w:rPr>
        <w:instrText xml:space="preserve"> REF _Ref191567346 \h  \* MERGEFORMAT </w:instrText>
      </w:r>
      <w:r w:rsidR="00BF4D52" w:rsidRPr="00EA7C9B">
        <w:rPr>
          <w:rFonts w:ascii="Franklin Gothic Book" w:hAnsi="Franklin Gothic Book"/>
          <w:sz w:val="22"/>
        </w:rPr>
      </w:r>
      <w:r w:rsidR="00BF4D52" w:rsidRPr="00EA7C9B">
        <w:rPr>
          <w:rFonts w:ascii="Franklin Gothic Book" w:hAnsi="Franklin Gothic Book"/>
          <w:sz w:val="22"/>
        </w:rPr>
        <w:fldChar w:fldCharType="end"/>
      </w:r>
      <w:r w:rsidR="00BF4D52" w:rsidRPr="00EA7C9B">
        <w:rPr>
          <w:rFonts w:ascii="Franklin Gothic Book" w:hAnsi="Franklin Gothic Book"/>
          <w:sz w:val="22"/>
        </w:rPr>
        <w:t>.</w:t>
      </w:r>
      <w:r w:rsidR="00F173CF" w:rsidRPr="00EA7C9B">
        <w:rPr>
          <w:rFonts w:ascii="Franklin Gothic Book" w:hAnsi="Franklin Gothic Book"/>
          <w:sz w:val="22"/>
        </w:rPr>
        <w:t xml:space="preserve"> ESC considered that Scenario 1 analysis informs MSAC by matching similar requests made previously </w:t>
      </w:r>
      <w:r w:rsidR="00F173CF" w:rsidRPr="00EC23EB">
        <w:rPr>
          <w:rFonts w:ascii="Franklin Gothic Book" w:hAnsi="Franklin Gothic Book"/>
          <w:sz w:val="22"/>
        </w:rPr>
        <w:t xml:space="preserve">by </w:t>
      </w:r>
      <w:r w:rsidR="00F173CF" w:rsidRPr="00EA7C9B">
        <w:rPr>
          <w:rFonts w:ascii="Franklin Gothic Book" w:hAnsi="Franklin Gothic Book"/>
          <w:sz w:val="22"/>
        </w:rPr>
        <w:t>MSAC to assess the consequence of both changing the NBS and changing the LSDP Guidelines to allow an increase in the ERT dose for IOGSD II patients.</w:t>
      </w:r>
    </w:p>
    <w:p w14:paraId="78A23123" w14:textId="1E6A5923" w:rsidR="009D40F6" w:rsidRPr="00EA7C9B" w:rsidRDefault="009D40F6" w:rsidP="009D40F6">
      <w:pPr>
        <w:pStyle w:val="Caption"/>
      </w:pPr>
      <w:bookmarkStart w:id="67" w:name="_Ref191567339"/>
      <w:r w:rsidRPr="00EA7C9B">
        <w:t xml:space="preserve">Table </w:t>
      </w:r>
      <w:r w:rsidR="00707D22">
        <w:t>19</w:t>
      </w:r>
      <w:bookmarkEnd w:id="67"/>
      <w:r w:rsidRPr="00263379">
        <w:t xml:space="preserve"> </w:t>
      </w:r>
      <w:r w:rsidRPr="00EA7C9B">
        <w:t xml:space="preserve">Implication to LSDP budget associated with NBS for GSD II using </w:t>
      </w:r>
      <w:r w:rsidRPr="00EA7C9B">
        <w:rPr>
          <w:u w:val="single"/>
        </w:rPr>
        <w:t>high dose ERT</w:t>
      </w:r>
      <w:r w:rsidR="00BF4D52" w:rsidRPr="00EA7C9B">
        <w:rPr>
          <w:u w:val="single"/>
        </w:rPr>
        <w:t xml:space="preserve"> (Scenario</w:t>
      </w:r>
      <w:r w:rsidR="00F173CF" w:rsidRPr="00EA7C9B">
        <w:rPr>
          <w:u w:val="single"/>
        </w:rPr>
        <w:t xml:space="preserve"> </w:t>
      </w:r>
      <w:r w:rsidR="00BF4D52" w:rsidRPr="00EA7C9B">
        <w:rPr>
          <w:u w:val="single"/>
        </w:rPr>
        <w:t>1)</w:t>
      </w:r>
    </w:p>
    <w:tbl>
      <w:tblPr>
        <w:tblW w:w="9018" w:type="dxa"/>
        <w:tblLayout w:type="fixed"/>
        <w:tblLook w:val="04A0" w:firstRow="1" w:lastRow="0" w:firstColumn="1" w:lastColumn="0" w:noHBand="0" w:noVBand="1"/>
      </w:tblPr>
      <w:tblGrid>
        <w:gridCol w:w="2718"/>
        <w:gridCol w:w="1050"/>
        <w:gridCol w:w="1050"/>
        <w:gridCol w:w="1050"/>
        <w:gridCol w:w="1050"/>
        <w:gridCol w:w="1050"/>
        <w:gridCol w:w="1050"/>
      </w:tblGrid>
      <w:tr w:rsidR="00BF4D52" w:rsidRPr="00BF4D52" w14:paraId="44E4B859" w14:textId="77777777" w:rsidTr="00175863">
        <w:trPr>
          <w:trHeight w:val="255"/>
          <w:tblHeader/>
        </w:trPr>
        <w:tc>
          <w:tcPr>
            <w:tcW w:w="2718" w:type="dxa"/>
            <w:tcBorders>
              <w:top w:val="single" w:sz="4" w:space="0" w:color="auto"/>
              <w:left w:val="single" w:sz="4" w:space="0" w:color="auto"/>
              <w:bottom w:val="single" w:sz="4" w:space="0" w:color="auto"/>
              <w:right w:val="single" w:sz="4" w:space="0" w:color="auto"/>
            </w:tcBorders>
            <w:noWrap/>
            <w:hideMark/>
          </w:tcPr>
          <w:p w14:paraId="01440A46" w14:textId="77777777" w:rsidR="009D40F6" w:rsidRPr="00DF68C6" w:rsidRDefault="009D40F6" w:rsidP="00EE2E26">
            <w:pPr>
              <w:rPr>
                <w:rFonts w:ascii="Arial Narrow" w:hAnsi="Arial Narrow"/>
                <w:sz w:val="20"/>
                <w:szCs w:val="20"/>
              </w:rPr>
            </w:pPr>
            <w:r w:rsidRPr="00DF68C6">
              <w:rPr>
                <w:rFonts w:ascii="Arial Narrow" w:hAnsi="Arial Narrow"/>
                <w:sz w:val="20"/>
                <w:szCs w:val="20"/>
              </w:rPr>
              <w:t> </w:t>
            </w:r>
          </w:p>
        </w:tc>
        <w:tc>
          <w:tcPr>
            <w:tcW w:w="1050" w:type="dxa"/>
            <w:tcBorders>
              <w:top w:val="single" w:sz="4" w:space="0" w:color="auto"/>
              <w:left w:val="single" w:sz="4" w:space="0" w:color="auto"/>
              <w:bottom w:val="single" w:sz="4" w:space="0" w:color="auto"/>
              <w:right w:val="single" w:sz="4" w:space="0" w:color="auto"/>
            </w:tcBorders>
            <w:noWrap/>
            <w:hideMark/>
          </w:tcPr>
          <w:p w14:paraId="2A4ACAF7" w14:textId="77777777" w:rsidR="009D40F6" w:rsidRPr="00DF68C6" w:rsidRDefault="009D40F6" w:rsidP="00EE2E26">
            <w:pPr>
              <w:rPr>
                <w:rFonts w:ascii="Arial Narrow" w:hAnsi="Arial Narrow"/>
                <w:b/>
                <w:bCs/>
                <w:sz w:val="20"/>
                <w:szCs w:val="20"/>
              </w:rPr>
            </w:pPr>
            <w:r w:rsidRPr="00DF68C6">
              <w:rPr>
                <w:rFonts w:ascii="Arial Narrow" w:hAnsi="Arial Narrow"/>
                <w:b/>
                <w:bCs/>
                <w:sz w:val="20"/>
                <w:szCs w:val="20"/>
              </w:rPr>
              <w:t>2025−26</w:t>
            </w:r>
          </w:p>
        </w:tc>
        <w:tc>
          <w:tcPr>
            <w:tcW w:w="1050" w:type="dxa"/>
            <w:tcBorders>
              <w:top w:val="single" w:sz="4" w:space="0" w:color="auto"/>
              <w:left w:val="single" w:sz="4" w:space="0" w:color="auto"/>
              <w:bottom w:val="single" w:sz="4" w:space="0" w:color="auto"/>
              <w:right w:val="single" w:sz="4" w:space="0" w:color="auto"/>
            </w:tcBorders>
            <w:noWrap/>
            <w:hideMark/>
          </w:tcPr>
          <w:p w14:paraId="12592DAA" w14:textId="77777777" w:rsidR="009D40F6" w:rsidRPr="00DF68C6" w:rsidRDefault="009D40F6" w:rsidP="00EE2E26">
            <w:pPr>
              <w:rPr>
                <w:rFonts w:ascii="Arial Narrow" w:hAnsi="Arial Narrow"/>
                <w:b/>
                <w:bCs/>
                <w:sz w:val="20"/>
                <w:szCs w:val="20"/>
              </w:rPr>
            </w:pPr>
            <w:r w:rsidRPr="00DF68C6">
              <w:rPr>
                <w:rFonts w:ascii="Arial Narrow" w:hAnsi="Arial Narrow"/>
                <w:b/>
                <w:bCs/>
                <w:sz w:val="20"/>
                <w:szCs w:val="20"/>
              </w:rPr>
              <w:t>2026−27</w:t>
            </w:r>
          </w:p>
        </w:tc>
        <w:tc>
          <w:tcPr>
            <w:tcW w:w="1050" w:type="dxa"/>
            <w:tcBorders>
              <w:top w:val="single" w:sz="4" w:space="0" w:color="auto"/>
              <w:left w:val="single" w:sz="4" w:space="0" w:color="auto"/>
              <w:bottom w:val="single" w:sz="4" w:space="0" w:color="auto"/>
              <w:right w:val="single" w:sz="4" w:space="0" w:color="auto"/>
            </w:tcBorders>
            <w:noWrap/>
            <w:hideMark/>
          </w:tcPr>
          <w:p w14:paraId="0239A020" w14:textId="77777777" w:rsidR="009D40F6" w:rsidRPr="00DF68C6" w:rsidRDefault="009D40F6" w:rsidP="00EE2E26">
            <w:pPr>
              <w:rPr>
                <w:rFonts w:ascii="Arial Narrow" w:hAnsi="Arial Narrow"/>
                <w:b/>
                <w:bCs/>
                <w:sz w:val="20"/>
                <w:szCs w:val="20"/>
              </w:rPr>
            </w:pPr>
            <w:r w:rsidRPr="00DF68C6">
              <w:rPr>
                <w:rFonts w:ascii="Arial Narrow" w:hAnsi="Arial Narrow"/>
                <w:b/>
                <w:bCs/>
                <w:sz w:val="20"/>
                <w:szCs w:val="20"/>
              </w:rPr>
              <w:t>2027−28</w:t>
            </w:r>
          </w:p>
        </w:tc>
        <w:tc>
          <w:tcPr>
            <w:tcW w:w="1050" w:type="dxa"/>
            <w:tcBorders>
              <w:top w:val="single" w:sz="4" w:space="0" w:color="auto"/>
              <w:left w:val="single" w:sz="4" w:space="0" w:color="auto"/>
              <w:bottom w:val="single" w:sz="4" w:space="0" w:color="auto"/>
              <w:right w:val="single" w:sz="4" w:space="0" w:color="auto"/>
            </w:tcBorders>
            <w:noWrap/>
            <w:hideMark/>
          </w:tcPr>
          <w:p w14:paraId="77C0A0C9" w14:textId="77777777" w:rsidR="009D40F6" w:rsidRPr="00DF68C6" w:rsidRDefault="009D40F6" w:rsidP="00EE2E26">
            <w:pPr>
              <w:rPr>
                <w:rFonts w:ascii="Arial Narrow" w:hAnsi="Arial Narrow"/>
                <w:b/>
                <w:bCs/>
                <w:sz w:val="20"/>
                <w:szCs w:val="20"/>
              </w:rPr>
            </w:pPr>
            <w:r w:rsidRPr="00DF68C6">
              <w:rPr>
                <w:rFonts w:ascii="Arial Narrow" w:hAnsi="Arial Narrow"/>
                <w:b/>
                <w:bCs/>
                <w:sz w:val="20"/>
                <w:szCs w:val="20"/>
              </w:rPr>
              <w:t>2028−29</w:t>
            </w:r>
          </w:p>
        </w:tc>
        <w:tc>
          <w:tcPr>
            <w:tcW w:w="1050" w:type="dxa"/>
            <w:tcBorders>
              <w:top w:val="single" w:sz="4" w:space="0" w:color="auto"/>
              <w:left w:val="single" w:sz="4" w:space="0" w:color="auto"/>
              <w:bottom w:val="single" w:sz="4" w:space="0" w:color="auto"/>
              <w:right w:val="single" w:sz="4" w:space="0" w:color="auto"/>
            </w:tcBorders>
            <w:noWrap/>
            <w:hideMark/>
          </w:tcPr>
          <w:p w14:paraId="33E52736" w14:textId="77777777" w:rsidR="009D40F6" w:rsidRPr="00DF68C6" w:rsidRDefault="009D40F6" w:rsidP="00EE2E26">
            <w:pPr>
              <w:rPr>
                <w:rFonts w:ascii="Arial Narrow" w:hAnsi="Arial Narrow"/>
                <w:b/>
                <w:bCs/>
                <w:sz w:val="20"/>
                <w:szCs w:val="20"/>
              </w:rPr>
            </w:pPr>
            <w:r w:rsidRPr="00DF68C6">
              <w:rPr>
                <w:rFonts w:ascii="Arial Narrow" w:hAnsi="Arial Narrow"/>
                <w:b/>
                <w:bCs/>
                <w:sz w:val="20"/>
                <w:szCs w:val="20"/>
              </w:rPr>
              <w:t>2029−30</w:t>
            </w:r>
          </w:p>
        </w:tc>
        <w:tc>
          <w:tcPr>
            <w:tcW w:w="1050" w:type="dxa"/>
            <w:tcBorders>
              <w:top w:val="single" w:sz="4" w:space="0" w:color="auto"/>
              <w:left w:val="single" w:sz="4" w:space="0" w:color="auto"/>
              <w:bottom w:val="single" w:sz="4" w:space="0" w:color="auto"/>
              <w:right w:val="single" w:sz="4" w:space="0" w:color="auto"/>
            </w:tcBorders>
            <w:noWrap/>
            <w:hideMark/>
          </w:tcPr>
          <w:p w14:paraId="791E0FDD" w14:textId="77777777" w:rsidR="009D40F6" w:rsidRPr="00DF68C6" w:rsidRDefault="009D40F6" w:rsidP="00EE2E26">
            <w:pPr>
              <w:rPr>
                <w:rFonts w:ascii="Arial Narrow" w:hAnsi="Arial Narrow"/>
                <w:b/>
                <w:bCs/>
                <w:sz w:val="20"/>
                <w:szCs w:val="20"/>
              </w:rPr>
            </w:pPr>
            <w:r w:rsidRPr="00DF68C6">
              <w:rPr>
                <w:rFonts w:ascii="Arial Narrow" w:hAnsi="Arial Narrow"/>
                <w:b/>
                <w:bCs/>
                <w:sz w:val="20"/>
                <w:szCs w:val="20"/>
              </w:rPr>
              <w:t>2030−31</w:t>
            </w:r>
          </w:p>
        </w:tc>
      </w:tr>
      <w:tr w:rsidR="00BF4D52" w:rsidRPr="00BF4D52" w14:paraId="2352BC3A" w14:textId="77777777" w:rsidTr="00175863">
        <w:trPr>
          <w:trHeight w:val="127"/>
        </w:trPr>
        <w:tc>
          <w:tcPr>
            <w:tcW w:w="2718" w:type="dxa"/>
            <w:tcBorders>
              <w:top w:val="single" w:sz="4" w:space="0" w:color="auto"/>
              <w:left w:val="single" w:sz="4" w:space="0" w:color="auto"/>
              <w:bottom w:val="single" w:sz="4" w:space="0" w:color="auto"/>
              <w:right w:val="nil"/>
            </w:tcBorders>
            <w:noWrap/>
            <w:hideMark/>
          </w:tcPr>
          <w:p w14:paraId="4F90C841" w14:textId="77777777" w:rsidR="009D40F6" w:rsidRPr="00DF68C6" w:rsidRDefault="009D40F6" w:rsidP="00EE2E26">
            <w:pPr>
              <w:spacing w:after="0"/>
              <w:rPr>
                <w:rFonts w:ascii="Arial Narrow" w:hAnsi="Arial Narrow"/>
                <w:b/>
                <w:bCs/>
                <w:i/>
                <w:iCs/>
                <w:sz w:val="20"/>
                <w:szCs w:val="20"/>
                <w:u w:val="single"/>
              </w:rPr>
            </w:pPr>
            <w:r w:rsidRPr="00DF68C6">
              <w:rPr>
                <w:rFonts w:ascii="Arial Narrow" w:hAnsi="Arial Narrow"/>
                <w:b/>
                <w:bCs/>
                <w:i/>
                <w:iCs/>
                <w:sz w:val="20"/>
                <w:szCs w:val="20"/>
                <w:u w:val="single"/>
              </w:rPr>
              <w:t>Universal NBS</w:t>
            </w:r>
          </w:p>
        </w:tc>
        <w:tc>
          <w:tcPr>
            <w:tcW w:w="1050" w:type="dxa"/>
            <w:tcBorders>
              <w:top w:val="single" w:sz="4" w:space="0" w:color="auto"/>
              <w:left w:val="nil"/>
              <w:bottom w:val="single" w:sz="4" w:space="0" w:color="auto"/>
              <w:right w:val="nil"/>
            </w:tcBorders>
            <w:noWrap/>
          </w:tcPr>
          <w:p w14:paraId="005F4F91" w14:textId="77777777" w:rsidR="009D40F6" w:rsidRPr="00DF68C6" w:rsidRDefault="009D40F6" w:rsidP="00EE2E26">
            <w:pPr>
              <w:spacing w:after="0"/>
              <w:rPr>
                <w:rFonts w:ascii="Arial Narrow" w:hAnsi="Arial Narrow"/>
                <w:b/>
                <w:bCs/>
                <w:i/>
                <w:iCs/>
                <w:sz w:val="20"/>
                <w:szCs w:val="20"/>
                <w:u w:val="single"/>
              </w:rPr>
            </w:pPr>
          </w:p>
        </w:tc>
        <w:tc>
          <w:tcPr>
            <w:tcW w:w="1050" w:type="dxa"/>
            <w:tcBorders>
              <w:top w:val="single" w:sz="4" w:space="0" w:color="auto"/>
              <w:left w:val="nil"/>
              <w:bottom w:val="single" w:sz="4" w:space="0" w:color="auto"/>
              <w:right w:val="nil"/>
            </w:tcBorders>
            <w:noWrap/>
          </w:tcPr>
          <w:p w14:paraId="637C1B01" w14:textId="77777777" w:rsidR="009D40F6" w:rsidRPr="00DF68C6" w:rsidRDefault="009D40F6" w:rsidP="00EE2E26">
            <w:pPr>
              <w:spacing w:after="0"/>
              <w:rPr>
                <w:rFonts w:ascii="Arial Narrow" w:hAnsi="Arial Narrow"/>
                <w:b/>
                <w:bCs/>
                <w:i/>
                <w:iCs/>
                <w:sz w:val="20"/>
                <w:szCs w:val="20"/>
                <w:u w:val="single"/>
              </w:rPr>
            </w:pPr>
          </w:p>
        </w:tc>
        <w:tc>
          <w:tcPr>
            <w:tcW w:w="1050" w:type="dxa"/>
            <w:tcBorders>
              <w:top w:val="single" w:sz="4" w:space="0" w:color="auto"/>
              <w:left w:val="nil"/>
              <w:bottom w:val="single" w:sz="4" w:space="0" w:color="auto"/>
              <w:right w:val="nil"/>
            </w:tcBorders>
            <w:noWrap/>
          </w:tcPr>
          <w:p w14:paraId="2B24F173" w14:textId="77777777" w:rsidR="009D40F6" w:rsidRPr="00DF68C6" w:rsidRDefault="009D40F6" w:rsidP="00EE2E26">
            <w:pPr>
              <w:spacing w:after="0"/>
              <w:rPr>
                <w:rFonts w:ascii="Arial Narrow" w:hAnsi="Arial Narrow"/>
                <w:b/>
                <w:bCs/>
                <w:i/>
                <w:iCs/>
                <w:sz w:val="20"/>
                <w:szCs w:val="20"/>
                <w:u w:val="single"/>
              </w:rPr>
            </w:pPr>
          </w:p>
        </w:tc>
        <w:tc>
          <w:tcPr>
            <w:tcW w:w="1050" w:type="dxa"/>
            <w:tcBorders>
              <w:top w:val="single" w:sz="4" w:space="0" w:color="auto"/>
              <w:left w:val="nil"/>
              <w:bottom w:val="single" w:sz="4" w:space="0" w:color="auto"/>
              <w:right w:val="nil"/>
            </w:tcBorders>
            <w:noWrap/>
          </w:tcPr>
          <w:p w14:paraId="434F82D9" w14:textId="77777777" w:rsidR="009D40F6" w:rsidRPr="00DF68C6" w:rsidRDefault="009D40F6" w:rsidP="00EE2E26">
            <w:pPr>
              <w:spacing w:after="0"/>
              <w:rPr>
                <w:rFonts w:ascii="Arial Narrow" w:hAnsi="Arial Narrow"/>
                <w:b/>
                <w:bCs/>
                <w:i/>
                <w:iCs/>
                <w:sz w:val="20"/>
                <w:szCs w:val="20"/>
                <w:u w:val="single"/>
              </w:rPr>
            </w:pPr>
          </w:p>
        </w:tc>
        <w:tc>
          <w:tcPr>
            <w:tcW w:w="1050" w:type="dxa"/>
            <w:tcBorders>
              <w:top w:val="single" w:sz="4" w:space="0" w:color="auto"/>
              <w:left w:val="nil"/>
              <w:bottom w:val="single" w:sz="4" w:space="0" w:color="auto"/>
              <w:right w:val="nil"/>
            </w:tcBorders>
            <w:noWrap/>
          </w:tcPr>
          <w:p w14:paraId="5C5B8FE7" w14:textId="77777777" w:rsidR="009D40F6" w:rsidRPr="00DF68C6" w:rsidRDefault="009D40F6" w:rsidP="00EE2E26">
            <w:pPr>
              <w:spacing w:after="0"/>
              <w:rPr>
                <w:rFonts w:ascii="Arial Narrow" w:hAnsi="Arial Narrow"/>
                <w:b/>
                <w:bCs/>
                <w:i/>
                <w:iCs/>
                <w:sz w:val="20"/>
                <w:szCs w:val="20"/>
                <w:u w:val="single"/>
              </w:rPr>
            </w:pPr>
          </w:p>
        </w:tc>
        <w:tc>
          <w:tcPr>
            <w:tcW w:w="1050" w:type="dxa"/>
            <w:tcBorders>
              <w:top w:val="single" w:sz="4" w:space="0" w:color="auto"/>
              <w:left w:val="nil"/>
              <w:bottom w:val="single" w:sz="4" w:space="0" w:color="auto"/>
              <w:right w:val="single" w:sz="4" w:space="0" w:color="auto"/>
            </w:tcBorders>
            <w:noWrap/>
          </w:tcPr>
          <w:p w14:paraId="3FAC7F4A" w14:textId="77777777" w:rsidR="009D40F6" w:rsidRPr="00DF68C6" w:rsidRDefault="009D40F6" w:rsidP="00EE2E26">
            <w:pPr>
              <w:spacing w:after="0"/>
              <w:rPr>
                <w:rFonts w:ascii="Arial Narrow" w:hAnsi="Arial Narrow"/>
                <w:b/>
                <w:bCs/>
                <w:i/>
                <w:iCs/>
                <w:sz w:val="20"/>
                <w:szCs w:val="20"/>
                <w:u w:val="single"/>
              </w:rPr>
            </w:pPr>
          </w:p>
        </w:tc>
      </w:tr>
      <w:tr w:rsidR="00BF4D52" w:rsidRPr="00BF4D52" w14:paraId="0B7089D1" w14:textId="77777777" w:rsidTr="00175863">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1720EF3D" w14:textId="77777777" w:rsidR="009D40F6" w:rsidRPr="00DF68C6" w:rsidRDefault="009D40F6" w:rsidP="00EE2E26">
            <w:pPr>
              <w:spacing w:before="40" w:after="0" w:line="240" w:lineRule="auto"/>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Number of GSD II affected cases diagnosed</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6586B8F2"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10.60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7C72082F"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10.60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3DB0DEF9"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10.60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4566BF83"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10.60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11CDE241"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10.60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226D8D0A"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10.60</w:t>
            </w:r>
          </w:p>
        </w:tc>
      </w:tr>
      <w:tr w:rsidR="00BF4D52" w:rsidRPr="00BF4D52" w14:paraId="69B92BB1" w14:textId="77777777" w:rsidTr="00175863">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29D67E17" w14:textId="77777777" w:rsidR="009D40F6" w:rsidRPr="00DF68C6" w:rsidRDefault="009D40F6" w:rsidP="00EE2E26">
            <w:pPr>
              <w:spacing w:before="40" w:after="0" w:line="240" w:lineRule="auto"/>
              <w:ind w:left="720" w:hanging="273"/>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 with IOGSD II</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24B01053"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116EFD12"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69EF68DD"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2096D183"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54F03F4B"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1FB8FCA3"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1.00</w:t>
            </w:r>
          </w:p>
        </w:tc>
      </w:tr>
      <w:tr w:rsidR="00BF4D52" w:rsidRPr="00BF4D52" w14:paraId="25A7F8AE" w14:textId="77777777" w:rsidTr="00175863">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7877366D" w14:textId="77777777" w:rsidR="009D40F6" w:rsidRPr="00DF68C6" w:rsidRDefault="009D40F6" w:rsidP="00EE2E26">
            <w:pPr>
              <w:spacing w:before="40" w:after="0" w:line="240" w:lineRule="auto"/>
              <w:ind w:left="720" w:hanging="273"/>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 with LOGSD II</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106FF4ED"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9.60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3213EF5B"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9.60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41D245EF"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9.60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3AD1AD6D"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9.60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18F71301"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9.60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59A0D020"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9.60</w:t>
            </w:r>
          </w:p>
        </w:tc>
      </w:tr>
      <w:tr w:rsidR="00BF4D52" w:rsidRPr="00BF4D52" w14:paraId="193CE3B1" w14:textId="77777777" w:rsidTr="00175863">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56F01260" w14:textId="77777777" w:rsidR="009D40F6" w:rsidRPr="00DF68C6" w:rsidRDefault="009D40F6" w:rsidP="00EE2E26">
            <w:pPr>
              <w:spacing w:before="40" w:after="0" w:line="240" w:lineRule="auto"/>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Cumulative number of LOGSD II cases symptomatic at age 2 years</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52FDE12A"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0.00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70B3DE7F"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0.00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3F6BB0F6"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0.63</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2170ACE7"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1.26</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7AA5E418"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1.89</w:t>
            </w:r>
          </w:p>
        </w:tc>
        <w:tc>
          <w:tcPr>
            <w:tcW w:w="1050" w:type="dxa"/>
            <w:tcBorders>
              <w:top w:val="single" w:sz="4" w:space="0" w:color="auto"/>
              <w:left w:val="single" w:sz="4" w:space="0" w:color="auto"/>
              <w:bottom w:val="single" w:sz="4" w:space="0" w:color="auto"/>
              <w:right w:val="single" w:sz="4" w:space="0" w:color="auto"/>
            </w:tcBorders>
            <w:noWrap/>
            <w:vAlign w:val="center"/>
            <w:hideMark/>
          </w:tcPr>
          <w:p w14:paraId="492C662D"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2.52</w:t>
            </w:r>
          </w:p>
        </w:tc>
      </w:tr>
      <w:tr w:rsidR="00B12AFD" w:rsidRPr="00BF4D52" w14:paraId="1D0AAE1C" w14:textId="77777777" w:rsidTr="007229D6">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3175F3E2" w14:textId="68B98AC4" w:rsidR="00B12AFD" w:rsidRPr="00DF68C6" w:rsidRDefault="00B12AFD" w:rsidP="00B12AFD">
            <w:pPr>
              <w:spacing w:before="40" w:after="0" w:line="240" w:lineRule="auto"/>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 xml:space="preserve">ERT costs, IOGSD II and treated with high dose </w:t>
            </w:r>
          </w:p>
        </w:tc>
        <w:tc>
          <w:tcPr>
            <w:tcW w:w="1050"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1519F3DB" w14:textId="4B18B973" w:rsidR="00B12AFD" w:rsidRPr="00807D60" w:rsidRDefault="00B12AFD" w:rsidP="00B12AFD">
            <w:pPr>
              <w:spacing w:before="40" w:after="0" w:line="240" w:lineRule="auto"/>
              <w:jc w:val="right"/>
              <w:rPr>
                <w:rFonts w:ascii="Arial Narrow" w:eastAsia="Arial Narrow" w:hAnsi="Arial Narrow" w:cs="Arial Narrow"/>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1FACC85D" w14:textId="0E8F4839" w:rsidR="00B12AFD" w:rsidRPr="00807D60" w:rsidRDefault="00B12AFD" w:rsidP="00B12AFD">
            <w:pPr>
              <w:spacing w:before="40" w:after="0" w:line="240" w:lineRule="auto"/>
              <w:jc w:val="right"/>
              <w:rPr>
                <w:rFonts w:ascii="Arial Narrow" w:eastAsia="Arial Narrow" w:hAnsi="Arial Narrow" w:cs="Arial Narrow"/>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28F6D47" w14:textId="29D26536" w:rsidR="00B12AFD" w:rsidRPr="00807D60" w:rsidRDefault="00B12AFD" w:rsidP="00B12AFD">
            <w:pPr>
              <w:spacing w:before="40" w:after="0" w:line="240" w:lineRule="auto"/>
              <w:jc w:val="right"/>
              <w:rPr>
                <w:rFonts w:ascii="Arial Narrow" w:eastAsia="Arial Narrow" w:hAnsi="Arial Narrow" w:cs="Arial Narrow"/>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1360204D" w14:textId="07818C6E" w:rsidR="00B12AFD" w:rsidRPr="00807D60" w:rsidRDefault="00B12AFD" w:rsidP="00B12AFD">
            <w:pPr>
              <w:spacing w:before="40" w:after="0" w:line="240" w:lineRule="auto"/>
              <w:jc w:val="right"/>
              <w:rPr>
                <w:rFonts w:ascii="Arial Narrow" w:eastAsia="Arial Narrow" w:hAnsi="Arial Narrow" w:cs="Arial Narrow"/>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69C3E5D7" w14:textId="0FF51A33" w:rsidR="00B12AFD" w:rsidRPr="00807D60" w:rsidRDefault="00B12AFD" w:rsidP="00B12AFD">
            <w:pPr>
              <w:spacing w:before="40" w:after="0" w:line="240" w:lineRule="auto"/>
              <w:jc w:val="right"/>
              <w:rPr>
                <w:rFonts w:ascii="Arial Narrow" w:eastAsia="Arial Narrow" w:hAnsi="Arial Narrow" w:cs="Arial Narrow"/>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1B5547F8" w14:textId="48FADFE2" w:rsidR="00B12AFD" w:rsidRPr="00807D60" w:rsidRDefault="00B12AFD" w:rsidP="00B12AFD">
            <w:pPr>
              <w:spacing w:before="40" w:after="0" w:line="240" w:lineRule="auto"/>
              <w:jc w:val="right"/>
              <w:rPr>
                <w:rFonts w:ascii="Arial Narrow" w:eastAsia="Arial Narrow" w:hAnsi="Arial Narrow" w:cs="Arial Narrow"/>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B12AFD" w:rsidRPr="00BF4D52" w14:paraId="5E0A4551" w14:textId="77777777" w:rsidTr="007229D6">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472E7D8E" w14:textId="77777777" w:rsidR="00B12AFD" w:rsidRPr="00DF68C6" w:rsidRDefault="00B12AFD" w:rsidP="00B12AFD">
            <w:pPr>
              <w:spacing w:before="40" w:after="0" w:line="240" w:lineRule="auto"/>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ERT costs, LOGSD II</w:t>
            </w:r>
          </w:p>
        </w:tc>
        <w:tc>
          <w:tcPr>
            <w:tcW w:w="1050" w:type="dxa"/>
            <w:tcBorders>
              <w:top w:val="single" w:sz="4" w:space="0" w:color="auto"/>
              <w:left w:val="single" w:sz="4" w:space="0" w:color="auto"/>
              <w:bottom w:val="single" w:sz="4" w:space="0" w:color="auto"/>
              <w:right w:val="single" w:sz="4" w:space="0" w:color="auto"/>
            </w:tcBorders>
            <w:noWrap/>
            <w:hideMark/>
          </w:tcPr>
          <w:p w14:paraId="5D9397E9" w14:textId="5B6BB445" w:rsidR="00B12AFD" w:rsidRPr="00807D60" w:rsidRDefault="00B12AFD" w:rsidP="00B12AFD">
            <w:pPr>
              <w:spacing w:before="40" w:after="0" w:line="240" w:lineRule="auto"/>
              <w:jc w:val="right"/>
              <w:rPr>
                <w:rFonts w:ascii="Arial Narrow" w:eastAsia="Arial Narrow" w:hAnsi="Arial Narrow" w:cs="Arial Narrow"/>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0237B1FF" w14:textId="4DEFACBB" w:rsidR="00B12AFD" w:rsidRPr="00807D60" w:rsidRDefault="00B12AFD" w:rsidP="00B12AFD">
            <w:pPr>
              <w:spacing w:before="40" w:after="0" w:line="240" w:lineRule="auto"/>
              <w:jc w:val="right"/>
              <w:rPr>
                <w:rFonts w:ascii="Arial Narrow" w:eastAsia="Arial Narrow" w:hAnsi="Arial Narrow" w:cs="Arial Narrow"/>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2DB429C7" w14:textId="7EC270D3" w:rsidR="00B12AFD" w:rsidRPr="00807D60" w:rsidRDefault="00B12AFD" w:rsidP="00B12AFD">
            <w:pPr>
              <w:spacing w:before="40" w:after="0" w:line="240" w:lineRule="auto"/>
              <w:jc w:val="right"/>
              <w:rPr>
                <w:rFonts w:ascii="Arial Narrow" w:eastAsia="Arial Narrow" w:hAnsi="Arial Narrow" w:cs="Arial Narrow"/>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73B37C3A" w14:textId="046F4844" w:rsidR="00B12AFD" w:rsidRPr="00807D60" w:rsidRDefault="00B12AFD" w:rsidP="00B12AFD">
            <w:pPr>
              <w:spacing w:before="40" w:after="0" w:line="240" w:lineRule="auto"/>
              <w:jc w:val="right"/>
              <w:rPr>
                <w:rFonts w:ascii="Arial Narrow" w:eastAsia="Arial Narrow" w:hAnsi="Arial Narrow" w:cs="Arial Narrow"/>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47B1B21C" w14:textId="3C3404B0" w:rsidR="00B12AFD" w:rsidRPr="00807D60" w:rsidRDefault="00B12AFD" w:rsidP="00B12AFD">
            <w:pPr>
              <w:spacing w:before="40" w:after="0" w:line="240" w:lineRule="auto"/>
              <w:jc w:val="right"/>
              <w:rPr>
                <w:rFonts w:ascii="Arial Narrow" w:eastAsia="Arial Narrow" w:hAnsi="Arial Narrow" w:cs="Arial Narrow"/>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070AAB86" w14:textId="32A49F51" w:rsidR="00B12AFD" w:rsidRPr="00807D60" w:rsidRDefault="00B12AFD" w:rsidP="00B12AFD">
            <w:pPr>
              <w:spacing w:before="40" w:after="0" w:line="240" w:lineRule="auto"/>
              <w:jc w:val="right"/>
              <w:rPr>
                <w:rFonts w:ascii="Arial Narrow" w:eastAsia="Arial Narrow" w:hAnsi="Arial Narrow" w:cs="Arial Narrow"/>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B12AFD" w:rsidRPr="00BF4D52" w14:paraId="59264BC2" w14:textId="77777777" w:rsidTr="00175863">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5258C389" w14:textId="77777777" w:rsidR="00B12AFD" w:rsidRPr="00DF68C6" w:rsidRDefault="00B12AFD" w:rsidP="00B12AFD">
            <w:pPr>
              <w:spacing w:before="40" w:after="0" w:line="240" w:lineRule="auto"/>
              <w:rPr>
                <w:rFonts w:ascii="Arial Narrow" w:eastAsia="Arial Narrow" w:hAnsi="Arial Narrow" w:cs="Arial Narrow"/>
                <w:b/>
                <w:bCs/>
                <w:i/>
                <w:iCs/>
                <w:sz w:val="20"/>
                <w:szCs w:val="20"/>
              </w:rPr>
            </w:pPr>
            <w:r w:rsidRPr="00DF68C6">
              <w:rPr>
                <w:rFonts w:ascii="Arial Narrow" w:eastAsia="Arial Narrow" w:hAnsi="Arial Narrow" w:cs="Arial Narrow"/>
                <w:b/>
                <w:bCs/>
                <w:i/>
                <w:iCs/>
                <w:sz w:val="20"/>
                <w:szCs w:val="20"/>
              </w:rPr>
              <w:t xml:space="preserve">Total costs to LSDP with NBS and high dose ERT </w:t>
            </w:r>
          </w:p>
        </w:tc>
        <w:tc>
          <w:tcPr>
            <w:tcW w:w="1050" w:type="dxa"/>
            <w:tcBorders>
              <w:top w:val="single" w:sz="4" w:space="0" w:color="auto"/>
              <w:left w:val="single" w:sz="4" w:space="0" w:color="auto"/>
              <w:bottom w:val="single" w:sz="4" w:space="0" w:color="auto"/>
              <w:right w:val="single" w:sz="4" w:space="0" w:color="auto"/>
            </w:tcBorders>
            <w:noWrap/>
            <w:hideMark/>
          </w:tcPr>
          <w:p w14:paraId="32524546" w14:textId="7080B5EC" w:rsidR="00B12AFD" w:rsidRPr="00807D60" w:rsidRDefault="00B12AFD" w:rsidP="00B12AFD">
            <w:pPr>
              <w:spacing w:before="40" w:after="0" w:line="240" w:lineRule="auto"/>
              <w:jc w:val="right"/>
              <w:rPr>
                <w:rFonts w:ascii="Arial Narrow" w:hAnsi="Arial Narrow"/>
                <w:b/>
                <w:bCs/>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1938547E" w14:textId="14D0143A" w:rsidR="00B12AFD" w:rsidRPr="00807D60" w:rsidRDefault="00B12AFD" w:rsidP="00B12AFD">
            <w:pPr>
              <w:spacing w:before="40" w:after="0" w:line="240" w:lineRule="auto"/>
              <w:jc w:val="right"/>
              <w:rPr>
                <w:rFonts w:ascii="Arial Narrow" w:hAnsi="Arial Narrow"/>
                <w:b/>
                <w:bCs/>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210E12E2" w14:textId="0DA4A15B" w:rsidR="00B12AFD" w:rsidRPr="00807D60" w:rsidRDefault="00B12AFD" w:rsidP="00B12AFD">
            <w:pPr>
              <w:spacing w:before="40" w:after="0" w:line="240" w:lineRule="auto"/>
              <w:jc w:val="right"/>
              <w:rPr>
                <w:rFonts w:ascii="Arial Narrow" w:hAnsi="Arial Narrow"/>
                <w:b/>
                <w:bCs/>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33F728EA" w14:textId="7FCEE0F1" w:rsidR="00B12AFD" w:rsidRPr="00807D60" w:rsidRDefault="00B12AFD" w:rsidP="00B12AFD">
            <w:pPr>
              <w:spacing w:before="40" w:after="0" w:line="240" w:lineRule="auto"/>
              <w:jc w:val="right"/>
              <w:rPr>
                <w:rFonts w:ascii="Arial Narrow" w:hAnsi="Arial Narrow"/>
                <w:b/>
                <w:bCs/>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2BE9776B" w14:textId="3E98894B" w:rsidR="00B12AFD" w:rsidRPr="00807D60" w:rsidRDefault="00B12AFD" w:rsidP="00B12AFD">
            <w:pPr>
              <w:spacing w:before="40" w:after="0" w:line="240" w:lineRule="auto"/>
              <w:jc w:val="right"/>
              <w:rPr>
                <w:rFonts w:ascii="Arial Narrow" w:hAnsi="Arial Narrow"/>
                <w:b/>
                <w:bCs/>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3697189E" w14:textId="7CD7D2F1" w:rsidR="00B12AFD" w:rsidRPr="00807D60" w:rsidRDefault="00B12AFD" w:rsidP="00B12AFD">
            <w:pPr>
              <w:spacing w:before="40" w:after="0" w:line="240" w:lineRule="auto"/>
              <w:jc w:val="right"/>
              <w:rPr>
                <w:rFonts w:ascii="Arial Narrow" w:hAnsi="Arial Narrow"/>
                <w:b/>
                <w:bCs/>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BF4D52" w:rsidRPr="00BF4D52" w14:paraId="53749332" w14:textId="77777777" w:rsidTr="00175863">
        <w:trPr>
          <w:trHeight w:val="255"/>
        </w:trPr>
        <w:tc>
          <w:tcPr>
            <w:tcW w:w="2718" w:type="dxa"/>
            <w:tcBorders>
              <w:top w:val="single" w:sz="4" w:space="0" w:color="auto"/>
              <w:left w:val="single" w:sz="4" w:space="0" w:color="auto"/>
              <w:bottom w:val="single" w:sz="4" w:space="0" w:color="auto"/>
              <w:right w:val="nil"/>
            </w:tcBorders>
            <w:noWrap/>
            <w:vAlign w:val="bottom"/>
            <w:hideMark/>
          </w:tcPr>
          <w:p w14:paraId="31801E35" w14:textId="77777777" w:rsidR="009D40F6" w:rsidRPr="00DF68C6" w:rsidRDefault="009D40F6" w:rsidP="00EE2E26">
            <w:pPr>
              <w:spacing w:before="40" w:after="0" w:line="240" w:lineRule="auto"/>
              <w:rPr>
                <w:rFonts w:ascii="Arial Narrow" w:eastAsia="Arial Narrow" w:hAnsi="Arial Narrow" w:cs="Arial Narrow"/>
                <w:b/>
                <w:bCs/>
                <w:i/>
                <w:iCs/>
                <w:sz w:val="20"/>
                <w:szCs w:val="20"/>
                <w:u w:val="single"/>
              </w:rPr>
            </w:pPr>
            <w:r w:rsidRPr="00DF68C6">
              <w:rPr>
                <w:rFonts w:ascii="Arial Narrow" w:eastAsia="Arial Narrow" w:hAnsi="Arial Narrow" w:cs="Arial Narrow"/>
                <w:b/>
                <w:bCs/>
                <w:i/>
                <w:iCs/>
                <w:sz w:val="20"/>
                <w:szCs w:val="20"/>
                <w:u w:val="single"/>
              </w:rPr>
              <w:t>Current practice (offsets)</w:t>
            </w:r>
          </w:p>
        </w:tc>
        <w:tc>
          <w:tcPr>
            <w:tcW w:w="1050" w:type="dxa"/>
            <w:tcBorders>
              <w:top w:val="single" w:sz="4" w:space="0" w:color="auto"/>
              <w:left w:val="nil"/>
              <w:bottom w:val="single" w:sz="4" w:space="0" w:color="auto"/>
              <w:right w:val="nil"/>
            </w:tcBorders>
            <w:noWrap/>
            <w:vAlign w:val="center"/>
          </w:tcPr>
          <w:p w14:paraId="1B13B25F" w14:textId="77777777" w:rsidR="009D40F6" w:rsidRPr="00DF68C6" w:rsidRDefault="009D40F6" w:rsidP="00EE2E26">
            <w:pPr>
              <w:spacing w:before="40" w:after="0" w:line="240" w:lineRule="auto"/>
              <w:rPr>
                <w:rFonts w:ascii="Arial Narrow" w:eastAsia="Arial Narrow" w:hAnsi="Arial Narrow" w:cs="Arial Narrow"/>
                <w:b/>
                <w:bCs/>
                <w:i/>
                <w:iCs/>
                <w:sz w:val="20"/>
                <w:szCs w:val="20"/>
              </w:rPr>
            </w:pPr>
          </w:p>
        </w:tc>
        <w:tc>
          <w:tcPr>
            <w:tcW w:w="1050" w:type="dxa"/>
            <w:tcBorders>
              <w:top w:val="single" w:sz="4" w:space="0" w:color="auto"/>
              <w:left w:val="nil"/>
              <w:bottom w:val="single" w:sz="4" w:space="0" w:color="auto"/>
              <w:right w:val="nil"/>
            </w:tcBorders>
            <w:noWrap/>
            <w:vAlign w:val="center"/>
          </w:tcPr>
          <w:p w14:paraId="5DAE9531" w14:textId="77777777" w:rsidR="009D40F6" w:rsidRPr="00DF68C6" w:rsidRDefault="009D40F6" w:rsidP="00EE2E26">
            <w:pPr>
              <w:spacing w:before="40" w:after="0" w:line="240" w:lineRule="auto"/>
              <w:rPr>
                <w:rFonts w:ascii="Arial Narrow" w:eastAsia="Arial Narrow" w:hAnsi="Arial Narrow" w:cs="Arial Narrow"/>
                <w:b/>
                <w:bCs/>
                <w:i/>
                <w:iCs/>
                <w:sz w:val="20"/>
                <w:szCs w:val="20"/>
              </w:rPr>
            </w:pPr>
          </w:p>
        </w:tc>
        <w:tc>
          <w:tcPr>
            <w:tcW w:w="1050" w:type="dxa"/>
            <w:tcBorders>
              <w:top w:val="single" w:sz="4" w:space="0" w:color="auto"/>
              <w:left w:val="nil"/>
              <w:bottom w:val="single" w:sz="4" w:space="0" w:color="auto"/>
              <w:right w:val="nil"/>
            </w:tcBorders>
            <w:noWrap/>
            <w:vAlign w:val="center"/>
          </w:tcPr>
          <w:p w14:paraId="0D9E58DD" w14:textId="77777777" w:rsidR="009D40F6" w:rsidRPr="00DF68C6" w:rsidRDefault="009D40F6" w:rsidP="00EE2E26">
            <w:pPr>
              <w:spacing w:before="40" w:after="0" w:line="240" w:lineRule="auto"/>
              <w:rPr>
                <w:rFonts w:ascii="Arial Narrow" w:eastAsia="Arial Narrow" w:hAnsi="Arial Narrow" w:cs="Arial Narrow"/>
                <w:b/>
                <w:bCs/>
                <w:i/>
                <w:iCs/>
                <w:sz w:val="20"/>
                <w:szCs w:val="20"/>
              </w:rPr>
            </w:pPr>
          </w:p>
        </w:tc>
        <w:tc>
          <w:tcPr>
            <w:tcW w:w="1050" w:type="dxa"/>
            <w:tcBorders>
              <w:top w:val="single" w:sz="4" w:space="0" w:color="auto"/>
              <w:left w:val="nil"/>
              <w:bottom w:val="single" w:sz="4" w:space="0" w:color="auto"/>
              <w:right w:val="nil"/>
            </w:tcBorders>
            <w:noWrap/>
            <w:vAlign w:val="center"/>
          </w:tcPr>
          <w:p w14:paraId="0EC3C485" w14:textId="77777777" w:rsidR="009D40F6" w:rsidRPr="00DF68C6" w:rsidRDefault="009D40F6" w:rsidP="00EE2E26">
            <w:pPr>
              <w:spacing w:before="40" w:after="0" w:line="240" w:lineRule="auto"/>
              <w:rPr>
                <w:rFonts w:ascii="Arial Narrow" w:eastAsia="Arial Narrow" w:hAnsi="Arial Narrow" w:cs="Arial Narrow"/>
                <w:b/>
                <w:bCs/>
                <w:i/>
                <w:iCs/>
                <w:sz w:val="20"/>
                <w:szCs w:val="20"/>
              </w:rPr>
            </w:pPr>
          </w:p>
        </w:tc>
        <w:tc>
          <w:tcPr>
            <w:tcW w:w="1050" w:type="dxa"/>
            <w:tcBorders>
              <w:top w:val="single" w:sz="4" w:space="0" w:color="auto"/>
              <w:left w:val="nil"/>
              <w:bottom w:val="single" w:sz="4" w:space="0" w:color="auto"/>
              <w:right w:val="nil"/>
            </w:tcBorders>
            <w:noWrap/>
            <w:vAlign w:val="center"/>
          </w:tcPr>
          <w:p w14:paraId="0756D891" w14:textId="77777777" w:rsidR="009D40F6" w:rsidRPr="00DF68C6" w:rsidRDefault="009D40F6" w:rsidP="00EE2E26">
            <w:pPr>
              <w:spacing w:before="40" w:after="0" w:line="240" w:lineRule="auto"/>
              <w:rPr>
                <w:rFonts w:ascii="Arial Narrow" w:eastAsia="Arial Narrow" w:hAnsi="Arial Narrow" w:cs="Arial Narrow"/>
                <w:b/>
                <w:bCs/>
                <w:i/>
                <w:iCs/>
                <w:sz w:val="20"/>
                <w:szCs w:val="20"/>
              </w:rPr>
            </w:pPr>
          </w:p>
        </w:tc>
        <w:tc>
          <w:tcPr>
            <w:tcW w:w="1050" w:type="dxa"/>
            <w:tcBorders>
              <w:top w:val="single" w:sz="4" w:space="0" w:color="auto"/>
              <w:left w:val="nil"/>
              <w:bottom w:val="single" w:sz="4" w:space="0" w:color="auto"/>
              <w:right w:val="single" w:sz="4" w:space="0" w:color="auto"/>
            </w:tcBorders>
            <w:noWrap/>
            <w:vAlign w:val="center"/>
          </w:tcPr>
          <w:p w14:paraId="29BEF9A2" w14:textId="77777777" w:rsidR="009D40F6" w:rsidRPr="00DF68C6" w:rsidRDefault="009D40F6" w:rsidP="00EE2E26">
            <w:pPr>
              <w:spacing w:before="40" w:after="0" w:line="240" w:lineRule="auto"/>
              <w:rPr>
                <w:rFonts w:ascii="Arial Narrow" w:eastAsia="Arial Narrow" w:hAnsi="Arial Narrow" w:cs="Arial Narrow"/>
                <w:b/>
                <w:bCs/>
                <w:i/>
                <w:iCs/>
                <w:sz w:val="20"/>
                <w:szCs w:val="20"/>
              </w:rPr>
            </w:pPr>
          </w:p>
        </w:tc>
      </w:tr>
      <w:tr w:rsidR="00BF4D52" w:rsidRPr="00BF4D52" w14:paraId="21FFB21B" w14:textId="77777777" w:rsidTr="00175863">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063E9812" w14:textId="77777777" w:rsidR="009D40F6" w:rsidRPr="00DF68C6" w:rsidRDefault="009D40F6" w:rsidP="00EE2E26">
            <w:pPr>
              <w:spacing w:before="40" w:after="0" w:line="240" w:lineRule="auto"/>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Number of GSD II affected cases diagnosed</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2A5CA715"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6.67</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3F82A17A"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6.68</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11799ECA"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6.68</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01CD5A38"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6.68</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3E0AB79D"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6.69</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3C32CE64"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6.69</w:t>
            </w:r>
          </w:p>
        </w:tc>
      </w:tr>
      <w:tr w:rsidR="00BF4D52" w:rsidRPr="00BF4D52" w14:paraId="384ED93F" w14:textId="77777777" w:rsidTr="00175863">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0C2793BB" w14:textId="77777777" w:rsidR="009D40F6" w:rsidRPr="00DF68C6" w:rsidRDefault="009D40F6" w:rsidP="00EE2E26">
            <w:pPr>
              <w:spacing w:before="40" w:after="0" w:line="240" w:lineRule="auto"/>
              <w:ind w:left="720" w:hanging="273"/>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 with IOGSD II</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655B1EE9"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1.00</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73BDB066"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1.00</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4F253E80"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1.00</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62DBA1AB"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1.00</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1ED60FEA"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1.00</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152D41FA"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1.00</w:t>
            </w:r>
          </w:p>
        </w:tc>
      </w:tr>
      <w:tr w:rsidR="00BF4D52" w:rsidRPr="00BF4D52" w14:paraId="4636A22B" w14:textId="77777777" w:rsidTr="00175863">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785191EC" w14:textId="77777777" w:rsidR="009D40F6" w:rsidRPr="00DF68C6" w:rsidRDefault="009D40F6" w:rsidP="00EE2E26">
            <w:pPr>
              <w:spacing w:before="40" w:after="0" w:line="240" w:lineRule="auto"/>
              <w:ind w:left="720" w:hanging="273"/>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 with LOGSD II</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6C580D68"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5.67</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09074698"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5.67</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772BF9C6"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5.68</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6D1A28D9"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5.68</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1F9DF9DB"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5.68</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0A870521"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5.69</w:t>
            </w:r>
          </w:p>
        </w:tc>
      </w:tr>
      <w:tr w:rsidR="00BF4D52" w:rsidRPr="00BF4D52" w14:paraId="0B58767A" w14:textId="77777777" w:rsidTr="00175863">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3AD3BAC2" w14:textId="77777777" w:rsidR="009D40F6" w:rsidRPr="00DF68C6" w:rsidRDefault="009D40F6" w:rsidP="00EE2E26">
            <w:pPr>
              <w:spacing w:before="40" w:after="0" w:line="240" w:lineRule="auto"/>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Cumulative number of LOGSD II cases symptomatic at age 2 years</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67B083DC"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0.00</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79BF7186"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0.00</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40732362"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0.37</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1C212A44"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0.74</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3F5F2701"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1.12</w:t>
            </w:r>
          </w:p>
        </w:tc>
        <w:tc>
          <w:tcPr>
            <w:tcW w:w="1050" w:type="dxa"/>
            <w:tcBorders>
              <w:top w:val="single" w:sz="4" w:space="0" w:color="auto"/>
              <w:left w:val="single" w:sz="4" w:space="0" w:color="auto"/>
              <w:bottom w:val="single" w:sz="4" w:space="0" w:color="auto"/>
              <w:right w:val="single" w:sz="4" w:space="0" w:color="auto"/>
            </w:tcBorders>
            <w:noWrap/>
            <w:vAlign w:val="bottom"/>
            <w:hideMark/>
          </w:tcPr>
          <w:p w14:paraId="406822F6" w14:textId="77777777" w:rsidR="009D40F6" w:rsidRPr="00DF68C6" w:rsidRDefault="009D40F6" w:rsidP="00EE2E26">
            <w:pPr>
              <w:spacing w:before="40" w:after="0" w:line="240" w:lineRule="auto"/>
              <w:jc w:val="right"/>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1.49</w:t>
            </w:r>
          </w:p>
        </w:tc>
      </w:tr>
      <w:tr w:rsidR="00B12AFD" w:rsidRPr="00BF4D52" w14:paraId="6E5C005F" w14:textId="77777777" w:rsidTr="007229D6">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2D0E5CBB" w14:textId="6A4D70F0" w:rsidR="00B12AFD" w:rsidRPr="00DF68C6" w:rsidRDefault="00B12AFD" w:rsidP="00B12AFD">
            <w:pPr>
              <w:spacing w:before="40" w:after="0" w:line="240" w:lineRule="auto"/>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 xml:space="preserve">ERT costs, IOGSD II and listed doses (see </w:t>
            </w:r>
            <w:r w:rsidRPr="00DF68C6">
              <w:rPr>
                <w:rFonts w:ascii="Arial Narrow" w:eastAsia="Arial Narrow" w:hAnsi="Arial Narrow" w:cs="Arial Narrow"/>
                <w:b/>
                <w:bCs/>
                <w:i/>
                <w:iCs/>
                <w:sz w:val="20"/>
                <w:szCs w:val="20"/>
              </w:rPr>
              <w:fldChar w:fldCharType="begin"/>
            </w:r>
            <w:r w:rsidRPr="00DF68C6">
              <w:rPr>
                <w:rFonts w:ascii="Arial Narrow" w:eastAsia="Arial Narrow" w:hAnsi="Arial Narrow" w:cs="Arial Narrow"/>
                <w:b/>
                <w:bCs/>
                <w:i/>
                <w:iCs/>
                <w:sz w:val="20"/>
                <w:szCs w:val="20"/>
              </w:rPr>
              <w:instrText xml:space="preserve"> REF _Ref189048294 \h  \* MERGEFORMAT </w:instrText>
            </w:r>
            <w:r w:rsidRPr="00DF68C6">
              <w:rPr>
                <w:rFonts w:ascii="Arial Narrow" w:eastAsia="Arial Narrow" w:hAnsi="Arial Narrow" w:cs="Arial Narrow"/>
                <w:b/>
                <w:bCs/>
                <w:i/>
                <w:iCs/>
                <w:sz w:val="20"/>
                <w:szCs w:val="20"/>
              </w:rPr>
            </w:r>
            <w:r w:rsidRPr="00DF68C6">
              <w:rPr>
                <w:rFonts w:ascii="Arial Narrow" w:eastAsia="Arial Narrow" w:hAnsi="Arial Narrow" w:cs="Arial Narrow"/>
                <w:b/>
                <w:bCs/>
                <w:i/>
                <w:iCs/>
                <w:sz w:val="20"/>
                <w:szCs w:val="20"/>
              </w:rPr>
              <w:fldChar w:fldCharType="end"/>
            </w:r>
            <w:r w:rsidRPr="00DF68C6">
              <w:rPr>
                <w:rFonts w:ascii="Arial Narrow" w:eastAsia="Arial Narrow" w:hAnsi="Arial Narrow" w:cs="Arial Narrow"/>
                <w:b/>
                <w:bCs/>
                <w:i/>
                <w:iCs/>
                <w:sz w:val="20"/>
                <w:szCs w:val="20"/>
              </w:rPr>
              <w:fldChar w:fldCharType="begin"/>
            </w:r>
            <w:r w:rsidRPr="00DF68C6">
              <w:rPr>
                <w:rFonts w:ascii="Arial Narrow" w:eastAsia="Arial Narrow" w:hAnsi="Arial Narrow" w:cs="Arial Narrow"/>
                <w:b/>
                <w:bCs/>
                <w:i/>
                <w:iCs/>
                <w:sz w:val="20"/>
                <w:szCs w:val="20"/>
              </w:rPr>
              <w:instrText xml:space="preserve"> REF _Ref191566322 \h  \* MERGEFORMAT </w:instrText>
            </w:r>
            <w:r w:rsidRPr="00DF68C6">
              <w:rPr>
                <w:rFonts w:ascii="Arial Narrow" w:eastAsia="Arial Narrow" w:hAnsi="Arial Narrow" w:cs="Arial Narrow"/>
                <w:b/>
                <w:bCs/>
                <w:i/>
                <w:iCs/>
                <w:sz w:val="20"/>
                <w:szCs w:val="20"/>
              </w:rPr>
            </w:r>
            <w:r w:rsidRPr="00DF68C6">
              <w:rPr>
                <w:rFonts w:ascii="Arial Narrow" w:eastAsia="Arial Narrow" w:hAnsi="Arial Narrow" w:cs="Arial Narrow"/>
                <w:b/>
                <w:bCs/>
                <w:i/>
                <w:iCs/>
                <w:sz w:val="20"/>
                <w:szCs w:val="20"/>
              </w:rPr>
              <w:fldChar w:fldCharType="separate"/>
            </w:r>
            <w:r w:rsidRPr="00EA7C9B">
              <w:rPr>
                <w:rFonts w:ascii="Arial Narrow" w:hAnsi="Arial Narrow"/>
                <w:b/>
                <w:bCs/>
                <w:i/>
                <w:iCs/>
                <w:sz w:val="20"/>
                <w:szCs w:val="20"/>
              </w:rPr>
              <w:t xml:space="preserve">Table </w:t>
            </w:r>
            <w:r w:rsidRPr="00EA7C9B">
              <w:rPr>
                <w:rFonts w:ascii="Arial Narrow" w:hAnsi="Arial Narrow"/>
                <w:b/>
                <w:bCs/>
                <w:i/>
                <w:iCs/>
                <w:noProof/>
                <w:sz w:val="20"/>
                <w:szCs w:val="20"/>
              </w:rPr>
              <w:t>22</w:t>
            </w:r>
            <w:r w:rsidRPr="00DF68C6">
              <w:rPr>
                <w:rFonts w:ascii="Arial Narrow" w:eastAsia="Arial Narrow" w:hAnsi="Arial Narrow" w:cs="Arial Narrow"/>
                <w:b/>
                <w:bCs/>
                <w:i/>
                <w:iCs/>
                <w:sz w:val="20"/>
                <w:szCs w:val="20"/>
              </w:rPr>
              <w:fldChar w:fldCharType="end"/>
            </w:r>
            <w:r w:rsidRPr="00DF68C6">
              <w:rPr>
                <w:rFonts w:ascii="Arial Narrow" w:eastAsia="Arial Narrow" w:hAnsi="Arial Narrow" w:cs="Arial Narrow"/>
                <w:b/>
                <w:bCs/>
                <w:i/>
                <w:iCs/>
                <w:sz w:val="20"/>
                <w:szCs w:val="20"/>
              </w:rPr>
              <w:t>)</w:t>
            </w:r>
          </w:p>
        </w:tc>
        <w:tc>
          <w:tcPr>
            <w:tcW w:w="1050" w:type="dxa"/>
            <w:tcBorders>
              <w:top w:val="single" w:sz="4" w:space="0" w:color="auto"/>
              <w:left w:val="single" w:sz="4" w:space="0" w:color="auto"/>
              <w:bottom w:val="single" w:sz="4" w:space="0" w:color="auto"/>
              <w:right w:val="single" w:sz="4" w:space="0" w:color="auto"/>
            </w:tcBorders>
            <w:noWrap/>
            <w:hideMark/>
          </w:tcPr>
          <w:p w14:paraId="1B083D64" w14:textId="7EC45970" w:rsidR="00B12AFD" w:rsidRPr="00807D60" w:rsidRDefault="00B12AFD" w:rsidP="00B12AFD">
            <w:pPr>
              <w:spacing w:before="40" w:after="0" w:line="240" w:lineRule="auto"/>
              <w:jc w:val="right"/>
              <w:rPr>
                <w:rFonts w:ascii="Arial Narrow" w:eastAsia="Arial Narrow" w:hAnsi="Arial Narrow" w:cs="Arial Narrow"/>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2627D56F" w14:textId="4DA8217C" w:rsidR="00B12AFD" w:rsidRPr="00807D60" w:rsidRDefault="00B12AFD" w:rsidP="00B12AFD">
            <w:pPr>
              <w:spacing w:before="40" w:after="0" w:line="240" w:lineRule="auto"/>
              <w:jc w:val="right"/>
              <w:rPr>
                <w:rFonts w:ascii="Arial Narrow" w:eastAsia="Arial Narrow" w:hAnsi="Arial Narrow" w:cs="Arial Narrow"/>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6133CE53" w14:textId="46197F5E" w:rsidR="00B12AFD" w:rsidRPr="00807D60" w:rsidRDefault="00B12AFD" w:rsidP="00B12AFD">
            <w:pPr>
              <w:spacing w:before="40" w:after="0" w:line="240" w:lineRule="auto"/>
              <w:jc w:val="right"/>
              <w:rPr>
                <w:rFonts w:ascii="Arial Narrow" w:eastAsia="Arial Narrow" w:hAnsi="Arial Narrow" w:cs="Arial Narrow"/>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1B7F3F8A" w14:textId="5B381383" w:rsidR="00B12AFD" w:rsidRPr="00807D60" w:rsidRDefault="00B12AFD" w:rsidP="00B12AFD">
            <w:pPr>
              <w:spacing w:before="40" w:after="0" w:line="240" w:lineRule="auto"/>
              <w:jc w:val="right"/>
              <w:rPr>
                <w:rFonts w:ascii="Arial Narrow" w:eastAsia="Arial Narrow" w:hAnsi="Arial Narrow" w:cs="Arial Narrow"/>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7BB54E7F" w14:textId="115164AE" w:rsidR="00B12AFD" w:rsidRPr="00807D60" w:rsidRDefault="00B12AFD" w:rsidP="00B12AFD">
            <w:pPr>
              <w:spacing w:before="40" w:after="0" w:line="240" w:lineRule="auto"/>
              <w:jc w:val="right"/>
              <w:rPr>
                <w:rFonts w:ascii="Arial Narrow" w:eastAsia="Arial Narrow" w:hAnsi="Arial Narrow" w:cs="Arial Narrow"/>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75915545" w14:textId="7A9023C0" w:rsidR="00B12AFD" w:rsidRPr="00807D60" w:rsidRDefault="00B12AFD" w:rsidP="00B12AFD">
            <w:pPr>
              <w:spacing w:before="40" w:after="0" w:line="240" w:lineRule="auto"/>
              <w:jc w:val="right"/>
              <w:rPr>
                <w:rFonts w:ascii="Arial Narrow" w:eastAsia="Arial Narrow" w:hAnsi="Arial Narrow" w:cs="Arial Narrow"/>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B12AFD" w:rsidRPr="00BF4D52" w14:paraId="5E24DDE0" w14:textId="77777777" w:rsidTr="007229D6">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6E448D3A" w14:textId="77777777" w:rsidR="00B12AFD" w:rsidRPr="00DF68C6" w:rsidRDefault="00B12AFD" w:rsidP="00B12AFD">
            <w:pPr>
              <w:spacing w:before="40" w:after="0" w:line="240" w:lineRule="auto"/>
              <w:rPr>
                <w:rFonts w:ascii="Arial Narrow" w:eastAsia="Arial Narrow" w:hAnsi="Arial Narrow" w:cs="Arial Narrow"/>
                <w:i/>
                <w:iCs/>
                <w:sz w:val="20"/>
                <w:szCs w:val="20"/>
              </w:rPr>
            </w:pPr>
            <w:r w:rsidRPr="00DF68C6">
              <w:rPr>
                <w:rFonts w:ascii="Arial Narrow" w:eastAsia="Arial Narrow" w:hAnsi="Arial Narrow" w:cs="Arial Narrow"/>
                <w:i/>
                <w:iCs/>
                <w:sz w:val="20"/>
                <w:szCs w:val="20"/>
              </w:rPr>
              <w:t>ERT costs, LOGSD II</w:t>
            </w:r>
          </w:p>
        </w:tc>
        <w:tc>
          <w:tcPr>
            <w:tcW w:w="1050" w:type="dxa"/>
            <w:tcBorders>
              <w:top w:val="single" w:sz="4" w:space="0" w:color="auto"/>
              <w:left w:val="single" w:sz="4" w:space="0" w:color="auto"/>
              <w:bottom w:val="single" w:sz="4" w:space="0" w:color="auto"/>
              <w:right w:val="single" w:sz="4" w:space="0" w:color="auto"/>
            </w:tcBorders>
            <w:noWrap/>
            <w:hideMark/>
          </w:tcPr>
          <w:p w14:paraId="56EAD66A" w14:textId="06B873F7" w:rsidR="00B12AFD" w:rsidRPr="00807D60" w:rsidRDefault="00B12AFD" w:rsidP="00B12AFD">
            <w:pPr>
              <w:spacing w:before="40" w:after="0" w:line="240" w:lineRule="auto"/>
              <w:jc w:val="right"/>
              <w:rPr>
                <w:rFonts w:ascii="Arial Narrow" w:eastAsia="Arial Narrow" w:hAnsi="Arial Narrow" w:cs="Arial Narrow"/>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0A309387" w14:textId="6D457DE7" w:rsidR="00B12AFD" w:rsidRPr="00807D60" w:rsidRDefault="00B12AFD" w:rsidP="00B12AFD">
            <w:pPr>
              <w:spacing w:before="40" w:after="0" w:line="240" w:lineRule="auto"/>
              <w:jc w:val="right"/>
              <w:rPr>
                <w:rFonts w:ascii="Arial Narrow" w:eastAsia="Arial Narrow" w:hAnsi="Arial Narrow" w:cs="Arial Narrow"/>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04984E8E" w14:textId="1DFC0972" w:rsidR="00B12AFD" w:rsidRPr="00807D60" w:rsidRDefault="00B12AFD" w:rsidP="00B12AFD">
            <w:pPr>
              <w:spacing w:before="40" w:after="0" w:line="240" w:lineRule="auto"/>
              <w:jc w:val="right"/>
              <w:rPr>
                <w:rFonts w:ascii="Arial Narrow" w:eastAsia="Arial Narrow" w:hAnsi="Arial Narrow" w:cs="Arial Narrow"/>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620A4D04" w14:textId="69031E12" w:rsidR="00B12AFD" w:rsidRPr="00807D60" w:rsidRDefault="00B12AFD" w:rsidP="00B12AFD">
            <w:pPr>
              <w:spacing w:before="40" w:after="0" w:line="240" w:lineRule="auto"/>
              <w:jc w:val="right"/>
              <w:rPr>
                <w:rFonts w:ascii="Arial Narrow" w:eastAsia="Arial Narrow" w:hAnsi="Arial Narrow" w:cs="Arial Narrow"/>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40396B78" w14:textId="37A59991" w:rsidR="00B12AFD" w:rsidRPr="00807D60" w:rsidRDefault="00B12AFD" w:rsidP="00B12AFD">
            <w:pPr>
              <w:spacing w:before="40" w:after="0" w:line="240" w:lineRule="auto"/>
              <w:jc w:val="right"/>
              <w:rPr>
                <w:rFonts w:ascii="Arial Narrow" w:eastAsia="Arial Narrow" w:hAnsi="Arial Narrow" w:cs="Arial Narrow"/>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75DCAC56" w14:textId="67012145" w:rsidR="00B12AFD" w:rsidRPr="00807D60" w:rsidRDefault="00B12AFD" w:rsidP="00B12AFD">
            <w:pPr>
              <w:spacing w:before="40" w:after="0" w:line="240" w:lineRule="auto"/>
              <w:jc w:val="right"/>
              <w:rPr>
                <w:rFonts w:ascii="Arial Narrow" w:eastAsia="Arial Narrow" w:hAnsi="Arial Narrow" w:cs="Arial Narrow"/>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B12AFD" w:rsidRPr="00BF4D52" w14:paraId="3D3B054F" w14:textId="77777777" w:rsidTr="007229D6">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15707EFD" w14:textId="77777777" w:rsidR="00B12AFD" w:rsidRPr="00DF68C6" w:rsidRDefault="00B12AFD" w:rsidP="00B12AFD">
            <w:pPr>
              <w:spacing w:before="40" w:after="0" w:line="240" w:lineRule="auto"/>
              <w:rPr>
                <w:rFonts w:ascii="Arial Narrow" w:eastAsia="Arial Narrow" w:hAnsi="Arial Narrow" w:cs="Arial Narrow"/>
                <w:b/>
                <w:bCs/>
                <w:i/>
                <w:iCs/>
                <w:sz w:val="20"/>
                <w:szCs w:val="20"/>
              </w:rPr>
            </w:pPr>
            <w:r w:rsidRPr="00DF68C6">
              <w:rPr>
                <w:rFonts w:ascii="Arial Narrow" w:eastAsia="Arial Narrow" w:hAnsi="Arial Narrow" w:cs="Arial Narrow"/>
                <w:b/>
                <w:bCs/>
                <w:i/>
                <w:iCs/>
                <w:sz w:val="20"/>
                <w:szCs w:val="20"/>
              </w:rPr>
              <w:t>Total costs to LSDP (current practice)</w:t>
            </w:r>
          </w:p>
        </w:tc>
        <w:tc>
          <w:tcPr>
            <w:tcW w:w="1050" w:type="dxa"/>
            <w:tcBorders>
              <w:top w:val="single" w:sz="4" w:space="0" w:color="auto"/>
              <w:left w:val="single" w:sz="4" w:space="0" w:color="auto"/>
              <w:bottom w:val="single" w:sz="4" w:space="0" w:color="auto"/>
              <w:right w:val="single" w:sz="4" w:space="0" w:color="auto"/>
            </w:tcBorders>
            <w:noWrap/>
            <w:hideMark/>
          </w:tcPr>
          <w:p w14:paraId="17C4639D" w14:textId="31664CDA" w:rsidR="00B12AFD" w:rsidRPr="00807D60" w:rsidRDefault="00B12AFD" w:rsidP="00B12AFD">
            <w:pPr>
              <w:spacing w:before="40" w:after="0" w:line="240" w:lineRule="auto"/>
              <w:jc w:val="right"/>
              <w:rPr>
                <w:rFonts w:ascii="Arial Narrow" w:eastAsia="Arial Narrow" w:hAnsi="Arial Narrow" w:cs="Arial Narrow"/>
                <w:b/>
                <w:bCs/>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642E3E3F" w14:textId="3C9F198B" w:rsidR="00B12AFD" w:rsidRPr="00807D60" w:rsidRDefault="00B12AFD" w:rsidP="00B12AFD">
            <w:pPr>
              <w:spacing w:before="40" w:after="0" w:line="240" w:lineRule="auto"/>
              <w:jc w:val="right"/>
              <w:rPr>
                <w:rFonts w:ascii="Arial Narrow" w:eastAsia="Arial Narrow" w:hAnsi="Arial Narrow" w:cs="Arial Narrow"/>
                <w:b/>
                <w:bCs/>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5D16EA46" w14:textId="3EA3B4E0" w:rsidR="00B12AFD" w:rsidRPr="00807D60" w:rsidRDefault="00B12AFD" w:rsidP="00B12AFD">
            <w:pPr>
              <w:spacing w:before="40" w:after="0" w:line="240" w:lineRule="auto"/>
              <w:jc w:val="right"/>
              <w:rPr>
                <w:rFonts w:ascii="Arial Narrow" w:eastAsia="Arial Narrow" w:hAnsi="Arial Narrow" w:cs="Arial Narrow"/>
                <w:b/>
                <w:bCs/>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53267524" w14:textId="295EC4E0" w:rsidR="00B12AFD" w:rsidRPr="00807D60" w:rsidRDefault="00B12AFD" w:rsidP="00B12AFD">
            <w:pPr>
              <w:spacing w:before="40" w:after="0" w:line="240" w:lineRule="auto"/>
              <w:jc w:val="right"/>
              <w:rPr>
                <w:rFonts w:ascii="Arial Narrow" w:eastAsia="Arial Narrow" w:hAnsi="Arial Narrow" w:cs="Arial Narrow"/>
                <w:b/>
                <w:bCs/>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0568CDA2" w14:textId="33B39480" w:rsidR="00B12AFD" w:rsidRPr="00807D60" w:rsidRDefault="00B12AFD" w:rsidP="00B12AFD">
            <w:pPr>
              <w:spacing w:before="40" w:after="0" w:line="240" w:lineRule="auto"/>
              <w:jc w:val="right"/>
              <w:rPr>
                <w:rFonts w:ascii="Arial Narrow" w:eastAsia="Arial Narrow" w:hAnsi="Arial Narrow" w:cs="Arial Narrow"/>
                <w:b/>
                <w:bCs/>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noWrap/>
            <w:hideMark/>
          </w:tcPr>
          <w:p w14:paraId="20A57461" w14:textId="0B54C526" w:rsidR="00B12AFD" w:rsidRPr="00807D60" w:rsidRDefault="00B12AFD" w:rsidP="00B12AFD">
            <w:pPr>
              <w:spacing w:before="40" w:after="0" w:line="240" w:lineRule="auto"/>
              <w:jc w:val="right"/>
              <w:rPr>
                <w:rFonts w:ascii="Arial Narrow" w:eastAsia="Arial Narrow" w:hAnsi="Arial Narrow" w:cs="Arial Narrow"/>
                <w:b/>
                <w:bCs/>
                <w:i/>
                <w:iCs/>
                <w:sz w:val="20"/>
                <w:szCs w:val="20"/>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B12AFD" w:rsidRPr="00BF4D52" w14:paraId="28B183B7" w14:textId="77777777" w:rsidTr="00EE2E26">
        <w:trPr>
          <w:trHeight w:val="255"/>
        </w:trPr>
        <w:tc>
          <w:tcPr>
            <w:tcW w:w="2718" w:type="dxa"/>
            <w:tcBorders>
              <w:top w:val="single" w:sz="4" w:space="0" w:color="auto"/>
              <w:left w:val="single" w:sz="4" w:space="0" w:color="auto"/>
              <w:bottom w:val="single" w:sz="4" w:space="0" w:color="auto"/>
              <w:right w:val="single" w:sz="4" w:space="0" w:color="auto"/>
            </w:tcBorders>
            <w:noWrap/>
            <w:vAlign w:val="bottom"/>
            <w:hideMark/>
          </w:tcPr>
          <w:p w14:paraId="5566E84C" w14:textId="77777777" w:rsidR="00B12AFD" w:rsidRPr="00DF68C6" w:rsidRDefault="00B12AFD" w:rsidP="00B12AFD">
            <w:pPr>
              <w:spacing w:before="40" w:after="0" w:line="240" w:lineRule="auto"/>
              <w:rPr>
                <w:rFonts w:ascii="Arial Narrow" w:eastAsia="Arial Narrow" w:hAnsi="Arial Narrow" w:cs="Arial Narrow"/>
                <w:b/>
                <w:bCs/>
                <w:i/>
                <w:iCs/>
                <w:sz w:val="20"/>
                <w:szCs w:val="20"/>
              </w:rPr>
            </w:pPr>
            <w:r w:rsidRPr="00DF68C6">
              <w:rPr>
                <w:rFonts w:ascii="Arial Narrow" w:eastAsia="Arial Narrow" w:hAnsi="Arial Narrow" w:cs="Arial Narrow"/>
                <w:b/>
                <w:bCs/>
                <w:i/>
                <w:iCs/>
                <w:sz w:val="20"/>
                <w:szCs w:val="20"/>
              </w:rPr>
              <w:t>Net costs to LSDP due to NBS</w:t>
            </w:r>
          </w:p>
        </w:tc>
        <w:tc>
          <w:tcPr>
            <w:tcW w:w="1050"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67EA7F14" w14:textId="4E1C03B1" w:rsidR="00B12AFD" w:rsidRPr="00807D60" w:rsidRDefault="00B12AFD" w:rsidP="00B12AFD">
            <w:pPr>
              <w:spacing w:before="40" w:after="0" w:line="240" w:lineRule="auto"/>
              <w:jc w:val="right"/>
              <w:rPr>
                <w:rFonts w:ascii="Arial Narrow" w:hAnsi="Arial Narrow"/>
                <w:b/>
                <w:bCs/>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2A1A0972" w14:textId="23C682AE" w:rsidR="00B12AFD" w:rsidRPr="00807D60" w:rsidRDefault="00B12AFD" w:rsidP="00B12AFD">
            <w:pPr>
              <w:spacing w:before="40" w:after="0" w:line="240" w:lineRule="auto"/>
              <w:jc w:val="right"/>
              <w:rPr>
                <w:rFonts w:ascii="Arial Narrow" w:hAnsi="Arial Narrow"/>
                <w:b/>
                <w:bCs/>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3E91276" w14:textId="11901DD6" w:rsidR="00B12AFD" w:rsidRPr="00807D60" w:rsidRDefault="00B12AFD" w:rsidP="00B12AFD">
            <w:pPr>
              <w:spacing w:before="40" w:after="0" w:line="240" w:lineRule="auto"/>
              <w:jc w:val="right"/>
              <w:rPr>
                <w:rFonts w:ascii="Arial Narrow" w:hAnsi="Arial Narrow"/>
                <w:b/>
                <w:bCs/>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5F760D9C" w14:textId="60D55F4D" w:rsidR="00B12AFD" w:rsidRPr="00807D60" w:rsidRDefault="00B12AFD" w:rsidP="00B12AFD">
            <w:pPr>
              <w:spacing w:before="40" w:after="0" w:line="240" w:lineRule="auto"/>
              <w:jc w:val="right"/>
              <w:rPr>
                <w:rFonts w:ascii="Arial Narrow" w:hAnsi="Arial Narrow"/>
                <w:b/>
                <w:bCs/>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EF50438" w14:textId="74B5EE87" w:rsidR="00B12AFD" w:rsidRPr="00807D60" w:rsidRDefault="00B12AFD" w:rsidP="00B12AFD">
            <w:pPr>
              <w:spacing w:before="40" w:after="0" w:line="240" w:lineRule="auto"/>
              <w:jc w:val="right"/>
              <w:rPr>
                <w:rFonts w:ascii="Arial Narrow" w:hAnsi="Arial Narrow"/>
                <w:b/>
                <w:bCs/>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050"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28AFBD6C" w14:textId="028C9DEB" w:rsidR="00B12AFD" w:rsidRPr="00807D60" w:rsidRDefault="00B12AFD" w:rsidP="00B12AFD">
            <w:pPr>
              <w:spacing w:before="40" w:after="0" w:line="240" w:lineRule="auto"/>
              <w:jc w:val="right"/>
              <w:rPr>
                <w:rFonts w:ascii="Arial Narrow" w:hAnsi="Arial Narrow"/>
                <w:b/>
                <w:bCs/>
                <w:i/>
                <w:iCs/>
                <w:sz w:val="20"/>
                <w:szCs w:val="20"/>
                <w:highlight w:val="yellow"/>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bl>
    <w:p w14:paraId="77A7325F" w14:textId="77777777" w:rsidR="009D40F6" w:rsidRDefault="009D40F6" w:rsidP="00DF68C6">
      <w:pPr>
        <w:spacing w:before="0" w:after="0"/>
        <w:rPr>
          <w:rFonts w:ascii="Arial Narrow" w:hAnsi="Arial Narrow"/>
          <w:sz w:val="18"/>
          <w:szCs w:val="18"/>
        </w:rPr>
      </w:pPr>
      <w:r w:rsidRPr="00DF68C6">
        <w:rPr>
          <w:rFonts w:ascii="Arial Narrow" w:hAnsi="Arial Narrow"/>
          <w:sz w:val="18"/>
          <w:szCs w:val="18"/>
        </w:rPr>
        <w:t>ERT = enzyme replacement therapy; GSD II = glycogen storage disease Type II; IOGSD II = infantile-onset glycogen storage disease Type II; LOGSD II = late-onset glycogen storage disease Type II; LSDP = Life Saving Drugs Program; NBS = newborn bloodspot screening</w:t>
      </w:r>
    </w:p>
    <w:p w14:paraId="58F45218" w14:textId="5E3158D5" w:rsidR="009A45CA" w:rsidRPr="00DF68C6" w:rsidRDefault="009A45CA" w:rsidP="00DF68C6">
      <w:pPr>
        <w:spacing w:before="0" w:after="0"/>
        <w:rPr>
          <w:rFonts w:ascii="Arial Narrow" w:hAnsi="Arial Narrow"/>
          <w:i/>
          <w:iCs/>
          <w:sz w:val="18"/>
          <w:szCs w:val="18"/>
        </w:rPr>
      </w:pPr>
      <w:r w:rsidRPr="00DF68C6">
        <w:rPr>
          <w:rFonts w:ascii="Arial Narrow" w:hAnsi="Arial Narrow"/>
          <w:i/>
          <w:iCs/>
          <w:sz w:val="18"/>
          <w:szCs w:val="18"/>
        </w:rPr>
        <w:t xml:space="preserve">Source: Rejoinder from </w:t>
      </w:r>
      <w:r>
        <w:rPr>
          <w:rFonts w:ascii="Arial Narrow" w:hAnsi="Arial Narrow"/>
          <w:i/>
          <w:iCs/>
          <w:sz w:val="18"/>
          <w:szCs w:val="18"/>
        </w:rPr>
        <w:t>assessment</w:t>
      </w:r>
      <w:r w:rsidRPr="00DF68C6">
        <w:rPr>
          <w:rFonts w:ascii="Arial Narrow" w:hAnsi="Arial Narrow"/>
          <w:i/>
          <w:iCs/>
          <w:sz w:val="18"/>
          <w:szCs w:val="18"/>
        </w:rPr>
        <w:t xml:space="preserve"> group</w:t>
      </w:r>
    </w:p>
    <w:p w14:paraId="1CDE33EF" w14:textId="66F1C01F" w:rsidR="009D40F6" w:rsidRPr="00EA7C9B" w:rsidRDefault="009D40F6" w:rsidP="002739C5">
      <w:pPr>
        <w:pStyle w:val="Caption"/>
        <w:keepLines/>
        <w:rPr>
          <w:u w:val="single"/>
        </w:rPr>
      </w:pPr>
      <w:bookmarkStart w:id="68" w:name="_Ref189048161"/>
      <w:bookmarkStart w:id="69" w:name="_Ref189048294"/>
      <w:r w:rsidRPr="00EA7C9B">
        <w:t>Table</w:t>
      </w:r>
      <w:r w:rsidR="00D32374">
        <w:t xml:space="preserve"> </w:t>
      </w:r>
      <w:r w:rsidR="00707D22">
        <w:t>20</w:t>
      </w:r>
      <w:bookmarkEnd w:id="68"/>
      <w:r w:rsidRPr="00263379">
        <w:tab/>
      </w:r>
      <w:r w:rsidRPr="00EA7C9B">
        <w:t xml:space="preserve">Total ERT costs for IOGSD II cases, diagnosed through NBS and assuming </w:t>
      </w:r>
      <w:r w:rsidRPr="00EA7C9B">
        <w:rPr>
          <w:u w:val="single"/>
        </w:rPr>
        <w:t>high dose ERT</w:t>
      </w:r>
      <w:r w:rsidR="00BF4D52" w:rsidRPr="00EA7C9B">
        <w:rPr>
          <w:u w:val="single"/>
        </w:rPr>
        <w:t xml:space="preserve"> (Scenario</w:t>
      </w:r>
      <w:r w:rsidR="00F173CF" w:rsidRPr="00EA7C9B">
        <w:rPr>
          <w:u w:val="single"/>
        </w:rPr>
        <w:t xml:space="preserve"> </w:t>
      </w:r>
      <w:r w:rsidR="00BF4D52" w:rsidRPr="00EA7C9B">
        <w:rPr>
          <w:u w:val="single"/>
        </w:rPr>
        <w:t>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134"/>
        <w:gridCol w:w="1134"/>
        <w:gridCol w:w="1134"/>
        <w:gridCol w:w="1134"/>
        <w:gridCol w:w="1134"/>
        <w:gridCol w:w="1134"/>
      </w:tblGrid>
      <w:tr w:rsidR="007229D6" w:rsidRPr="00BF4D52" w14:paraId="51328463" w14:textId="77777777" w:rsidTr="007229D6">
        <w:trPr>
          <w:trHeight w:val="255"/>
        </w:trPr>
        <w:tc>
          <w:tcPr>
            <w:tcW w:w="1696" w:type="dxa"/>
            <w:noWrap/>
            <w:vAlign w:val="bottom"/>
            <w:hideMark/>
          </w:tcPr>
          <w:p w14:paraId="137B186A" w14:textId="77777777" w:rsidR="009D40F6" w:rsidRPr="00DF68C6" w:rsidRDefault="009D40F6" w:rsidP="002739C5">
            <w:pPr>
              <w:keepNext/>
              <w:keepLines/>
              <w:spacing w:after="0" w:line="240" w:lineRule="auto"/>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 </w:t>
            </w:r>
          </w:p>
        </w:tc>
        <w:tc>
          <w:tcPr>
            <w:tcW w:w="1134" w:type="dxa"/>
            <w:noWrap/>
            <w:vAlign w:val="bottom"/>
            <w:hideMark/>
          </w:tcPr>
          <w:p w14:paraId="74646402" w14:textId="44BE3A40" w:rsidR="009D40F6" w:rsidRPr="00DF68C6" w:rsidRDefault="009D40F6" w:rsidP="002739C5">
            <w:pPr>
              <w:keepNext/>
              <w:keepLines/>
              <w:spacing w:after="0" w:line="240" w:lineRule="auto"/>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Average cost of high dose ERT (</w:t>
            </w:r>
            <w:proofErr w:type="gramStart"/>
            <w:r w:rsidRPr="00DF68C6">
              <w:rPr>
                <w:rFonts w:ascii="Arial Narrow" w:eastAsia="Times New Roman" w:hAnsi="Arial Narrow" w:cs="Times New Roman"/>
                <w:b/>
                <w:bCs/>
                <w:i/>
                <w:iCs/>
                <w:sz w:val="20"/>
                <w:szCs w:val="20"/>
                <w:lang w:eastAsia="en-AU"/>
              </w:rPr>
              <w:t>weight based</w:t>
            </w:r>
            <w:proofErr w:type="gramEnd"/>
            <w:r w:rsidRPr="00DF68C6">
              <w:rPr>
                <w:rFonts w:ascii="Arial Narrow" w:eastAsia="Times New Roman" w:hAnsi="Arial Narrow" w:cs="Times New Roman"/>
                <w:b/>
                <w:bCs/>
                <w:i/>
                <w:iCs/>
                <w:sz w:val="20"/>
                <w:szCs w:val="20"/>
                <w:lang w:eastAsia="en-AU"/>
              </w:rPr>
              <w:t xml:space="preserve"> dosing)</w:t>
            </w:r>
          </w:p>
        </w:tc>
        <w:tc>
          <w:tcPr>
            <w:tcW w:w="1134" w:type="dxa"/>
            <w:noWrap/>
            <w:vAlign w:val="bottom"/>
            <w:hideMark/>
          </w:tcPr>
          <w:p w14:paraId="4A5DA832" w14:textId="77777777" w:rsidR="009D40F6" w:rsidRPr="00DF68C6" w:rsidRDefault="009D40F6" w:rsidP="002739C5">
            <w:pPr>
              <w:keepNext/>
              <w:keepLines/>
              <w:spacing w:after="0" w:line="240" w:lineRule="auto"/>
              <w:jc w:val="center"/>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2025−26</w:t>
            </w:r>
          </w:p>
        </w:tc>
        <w:tc>
          <w:tcPr>
            <w:tcW w:w="1134" w:type="dxa"/>
            <w:noWrap/>
            <w:vAlign w:val="bottom"/>
            <w:hideMark/>
          </w:tcPr>
          <w:p w14:paraId="060A6F98" w14:textId="77777777" w:rsidR="009D40F6" w:rsidRPr="00DF68C6" w:rsidRDefault="009D40F6" w:rsidP="002739C5">
            <w:pPr>
              <w:keepNext/>
              <w:keepLines/>
              <w:spacing w:after="0" w:line="240" w:lineRule="auto"/>
              <w:jc w:val="center"/>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2026−27</w:t>
            </w:r>
          </w:p>
        </w:tc>
        <w:tc>
          <w:tcPr>
            <w:tcW w:w="1134" w:type="dxa"/>
            <w:noWrap/>
            <w:vAlign w:val="bottom"/>
            <w:hideMark/>
          </w:tcPr>
          <w:p w14:paraId="5967BD22" w14:textId="77777777" w:rsidR="009D40F6" w:rsidRPr="00DF68C6" w:rsidRDefault="009D40F6" w:rsidP="002739C5">
            <w:pPr>
              <w:keepNext/>
              <w:keepLines/>
              <w:spacing w:after="0" w:line="240" w:lineRule="auto"/>
              <w:jc w:val="center"/>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2027−28</w:t>
            </w:r>
          </w:p>
        </w:tc>
        <w:tc>
          <w:tcPr>
            <w:tcW w:w="1134" w:type="dxa"/>
            <w:noWrap/>
            <w:vAlign w:val="bottom"/>
            <w:hideMark/>
          </w:tcPr>
          <w:p w14:paraId="7BCFB3EA" w14:textId="77777777" w:rsidR="009D40F6" w:rsidRPr="00DF68C6" w:rsidRDefault="009D40F6" w:rsidP="002739C5">
            <w:pPr>
              <w:keepNext/>
              <w:keepLines/>
              <w:spacing w:after="0" w:line="240" w:lineRule="auto"/>
              <w:jc w:val="center"/>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2028−29</w:t>
            </w:r>
          </w:p>
        </w:tc>
        <w:tc>
          <w:tcPr>
            <w:tcW w:w="1134" w:type="dxa"/>
            <w:noWrap/>
            <w:vAlign w:val="bottom"/>
            <w:hideMark/>
          </w:tcPr>
          <w:p w14:paraId="6A360DCB" w14:textId="77777777" w:rsidR="009D40F6" w:rsidRPr="00DF68C6" w:rsidRDefault="009D40F6" w:rsidP="002739C5">
            <w:pPr>
              <w:keepNext/>
              <w:keepLines/>
              <w:spacing w:after="0" w:line="240" w:lineRule="auto"/>
              <w:jc w:val="center"/>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2029−30</w:t>
            </w:r>
          </w:p>
        </w:tc>
        <w:tc>
          <w:tcPr>
            <w:tcW w:w="1134" w:type="dxa"/>
            <w:noWrap/>
            <w:vAlign w:val="bottom"/>
            <w:hideMark/>
          </w:tcPr>
          <w:p w14:paraId="36BC1344" w14:textId="77777777" w:rsidR="009D40F6" w:rsidRPr="00DF68C6" w:rsidRDefault="009D40F6" w:rsidP="002739C5">
            <w:pPr>
              <w:keepNext/>
              <w:keepLines/>
              <w:spacing w:after="0" w:line="240" w:lineRule="auto"/>
              <w:jc w:val="center"/>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2030−31</w:t>
            </w:r>
          </w:p>
        </w:tc>
      </w:tr>
      <w:tr w:rsidR="007229D6" w:rsidRPr="00BF4D52" w14:paraId="7041A6D0" w14:textId="77777777" w:rsidTr="007229D6">
        <w:trPr>
          <w:trHeight w:val="255"/>
        </w:trPr>
        <w:tc>
          <w:tcPr>
            <w:tcW w:w="1696" w:type="dxa"/>
            <w:noWrap/>
            <w:vAlign w:val="bottom"/>
            <w:hideMark/>
          </w:tcPr>
          <w:p w14:paraId="5E385878" w14:textId="0B29536C" w:rsidR="00B12AFD" w:rsidRPr="00F076FA" w:rsidRDefault="00B12AFD" w:rsidP="002739C5">
            <w:pPr>
              <w:keepNext/>
              <w:keepLines/>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Age 0–1 (Tx for 0.93 year)</w:t>
            </w:r>
          </w:p>
        </w:tc>
        <w:tc>
          <w:tcPr>
            <w:tcW w:w="1134" w:type="dxa"/>
            <w:noWrap/>
            <w:hideMark/>
          </w:tcPr>
          <w:p w14:paraId="32A6DC7F" w14:textId="6792F0FF"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665B300" w14:textId="0B34626D"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690F00D" w14:textId="73B09668"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155EF86" w14:textId="5887176E"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18D2C87D" w14:textId="519AB658"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696230F5" w14:textId="37523093"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76FD2721" w14:textId="671E52BD"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7229D6" w:rsidRPr="00BF4D52" w14:paraId="009DD978" w14:textId="77777777" w:rsidTr="007229D6">
        <w:trPr>
          <w:trHeight w:val="255"/>
        </w:trPr>
        <w:tc>
          <w:tcPr>
            <w:tcW w:w="1696" w:type="dxa"/>
            <w:noWrap/>
            <w:vAlign w:val="bottom"/>
            <w:hideMark/>
          </w:tcPr>
          <w:p w14:paraId="03CF0CAD" w14:textId="77777777" w:rsidR="00B12AFD" w:rsidRPr="00F076FA" w:rsidRDefault="00B12AFD" w:rsidP="002739C5">
            <w:pPr>
              <w:keepNext/>
              <w:keepLines/>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Age 1–2</w:t>
            </w:r>
          </w:p>
        </w:tc>
        <w:tc>
          <w:tcPr>
            <w:tcW w:w="1134" w:type="dxa"/>
            <w:noWrap/>
            <w:hideMark/>
          </w:tcPr>
          <w:p w14:paraId="3925F74E" w14:textId="1159069D"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008D367E" w14:textId="1F5F625E"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4703A5E" w14:textId="294D85DE"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207C03A4" w14:textId="1E1567B3"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50A46133" w14:textId="3637ED88"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D31CB53" w14:textId="1AA05A64"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0A521B47" w14:textId="14B87BF5"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7229D6" w:rsidRPr="00BF4D52" w14:paraId="35D9777C" w14:textId="77777777" w:rsidTr="007229D6">
        <w:trPr>
          <w:trHeight w:val="255"/>
        </w:trPr>
        <w:tc>
          <w:tcPr>
            <w:tcW w:w="1696" w:type="dxa"/>
            <w:noWrap/>
            <w:vAlign w:val="bottom"/>
            <w:hideMark/>
          </w:tcPr>
          <w:p w14:paraId="47800FA0" w14:textId="77777777" w:rsidR="00B12AFD" w:rsidRPr="00F076FA" w:rsidRDefault="00B12AFD" w:rsidP="002739C5">
            <w:pPr>
              <w:keepNext/>
              <w:keepLines/>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Age 2–3</w:t>
            </w:r>
          </w:p>
        </w:tc>
        <w:tc>
          <w:tcPr>
            <w:tcW w:w="1134" w:type="dxa"/>
            <w:noWrap/>
            <w:hideMark/>
          </w:tcPr>
          <w:p w14:paraId="16E44A0A" w14:textId="04782061"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EF91E19" w14:textId="0F7EC976"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6049553" w14:textId="0E036B64"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38E16EBD" w14:textId="343BA5A8"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3B621D7B" w14:textId="6F4EFF10"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3E11C2D6" w14:textId="449BEB45"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A6C6CB3" w14:textId="2C9D839E"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7229D6" w:rsidRPr="00BF4D52" w14:paraId="69984AC1" w14:textId="77777777" w:rsidTr="007229D6">
        <w:trPr>
          <w:trHeight w:val="255"/>
        </w:trPr>
        <w:tc>
          <w:tcPr>
            <w:tcW w:w="1696" w:type="dxa"/>
            <w:noWrap/>
            <w:vAlign w:val="bottom"/>
            <w:hideMark/>
          </w:tcPr>
          <w:p w14:paraId="6B3B9B79" w14:textId="77777777" w:rsidR="00B12AFD" w:rsidRPr="00F076FA" w:rsidRDefault="00B12AFD" w:rsidP="002739C5">
            <w:pPr>
              <w:keepNext/>
              <w:keepLines/>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Age 3–4</w:t>
            </w:r>
          </w:p>
        </w:tc>
        <w:tc>
          <w:tcPr>
            <w:tcW w:w="1134" w:type="dxa"/>
            <w:noWrap/>
            <w:hideMark/>
          </w:tcPr>
          <w:p w14:paraId="68C862C5" w14:textId="31CF1E2A"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6A821C78" w14:textId="71C4FBF5"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1C8B1FEE" w14:textId="2D02E9E1"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2054BC5D" w14:textId="63D32A96"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6DCAF986" w14:textId="3715B221"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1ED37D4C" w14:textId="565F7C92"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327A8A94" w14:textId="283ACC0D"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7229D6" w:rsidRPr="00BF4D52" w14:paraId="63E63718" w14:textId="77777777" w:rsidTr="007229D6">
        <w:trPr>
          <w:trHeight w:val="255"/>
        </w:trPr>
        <w:tc>
          <w:tcPr>
            <w:tcW w:w="1696" w:type="dxa"/>
            <w:noWrap/>
            <w:vAlign w:val="bottom"/>
            <w:hideMark/>
          </w:tcPr>
          <w:p w14:paraId="357F44D7" w14:textId="77777777" w:rsidR="00B12AFD" w:rsidRPr="00F076FA" w:rsidRDefault="00B12AFD" w:rsidP="002739C5">
            <w:pPr>
              <w:keepNext/>
              <w:keepLines/>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Age 4–5</w:t>
            </w:r>
          </w:p>
        </w:tc>
        <w:tc>
          <w:tcPr>
            <w:tcW w:w="1134" w:type="dxa"/>
            <w:noWrap/>
            <w:hideMark/>
          </w:tcPr>
          <w:p w14:paraId="6E80C86A" w14:textId="72B2CE7C"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5D958251" w14:textId="50A85AFD"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BB54859" w14:textId="65B78422"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04A55FE5" w14:textId="4C54FF97"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575C7456" w14:textId="73DE2BA1"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10E7DE2A" w14:textId="2D3CAF48"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2A429959" w14:textId="0C1D374C"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7229D6" w:rsidRPr="00BF4D52" w14:paraId="313A82B6" w14:textId="77777777" w:rsidTr="007229D6">
        <w:trPr>
          <w:trHeight w:val="255"/>
        </w:trPr>
        <w:tc>
          <w:tcPr>
            <w:tcW w:w="1696" w:type="dxa"/>
            <w:noWrap/>
            <w:vAlign w:val="bottom"/>
            <w:hideMark/>
          </w:tcPr>
          <w:p w14:paraId="523BD11A" w14:textId="77777777" w:rsidR="00B12AFD" w:rsidRPr="00F076FA" w:rsidRDefault="00B12AFD" w:rsidP="002739C5">
            <w:pPr>
              <w:keepNext/>
              <w:keepLines/>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Age 5–6</w:t>
            </w:r>
          </w:p>
        </w:tc>
        <w:tc>
          <w:tcPr>
            <w:tcW w:w="1134" w:type="dxa"/>
            <w:noWrap/>
            <w:hideMark/>
          </w:tcPr>
          <w:p w14:paraId="5BD1B473" w14:textId="57DF25CA"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17049019" w14:textId="26B9A5A7"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2518CD46" w14:textId="3B14C764"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387C721" w14:textId="27322B5C"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AEF0884" w14:textId="4AB62EB4"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F268D63" w14:textId="4A2A97C4"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150AFC37" w14:textId="5F0D1504"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7229D6" w:rsidRPr="00BF4D52" w14:paraId="7E5B5DEA" w14:textId="77777777" w:rsidTr="007229D6">
        <w:trPr>
          <w:trHeight w:val="255"/>
        </w:trPr>
        <w:tc>
          <w:tcPr>
            <w:tcW w:w="1696" w:type="dxa"/>
            <w:noWrap/>
            <w:vAlign w:val="bottom"/>
            <w:hideMark/>
          </w:tcPr>
          <w:p w14:paraId="32348E4D" w14:textId="77777777" w:rsidR="00B12AFD" w:rsidRPr="00F076FA" w:rsidRDefault="00B12AFD" w:rsidP="002739C5">
            <w:pPr>
              <w:keepNext/>
              <w:keepLines/>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 xml:space="preserve">Total </w:t>
            </w:r>
          </w:p>
        </w:tc>
        <w:tc>
          <w:tcPr>
            <w:tcW w:w="1134" w:type="dxa"/>
            <w:noWrap/>
            <w:hideMark/>
          </w:tcPr>
          <w:p w14:paraId="2543DC24" w14:textId="199F1E6D" w:rsidR="00B12AFD" w:rsidRPr="00931D42" w:rsidRDefault="00B12AFD" w:rsidP="002739C5">
            <w:pPr>
              <w:keepNext/>
              <w:keepLines/>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37612573" w14:textId="13EC19FD"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24E6747C" w14:textId="63ADC916"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380F8C5E" w14:textId="1D084A74"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4788CB63" w14:textId="621D0879"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65EF7B9D" w14:textId="0EDAFCFA" w:rsidR="00B12AFD" w:rsidRPr="00931D42" w:rsidRDefault="00B12AFD" w:rsidP="002739C5">
            <w:pPr>
              <w:keepNext/>
              <w:keepLines/>
              <w:spacing w:after="0" w:line="240" w:lineRule="auto"/>
              <w:jc w:val="right"/>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hideMark/>
          </w:tcPr>
          <w:p w14:paraId="2F663065" w14:textId="0227AF55" w:rsidR="00B12AFD" w:rsidRPr="00931D42" w:rsidRDefault="00B12AFD" w:rsidP="002739C5">
            <w:pPr>
              <w:keepNext/>
              <w:keepLines/>
              <w:spacing w:after="0" w:line="240" w:lineRule="auto"/>
              <w:jc w:val="right"/>
              <w:rPr>
                <w:rFonts w:ascii="Arial Narrow" w:eastAsia="Times New Roman" w:hAnsi="Arial Narrow" w:cs="Times New Roman"/>
                <w:i/>
                <w:iCs/>
                <w:sz w:val="20"/>
                <w:szCs w:val="20"/>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bl>
    <w:p w14:paraId="40403809" w14:textId="7DDB1B7D" w:rsidR="009A45CA" w:rsidRPr="00DF68C6" w:rsidRDefault="009A45CA" w:rsidP="002739C5">
      <w:pPr>
        <w:keepNext/>
        <w:keepLines/>
        <w:spacing w:before="0" w:after="0"/>
        <w:rPr>
          <w:rFonts w:ascii="Arial Narrow" w:hAnsi="Arial Narrow"/>
          <w:i/>
          <w:iCs/>
          <w:sz w:val="18"/>
          <w:szCs w:val="18"/>
        </w:rPr>
      </w:pPr>
      <w:r w:rsidRPr="00DF68C6">
        <w:rPr>
          <w:rFonts w:ascii="Arial Narrow" w:hAnsi="Arial Narrow"/>
          <w:i/>
          <w:iCs/>
          <w:sz w:val="18"/>
          <w:szCs w:val="18"/>
        </w:rPr>
        <w:t xml:space="preserve">Source: Rejoinder from </w:t>
      </w:r>
      <w:r>
        <w:rPr>
          <w:rFonts w:ascii="Arial Narrow" w:hAnsi="Arial Narrow"/>
          <w:i/>
          <w:iCs/>
          <w:sz w:val="18"/>
          <w:szCs w:val="18"/>
        </w:rPr>
        <w:t>assessment</w:t>
      </w:r>
      <w:r w:rsidRPr="00DF68C6">
        <w:rPr>
          <w:rFonts w:ascii="Arial Narrow" w:hAnsi="Arial Narrow"/>
          <w:i/>
          <w:iCs/>
          <w:sz w:val="18"/>
          <w:szCs w:val="18"/>
        </w:rPr>
        <w:t xml:space="preserve"> group</w:t>
      </w:r>
    </w:p>
    <w:p w14:paraId="2C92830D" w14:textId="51DA8B46" w:rsidR="009D40F6" w:rsidRPr="00EA7C9B" w:rsidRDefault="009D40F6" w:rsidP="009D40F6">
      <w:pPr>
        <w:pStyle w:val="Caption"/>
      </w:pPr>
      <w:bookmarkStart w:id="70" w:name="_Ref191566322"/>
      <w:r w:rsidRPr="00EA7C9B">
        <w:t>Table</w:t>
      </w:r>
      <w:r w:rsidR="00D32374">
        <w:t xml:space="preserve"> </w:t>
      </w:r>
      <w:r w:rsidR="00707D22">
        <w:t>21</w:t>
      </w:r>
      <w:bookmarkEnd w:id="69"/>
      <w:bookmarkEnd w:id="70"/>
      <w:r w:rsidRPr="00263379">
        <w:tab/>
      </w:r>
      <w:r w:rsidRPr="00EA7C9B">
        <w:t>Total ERT costs for IOGSD II cases diagnosed clinically &amp; treated with listed doses (current practice)</w:t>
      </w:r>
      <w:r w:rsidR="009A45CA" w:rsidRPr="00EA7C9B">
        <w:t xml:space="preserve"> </w:t>
      </w:r>
      <w:r w:rsidR="00BF4D52" w:rsidRPr="00EA7C9B">
        <w:t>(Scenario</w:t>
      </w:r>
      <w:r w:rsidR="00F173CF" w:rsidRPr="00EA7C9B">
        <w:t xml:space="preserve"> </w:t>
      </w:r>
      <w:r w:rsidR="00BF4D52" w:rsidRPr="00EA7C9B">
        <w:t>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134"/>
        <w:gridCol w:w="1134"/>
        <w:gridCol w:w="1134"/>
        <w:gridCol w:w="1276"/>
        <w:gridCol w:w="1275"/>
        <w:gridCol w:w="1134"/>
      </w:tblGrid>
      <w:tr w:rsidR="00BF4D52" w:rsidRPr="00BF4D52" w14:paraId="5620917B" w14:textId="77777777" w:rsidTr="007229D6">
        <w:trPr>
          <w:trHeight w:val="255"/>
        </w:trPr>
        <w:tc>
          <w:tcPr>
            <w:tcW w:w="1271" w:type="dxa"/>
            <w:noWrap/>
            <w:vAlign w:val="bottom"/>
            <w:hideMark/>
          </w:tcPr>
          <w:p w14:paraId="0BBA6297" w14:textId="77777777" w:rsidR="009D40F6" w:rsidRPr="00DF68C6" w:rsidRDefault="009D40F6" w:rsidP="00EE2E26">
            <w:pPr>
              <w:spacing w:after="0" w:line="240" w:lineRule="auto"/>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 </w:t>
            </w:r>
          </w:p>
        </w:tc>
        <w:tc>
          <w:tcPr>
            <w:tcW w:w="1276" w:type="dxa"/>
            <w:noWrap/>
            <w:vAlign w:val="bottom"/>
            <w:hideMark/>
          </w:tcPr>
          <w:p w14:paraId="0864FEAB" w14:textId="01E614E3" w:rsidR="009D40F6" w:rsidRPr="00DF68C6" w:rsidRDefault="009D40F6" w:rsidP="00EE2E26">
            <w:pPr>
              <w:spacing w:after="0" w:line="240" w:lineRule="auto"/>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Average cost of ERT listed dose</w:t>
            </w:r>
            <w:r w:rsidR="0082684E">
              <w:rPr>
                <w:rFonts w:ascii="Arial Narrow" w:eastAsia="Times New Roman" w:hAnsi="Arial Narrow" w:cs="Times New Roman"/>
                <w:b/>
                <w:bCs/>
                <w:i/>
                <w:iCs/>
                <w:sz w:val="20"/>
                <w:szCs w:val="20"/>
                <w:lang w:eastAsia="en-AU"/>
              </w:rPr>
              <w:t xml:space="preserve"> of 20mg/kg</w:t>
            </w:r>
            <w:r w:rsidRPr="00DF68C6">
              <w:rPr>
                <w:rFonts w:ascii="Arial Narrow" w:eastAsia="Times New Roman" w:hAnsi="Arial Narrow" w:cs="Times New Roman"/>
                <w:b/>
                <w:bCs/>
                <w:i/>
                <w:iCs/>
                <w:sz w:val="20"/>
                <w:szCs w:val="20"/>
                <w:lang w:eastAsia="en-AU"/>
              </w:rPr>
              <w:t xml:space="preserve"> (</w:t>
            </w:r>
            <w:proofErr w:type="gramStart"/>
            <w:r w:rsidRPr="00DF68C6">
              <w:rPr>
                <w:rFonts w:ascii="Arial Narrow" w:eastAsia="Times New Roman" w:hAnsi="Arial Narrow" w:cs="Times New Roman"/>
                <w:b/>
                <w:bCs/>
                <w:i/>
                <w:iCs/>
                <w:sz w:val="20"/>
                <w:szCs w:val="20"/>
                <w:lang w:eastAsia="en-AU"/>
              </w:rPr>
              <w:t>weight based</w:t>
            </w:r>
            <w:proofErr w:type="gramEnd"/>
            <w:r w:rsidRPr="00DF68C6">
              <w:rPr>
                <w:rFonts w:ascii="Arial Narrow" w:eastAsia="Times New Roman" w:hAnsi="Arial Narrow" w:cs="Times New Roman"/>
                <w:b/>
                <w:bCs/>
                <w:i/>
                <w:iCs/>
                <w:sz w:val="20"/>
                <w:szCs w:val="20"/>
                <w:lang w:eastAsia="en-AU"/>
              </w:rPr>
              <w:t xml:space="preserve"> dosing)</w:t>
            </w:r>
          </w:p>
        </w:tc>
        <w:tc>
          <w:tcPr>
            <w:tcW w:w="1134" w:type="dxa"/>
            <w:noWrap/>
            <w:vAlign w:val="bottom"/>
            <w:hideMark/>
          </w:tcPr>
          <w:p w14:paraId="258AA85C" w14:textId="77777777" w:rsidR="009D40F6" w:rsidRPr="00DF68C6" w:rsidRDefault="009D40F6" w:rsidP="00EE2E26">
            <w:pPr>
              <w:spacing w:after="0" w:line="240" w:lineRule="auto"/>
              <w:jc w:val="center"/>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2025−26</w:t>
            </w:r>
          </w:p>
        </w:tc>
        <w:tc>
          <w:tcPr>
            <w:tcW w:w="1134" w:type="dxa"/>
            <w:noWrap/>
            <w:vAlign w:val="bottom"/>
            <w:hideMark/>
          </w:tcPr>
          <w:p w14:paraId="53699AC7" w14:textId="77777777" w:rsidR="009D40F6" w:rsidRPr="00DF68C6" w:rsidRDefault="009D40F6" w:rsidP="00EE2E26">
            <w:pPr>
              <w:spacing w:after="0" w:line="240" w:lineRule="auto"/>
              <w:jc w:val="center"/>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2026−27</w:t>
            </w:r>
          </w:p>
        </w:tc>
        <w:tc>
          <w:tcPr>
            <w:tcW w:w="1134" w:type="dxa"/>
            <w:noWrap/>
            <w:vAlign w:val="bottom"/>
            <w:hideMark/>
          </w:tcPr>
          <w:p w14:paraId="15639777" w14:textId="77777777" w:rsidR="009D40F6" w:rsidRPr="00DF68C6" w:rsidRDefault="009D40F6" w:rsidP="00EE2E26">
            <w:pPr>
              <w:spacing w:after="0" w:line="240" w:lineRule="auto"/>
              <w:jc w:val="center"/>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2027−28</w:t>
            </w:r>
          </w:p>
        </w:tc>
        <w:tc>
          <w:tcPr>
            <w:tcW w:w="1276" w:type="dxa"/>
            <w:noWrap/>
            <w:vAlign w:val="bottom"/>
            <w:hideMark/>
          </w:tcPr>
          <w:p w14:paraId="28B67B89" w14:textId="77777777" w:rsidR="009D40F6" w:rsidRPr="00DF68C6" w:rsidRDefault="009D40F6" w:rsidP="00EE2E26">
            <w:pPr>
              <w:spacing w:after="0" w:line="240" w:lineRule="auto"/>
              <w:jc w:val="center"/>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2028−29</w:t>
            </w:r>
          </w:p>
        </w:tc>
        <w:tc>
          <w:tcPr>
            <w:tcW w:w="1275" w:type="dxa"/>
            <w:noWrap/>
            <w:vAlign w:val="bottom"/>
            <w:hideMark/>
          </w:tcPr>
          <w:p w14:paraId="7BADFF4C" w14:textId="77777777" w:rsidR="009D40F6" w:rsidRPr="00DF68C6" w:rsidRDefault="009D40F6" w:rsidP="00EE2E26">
            <w:pPr>
              <w:spacing w:after="0" w:line="240" w:lineRule="auto"/>
              <w:jc w:val="center"/>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2029−30</w:t>
            </w:r>
          </w:p>
        </w:tc>
        <w:tc>
          <w:tcPr>
            <w:tcW w:w="1134" w:type="dxa"/>
            <w:noWrap/>
            <w:vAlign w:val="bottom"/>
            <w:hideMark/>
          </w:tcPr>
          <w:p w14:paraId="5D280037" w14:textId="77777777" w:rsidR="009D40F6" w:rsidRPr="00DF68C6" w:rsidRDefault="009D40F6" w:rsidP="00EE2E26">
            <w:pPr>
              <w:spacing w:after="0" w:line="240" w:lineRule="auto"/>
              <w:jc w:val="center"/>
              <w:rPr>
                <w:rFonts w:ascii="Arial Narrow" w:eastAsia="Times New Roman" w:hAnsi="Arial Narrow" w:cs="Times New Roman"/>
                <w:b/>
                <w:bCs/>
                <w:i/>
                <w:iCs/>
                <w:sz w:val="20"/>
                <w:szCs w:val="20"/>
                <w:lang w:eastAsia="en-AU"/>
              </w:rPr>
            </w:pPr>
            <w:r w:rsidRPr="00DF68C6">
              <w:rPr>
                <w:rFonts w:ascii="Arial Narrow" w:eastAsia="Times New Roman" w:hAnsi="Arial Narrow" w:cs="Times New Roman"/>
                <w:b/>
                <w:bCs/>
                <w:i/>
                <w:iCs/>
                <w:sz w:val="20"/>
                <w:szCs w:val="20"/>
                <w:lang w:eastAsia="en-AU"/>
              </w:rPr>
              <w:t>2030−31</w:t>
            </w:r>
          </w:p>
        </w:tc>
      </w:tr>
      <w:tr w:rsidR="007229D6" w:rsidRPr="00BF4D52" w14:paraId="235A8491" w14:textId="77777777" w:rsidTr="007229D6">
        <w:trPr>
          <w:trHeight w:val="255"/>
        </w:trPr>
        <w:tc>
          <w:tcPr>
            <w:tcW w:w="1271" w:type="dxa"/>
            <w:noWrap/>
            <w:vAlign w:val="bottom"/>
            <w:hideMark/>
          </w:tcPr>
          <w:p w14:paraId="4447EFAE" w14:textId="4B720F41" w:rsidR="00B12AFD" w:rsidRPr="00F076FA" w:rsidRDefault="00B12AFD" w:rsidP="00B12AFD">
            <w:pPr>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Age 0–1(Tx for 0.54 year)</w:t>
            </w:r>
          </w:p>
        </w:tc>
        <w:tc>
          <w:tcPr>
            <w:tcW w:w="1276" w:type="dxa"/>
            <w:noWrap/>
            <w:vAlign w:val="center"/>
            <w:hideMark/>
          </w:tcPr>
          <w:p w14:paraId="16C2B5B6" w14:textId="11B3BFDA"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46C1D63E" w14:textId="37D3DB5F"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1544DB2C" w14:textId="5593A8CC"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0D98E7E0" w14:textId="1CBF796C"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6" w:type="dxa"/>
            <w:noWrap/>
            <w:vAlign w:val="center"/>
            <w:hideMark/>
          </w:tcPr>
          <w:p w14:paraId="3E043B64" w14:textId="78A1D981"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5" w:type="dxa"/>
            <w:noWrap/>
            <w:vAlign w:val="center"/>
            <w:hideMark/>
          </w:tcPr>
          <w:p w14:paraId="43673BF3" w14:textId="74222FAF"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6A73C433" w14:textId="5E8C364C"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7229D6" w:rsidRPr="00BF4D52" w14:paraId="3EA3D286" w14:textId="77777777" w:rsidTr="007229D6">
        <w:trPr>
          <w:trHeight w:val="255"/>
        </w:trPr>
        <w:tc>
          <w:tcPr>
            <w:tcW w:w="1271" w:type="dxa"/>
            <w:noWrap/>
            <w:vAlign w:val="bottom"/>
            <w:hideMark/>
          </w:tcPr>
          <w:p w14:paraId="4601A480" w14:textId="77777777" w:rsidR="00B12AFD" w:rsidRPr="00F076FA" w:rsidRDefault="00B12AFD" w:rsidP="00B12AFD">
            <w:pPr>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Age 1–2</w:t>
            </w:r>
          </w:p>
        </w:tc>
        <w:tc>
          <w:tcPr>
            <w:tcW w:w="1276" w:type="dxa"/>
            <w:noWrap/>
            <w:vAlign w:val="center"/>
            <w:hideMark/>
          </w:tcPr>
          <w:p w14:paraId="4810997E" w14:textId="440BE6D6"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3FDD4C31" w14:textId="17A388CB"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27C0D057" w14:textId="77C3A08B"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2B055999" w14:textId="26F2FBAB"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6" w:type="dxa"/>
            <w:noWrap/>
            <w:vAlign w:val="center"/>
            <w:hideMark/>
          </w:tcPr>
          <w:p w14:paraId="074AFAB5" w14:textId="52AD9CAC"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5" w:type="dxa"/>
            <w:noWrap/>
            <w:vAlign w:val="center"/>
            <w:hideMark/>
          </w:tcPr>
          <w:p w14:paraId="6280A71A" w14:textId="69604C3F"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7C9776DE" w14:textId="2E59FDF4"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7229D6" w:rsidRPr="00BF4D52" w14:paraId="0EDA8648" w14:textId="77777777" w:rsidTr="007229D6">
        <w:trPr>
          <w:trHeight w:val="255"/>
        </w:trPr>
        <w:tc>
          <w:tcPr>
            <w:tcW w:w="1271" w:type="dxa"/>
            <w:noWrap/>
            <w:vAlign w:val="bottom"/>
            <w:hideMark/>
          </w:tcPr>
          <w:p w14:paraId="09DB62FA" w14:textId="77777777" w:rsidR="00B12AFD" w:rsidRPr="00F076FA" w:rsidRDefault="00B12AFD" w:rsidP="00B12AFD">
            <w:pPr>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Age 2–3</w:t>
            </w:r>
          </w:p>
        </w:tc>
        <w:tc>
          <w:tcPr>
            <w:tcW w:w="1276" w:type="dxa"/>
            <w:noWrap/>
            <w:vAlign w:val="center"/>
            <w:hideMark/>
          </w:tcPr>
          <w:p w14:paraId="4070B8D5" w14:textId="4D705727"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3F6F9D12" w14:textId="69CC4104"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37E97F46" w14:textId="5BE72C17"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13C48210" w14:textId="4E934EF0"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6" w:type="dxa"/>
            <w:noWrap/>
            <w:vAlign w:val="center"/>
            <w:hideMark/>
          </w:tcPr>
          <w:p w14:paraId="74BE6D49" w14:textId="04482C33"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5" w:type="dxa"/>
            <w:noWrap/>
            <w:vAlign w:val="center"/>
            <w:hideMark/>
          </w:tcPr>
          <w:p w14:paraId="487382AE" w14:textId="5FD4604A"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12691C1D" w14:textId="717EE6D3"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7229D6" w:rsidRPr="00BF4D52" w14:paraId="098A4116" w14:textId="77777777" w:rsidTr="007229D6">
        <w:trPr>
          <w:trHeight w:val="255"/>
        </w:trPr>
        <w:tc>
          <w:tcPr>
            <w:tcW w:w="1271" w:type="dxa"/>
            <w:noWrap/>
            <w:vAlign w:val="bottom"/>
            <w:hideMark/>
          </w:tcPr>
          <w:p w14:paraId="6BC36B0B" w14:textId="77777777" w:rsidR="00B12AFD" w:rsidRPr="00F076FA" w:rsidRDefault="00B12AFD" w:rsidP="00B12AFD">
            <w:pPr>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Age 3–4</w:t>
            </w:r>
          </w:p>
        </w:tc>
        <w:tc>
          <w:tcPr>
            <w:tcW w:w="1276" w:type="dxa"/>
            <w:noWrap/>
            <w:vAlign w:val="center"/>
            <w:hideMark/>
          </w:tcPr>
          <w:p w14:paraId="42EE6940" w14:textId="2C6A14BB"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4F489796" w14:textId="7CAA08F2"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2EEC3F71" w14:textId="222622E7"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384AA5BF" w14:textId="2C15BC7B"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6" w:type="dxa"/>
            <w:noWrap/>
            <w:vAlign w:val="center"/>
            <w:hideMark/>
          </w:tcPr>
          <w:p w14:paraId="22C5661B" w14:textId="58EC75E0"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5" w:type="dxa"/>
            <w:noWrap/>
            <w:vAlign w:val="center"/>
            <w:hideMark/>
          </w:tcPr>
          <w:p w14:paraId="09EAEBDC" w14:textId="0272FF40"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1467066E" w14:textId="10B6EACF"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7229D6" w:rsidRPr="00BF4D52" w14:paraId="7ED69A0D" w14:textId="77777777" w:rsidTr="007229D6">
        <w:trPr>
          <w:trHeight w:val="255"/>
        </w:trPr>
        <w:tc>
          <w:tcPr>
            <w:tcW w:w="1271" w:type="dxa"/>
            <w:noWrap/>
            <w:vAlign w:val="bottom"/>
            <w:hideMark/>
          </w:tcPr>
          <w:p w14:paraId="58EF18C1" w14:textId="77777777" w:rsidR="00B12AFD" w:rsidRPr="00F076FA" w:rsidRDefault="00B12AFD" w:rsidP="00B12AFD">
            <w:pPr>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Age 4–5</w:t>
            </w:r>
          </w:p>
        </w:tc>
        <w:tc>
          <w:tcPr>
            <w:tcW w:w="1276" w:type="dxa"/>
            <w:noWrap/>
            <w:vAlign w:val="center"/>
            <w:hideMark/>
          </w:tcPr>
          <w:p w14:paraId="679584D8" w14:textId="545AAF4A"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6E163F69" w14:textId="36037B2E"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668BA364" w14:textId="3E99709F"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16082419" w14:textId="1F826698"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6" w:type="dxa"/>
            <w:noWrap/>
            <w:vAlign w:val="center"/>
            <w:hideMark/>
          </w:tcPr>
          <w:p w14:paraId="515D94B8" w14:textId="68A69F19"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5" w:type="dxa"/>
            <w:noWrap/>
            <w:vAlign w:val="center"/>
            <w:hideMark/>
          </w:tcPr>
          <w:p w14:paraId="0E1F352F" w14:textId="5B325FAB"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5E47F37C" w14:textId="368CF7F1"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7229D6" w:rsidRPr="00BF4D52" w14:paraId="36CBFF95" w14:textId="77777777" w:rsidTr="007229D6">
        <w:trPr>
          <w:trHeight w:val="255"/>
        </w:trPr>
        <w:tc>
          <w:tcPr>
            <w:tcW w:w="1271" w:type="dxa"/>
            <w:noWrap/>
            <w:vAlign w:val="bottom"/>
            <w:hideMark/>
          </w:tcPr>
          <w:p w14:paraId="14F1B330" w14:textId="77777777" w:rsidR="00B12AFD" w:rsidRPr="00F076FA" w:rsidRDefault="00B12AFD" w:rsidP="00B12AFD">
            <w:pPr>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Age 5–6</w:t>
            </w:r>
          </w:p>
        </w:tc>
        <w:tc>
          <w:tcPr>
            <w:tcW w:w="1276" w:type="dxa"/>
            <w:noWrap/>
            <w:vAlign w:val="center"/>
            <w:hideMark/>
          </w:tcPr>
          <w:p w14:paraId="1773F0B6" w14:textId="5910A3B4"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55E63967" w14:textId="6E651158"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7C350299" w14:textId="36575ED2"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18B1B426" w14:textId="50DD6FE3"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6" w:type="dxa"/>
            <w:noWrap/>
            <w:vAlign w:val="center"/>
            <w:hideMark/>
          </w:tcPr>
          <w:p w14:paraId="7458E65A" w14:textId="5A1A29E2"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5" w:type="dxa"/>
            <w:noWrap/>
            <w:vAlign w:val="center"/>
            <w:hideMark/>
          </w:tcPr>
          <w:p w14:paraId="1189EEA7" w14:textId="38C5BBD0"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73953C21" w14:textId="14C2E5F1"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r w:rsidR="007229D6" w:rsidRPr="00BF4D52" w14:paraId="06F04DBC" w14:textId="77777777" w:rsidTr="007229D6">
        <w:trPr>
          <w:trHeight w:val="255"/>
        </w:trPr>
        <w:tc>
          <w:tcPr>
            <w:tcW w:w="1271" w:type="dxa"/>
            <w:noWrap/>
            <w:vAlign w:val="bottom"/>
            <w:hideMark/>
          </w:tcPr>
          <w:p w14:paraId="4B1FD995" w14:textId="77777777" w:rsidR="00B12AFD" w:rsidRPr="00F076FA" w:rsidRDefault="00B12AFD" w:rsidP="00B12AFD">
            <w:pPr>
              <w:spacing w:after="0" w:line="240" w:lineRule="auto"/>
              <w:rPr>
                <w:rFonts w:ascii="Arial Narrow" w:eastAsia="Times New Roman" w:hAnsi="Arial Narrow" w:cs="Times New Roman"/>
                <w:i/>
                <w:iCs/>
                <w:sz w:val="20"/>
                <w:szCs w:val="20"/>
                <w:lang w:eastAsia="en-AU"/>
              </w:rPr>
            </w:pPr>
            <w:r w:rsidRPr="00F076FA">
              <w:rPr>
                <w:rFonts w:ascii="Arial Narrow" w:eastAsia="Times New Roman" w:hAnsi="Arial Narrow" w:cs="Times New Roman"/>
                <w:i/>
                <w:iCs/>
                <w:sz w:val="20"/>
                <w:szCs w:val="20"/>
                <w:lang w:eastAsia="en-AU"/>
              </w:rPr>
              <w:t xml:space="preserve">Total </w:t>
            </w:r>
          </w:p>
        </w:tc>
        <w:tc>
          <w:tcPr>
            <w:tcW w:w="1276" w:type="dxa"/>
            <w:noWrap/>
            <w:vAlign w:val="center"/>
            <w:hideMark/>
          </w:tcPr>
          <w:p w14:paraId="1FEAF482" w14:textId="7F507382"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13B2EEBA" w14:textId="13FC1E0D"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527D24B2" w14:textId="4A19A7D9"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25F59350" w14:textId="5549027A"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6" w:type="dxa"/>
            <w:noWrap/>
            <w:vAlign w:val="center"/>
            <w:hideMark/>
          </w:tcPr>
          <w:p w14:paraId="592124F3" w14:textId="6CF0E992"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275" w:type="dxa"/>
            <w:noWrap/>
            <w:vAlign w:val="center"/>
            <w:hideMark/>
          </w:tcPr>
          <w:p w14:paraId="679363A7" w14:textId="713D6B6A" w:rsidR="00B12AFD" w:rsidRPr="00931D42" w:rsidRDefault="00B12AFD" w:rsidP="007229D6">
            <w:pPr>
              <w:spacing w:after="0" w:line="240" w:lineRule="auto"/>
              <w:jc w:val="center"/>
              <w:rPr>
                <w:rFonts w:ascii="Arial Narrow" w:eastAsia="Times New Roman" w:hAnsi="Arial Narrow" w:cs="Times New Roman"/>
                <w:i/>
                <w:iCs/>
                <w:sz w:val="20"/>
                <w:szCs w:val="20"/>
                <w:highlight w:val="yellow"/>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c>
          <w:tcPr>
            <w:tcW w:w="1134" w:type="dxa"/>
            <w:noWrap/>
            <w:vAlign w:val="center"/>
            <w:hideMark/>
          </w:tcPr>
          <w:p w14:paraId="1C62F4A8" w14:textId="5C4EB891" w:rsidR="00B12AFD" w:rsidRPr="00931D42" w:rsidRDefault="00B12AFD" w:rsidP="007229D6">
            <w:pPr>
              <w:spacing w:after="0" w:line="240" w:lineRule="auto"/>
              <w:jc w:val="center"/>
              <w:rPr>
                <w:rFonts w:ascii="Arial Narrow" w:eastAsia="Times New Roman" w:hAnsi="Arial Narrow" w:cs="Times New Roman"/>
                <w:i/>
                <w:iCs/>
                <w:sz w:val="20"/>
                <w:szCs w:val="20"/>
                <w:lang w:eastAsia="en-AU"/>
              </w:rPr>
            </w:pPr>
            <w:r w:rsidRPr="00DC3ADE">
              <w:rPr>
                <w:rFonts w:ascii="Arial Narrow" w:eastAsia="Times New Roman" w:hAnsi="Arial Narrow" w:cs="Calibri"/>
                <w:i/>
                <w:iCs/>
                <w:color w:val="000000"/>
                <w:sz w:val="20"/>
                <w:szCs w:val="20"/>
                <w:lang w:eastAsia="en-AU"/>
              </w:rPr>
              <w:t>$</w:t>
            </w:r>
            <w:r w:rsidRPr="00DC3ADE">
              <w:rPr>
                <w:rFonts w:ascii="Arial Narrow" w:eastAsia="Times New Roman" w:hAnsi="Arial Narrow" w:cs="Calibri"/>
                <w:b/>
                <w:bCs/>
                <w:i/>
                <w:iCs/>
                <w:color w:val="000000"/>
                <w:sz w:val="20"/>
                <w:szCs w:val="20"/>
                <w:lang w:eastAsia="en-AU"/>
              </w:rPr>
              <w:t>Redacted</w:t>
            </w:r>
          </w:p>
        </w:tc>
      </w:tr>
    </w:tbl>
    <w:p w14:paraId="6B127045" w14:textId="77777777" w:rsidR="009A45CA" w:rsidRPr="00410EF6" w:rsidRDefault="009A45CA" w:rsidP="009A45CA">
      <w:pPr>
        <w:spacing w:before="0" w:after="0"/>
        <w:rPr>
          <w:rFonts w:ascii="Arial Narrow" w:hAnsi="Arial Narrow"/>
          <w:i/>
          <w:iCs/>
          <w:sz w:val="18"/>
          <w:szCs w:val="18"/>
        </w:rPr>
      </w:pPr>
      <w:r w:rsidRPr="00410EF6">
        <w:rPr>
          <w:rFonts w:ascii="Arial Narrow" w:hAnsi="Arial Narrow"/>
          <w:i/>
          <w:iCs/>
          <w:sz w:val="18"/>
          <w:szCs w:val="18"/>
        </w:rPr>
        <w:t xml:space="preserve">Source: Rejoinder from </w:t>
      </w:r>
      <w:r>
        <w:rPr>
          <w:rFonts w:ascii="Arial Narrow" w:hAnsi="Arial Narrow"/>
          <w:i/>
          <w:iCs/>
          <w:sz w:val="18"/>
          <w:szCs w:val="18"/>
        </w:rPr>
        <w:t>assessment</w:t>
      </w:r>
      <w:r w:rsidRPr="00410EF6">
        <w:rPr>
          <w:rFonts w:ascii="Arial Narrow" w:hAnsi="Arial Narrow"/>
          <w:i/>
          <w:iCs/>
          <w:sz w:val="18"/>
          <w:szCs w:val="18"/>
        </w:rPr>
        <w:t xml:space="preserve"> group</w:t>
      </w:r>
    </w:p>
    <w:p w14:paraId="1D9512CB" w14:textId="2345D780" w:rsidR="006D6777" w:rsidRPr="00EA7C9B" w:rsidRDefault="006D6777" w:rsidP="00ED5CB7">
      <w:pPr>
        <w:pStyle w:val="Caption"/>
        <w:keepLines/>
      </w:pPr>
      <w:bookmarkStart w:id="71" w:name="_Ref191567346"/>
      <w:r w:rsidRPr="00EA7C9B">
        <w:t>Table</w:t>
      </w:r>
      <w:r w:rsidR="00D32374">
        <w:t xml:space="preserve"> </w:t>
      </w:r>
      <w:r w:rsidR="00707D22">
        <w:t>22</w:t>
      </w:r>
      <w:bookmarkEnd w:id="71"/>
      <w:r w:rsidRPr="00EA7C9B">
        <w:tab/>
        <w:t xml:space="preserve">Cost implications to LSDP budgets due to NBS for GSD II and </w:t>
      </w:r>
      <w:r w:rsidRPr="00EA7C9B">
        <w:rPr>
          <w:u w:val="single"/>
        </w:rPr>
        <w:t>LOGSD II treated from birth</w:t>
      </w:r>
      <w:r w:rsidR="00BF4D52" w:rsidRPr="00EA7C9B">
        <w:rPr>
          <w:u w:val="single"/>
        </w:rPr>
        <w:t xml:space="preserve"> (Scenario</w:t>
      </w:r>
      <w:r w:rsidR="00F173CF" w:rsidRPr="00EA7C9B">
        <w:rPr>
          <w:u w:val="single"/>
        </w:rPr>
        <w:t xml:space="preserve"> </w:t>
      </w:r>
      <w:r w:rsidR="00BF4D52" w:rsidRPr="00EA7C9B">
        <w:rPr>
          <w:u w:val="single"/>
        </w:rPr>
        <w:t>2)</w:t>
      </w:r>
    </w:p>
    <w:tbl>
      <w:tblPr>
        <w:tblStyle w:val="TableGrid11"/>
        <w:tblW w:w="9634" w:type="dxa"/>
        <w:tblLayout w:type="fixed"/>
        <w:tblLook w:val="04A0" w:firstRow="1" w:lastRow="0" w:firstColumn="1" w:lastColumn="0" w:noHBand="0" w:noVBand="1"/>
      </w:tblPr>
      <w:tblGrid>
        <w:gridCol w:w="2830"/>
        <w:gridCol w:w="1134"/>
        <w:gridCol w:w="1134"/>
        <w:gridCol w:w="1186"/>
        <w:gridCol w:w="1082"/>
        <w:gridCol w:w="1134"/>
        <w:gridCol w:w="1134"/>
      </w:tblGrid>
      <w:tr w:rsidR="00BF4D52" w:rsidRPr="00BF4D52" w14:paraId="2EA1ED94" w14:textId="77777777" w:rsidTr="00175863">
        <w:trPr>
          <w:cnfStyle w:val="100000000000" w:firstRow="1" w:lastRow="0" w:firstColumn="0" w:lastColumn="0" w:oddVBand="0" w:evenVBand="0" w:oddHBand="0" w:evenHBand="0" w:firstRowFirstColumn="0" w:firstRowLastColumn="0" w:lastRowFirstColumn="0" w:lastRowLastColumn="0"/>
          <w:trHeight w:val="255"/>
        </w:trPr>
        <w:tc>
          <w:tcPr>
            <w:tcW w:w="2830" w:type="dxa"/>
            <w:noWrap/>
            <w:hideMark/>
          </w:tcPr>
          <w:p w14:paraId="7AFEA758" w14:textId="77777777" w:rsidR="006D6777" w:rsidRPr="00DF68C6" w:rsidRDefault="006D6777" w:rsidP="00ED5CB7">
            <w:pPr>
              <w:keepNext/>
              <w:keepLines/>
              <w:spacing w:before="0" w:after="160" w:line="259" w:lineRule="auto"/>
              <w:rPr>
                <w:rFonts w:ascii="Arial Narrow" w:hAnsi="Arial Narrow"/>
              </w:rPr>
            </w:pPr>
            <w:r w:rsidRPr="00DF68C6">
              <w:rPr>
                <w:rFonts w:ascii="Arial Narrow" w:hAnsi="Arial Narrow"/>
              </w:rPr>
              <w:t> </w:t>
            </w:r>
          </w:p>
        </w:tc>
        <w:tc>
          <w:tcPr>
            <w:tcW w:w="1134" w:type="dxa"/>
            <w:noWrap/>
            <w:hideMark/>
          </w:tcPr>
          <w:p w14:paraId="1666E49D" w14:textId="77777777" w:rsidR="006D6777" w:rsidRPr="00DF68C6" w:rsidRDefault="006D6777" w:rsidP="00ED5CB7">
            <w:pPr>
              <w:keepNext/>
              <w:keepLines/>
              <w:spacing w:before="0" w:after="160" w:line="259" w:lineRule="auto"/>
              <w:jc w:val="center"/>
              <w:rPr>
                <w:rFonts w:ascii="Arial Narrow" w:hAnsi="Arial Narrow"/>
                <w:b/>
                <w:bCs/>
                <w:sz w:val="19"/>
                <w:szCs w:val="19"/>
              </w:rPr>
            </w:pPr>
            <w:r w:rsidRPr="00DF68C6">
              <w:rPr>
                <w:rFonts w:ascii="Arial Narrow" w:hAnsi="Arial Narrow"/>
                <w:b/>
                <w:bCs/>
                <w:sz w:val="19"/>
                <w:szCs w:val="19"/>
              </w:rPr>
              <w:t>2025−26</w:t>
            </w:r>
          </w:p>
        </w:tc>
        <w:tc>
          <w:tcPr>
            <w:tcW w:w="1134" w:type="dxa"/>
            <w:noWrap/>
            <w:hideMark/>
          </w:tcPr>
          <w:p w14:paraId="045D2871" w14:textId="77777777" w:rsidR="006D6777" w:rsidRPr="00DF68C6" w:rsidRDefault="006D6777" w:rsidP="00ED5CB7">
            <w:pPr>
              <w:keepNext/>
              <w:keepLines/>
              <w:spacing w:before="0" w:after="160" w:line="259" w:lineRule="auto"/>
              <w:jc w:val="center"/>
              <w:rPr>
                <w:rFonts w:ascii="Arial Narrow" w:hAnsi="Arial Narrow"/>
                <w:b/>
                <w:bCs/>
                <w:sz w:val="19"/>
                <w:szCs w:val="19"/>
              </w:rPr>
            </w:pPr>
            <w:r w:rsidRPr="00DF68C6">
              <w:rPr>
                <w:rFonts w:ascii="Arial Narrow" w:hAnsi="Arial Narrow"/>
                <w:b/>
                <w:bCs/>
                <w:sz w:val="19"/>
                <w:szCs w:val="19"/>
              </w:rPr>
              <w:t>2026−27</w:t>
            </w:r>
          </w:p>
        </w:tc>
        <w:tc>
          <w:tcPr>
            <w:tcW w:w="1186" w:type="dxa"/>
            <w:noWrap/>
            <w:hideMark/>
          </w:tcPr>
          <w:p w14:paraId="04E51C85" w14:textId="77777777" w:rsidR="006D6777" w:rsidRPr="00DF68C6" w:rsidRDefault="006D6777" w:rsidP="00ED5CB7">
            <w:pPr>
              <w:keepNext/>
              <w:keepLines/>
              <w:spacing w:before="0" w:after="160" w:line="259" w:lineRule="auto"/>
              <w:jc w:val="center"/>
              <w:rPr>
                <w:rFonts w:ascii="Arial Narrow" w:hAnsi="Arial Narrow"/>
                <w:b/>
                <w:bCs/>
                <w:sz w:val="19"/>
                <w:szCs w:val="19"/>
              </w:rPr>
            </w:pPr>
            <w:r w:rsidRPr="00DF68C6">
              <w:rPr>
                <w:rFonts w:ascii="Arial Narrow" w:hAnsi="Arial Narrow"/>
                <w:b/>
                <w:bCs/>
                <w:sz w:val="19"/>
                <w:szCs w:val="19"/>
              </w:rPr>
              <w:t>2027−28</w:t>
            </w:r>
          </w:p>
        </w:tc>
        <w:tc>
          <w:tcPr>
            <w:tcW w:w="1082" w:type="dxa"/>
            <w:noWrap/>
            <w:hideMark/>
          </w:tcPr>
          <w:p w14:paraId="6483C6E6" w14:textId="77777777" w:rsidR="006D6777" w:rsidRPr="00DF68C6" w:rsidRDefault="006D6777" w:rsidP="00ED5CB7">
            <w:pPr>
              <w:keepNext/>
              <w:keepLines/>
              <w:spacing w:before="0" w:after="160" w:line="259" w:lineRule="auto"/>
              <w:jc w:val="center"/>
              <w:rPr>
                <w:rFonts w:ascii="Arial Narrow" w:hAnsi="Arial Narrow"/>
                <w:b/>
                <w:bCs/>
                <w:sz w:val="19"/>
                <w:szCs w:val="19"/>
              </w:rPr>
            </w:pPr>
            <w:r w:rsidRPr="00DF68C6">
              <w:rPr>
                <w:rFonts w:ascii="Arial Narrow" w:hAnsi="Arial Narrow"/>
                <w:b/>
                <w:bCs/>
                <w:sz w:val="19"/>
                <w:szCs w:val="19"/>
              </w:rPr>
              <w:t>2028−29</w:t>
            </w:r>
          </w:p>
        </w:tc>
        <w:tc>
          <w:tcPr>
            <w:tcW w:w="1134" w:type="dxa"/>
            <w:noWrap/>
            <w:hideMark/>
          </w:tcPr>
          <w:p w14:paraId="2E724251" w14:textId="77777777" w:rsidR="006D6777" w:rsidRPr="00DF68C6" w:rsidRDefault="006D6777" w:rsidP="00ED5CB7">
            <w:pPr>
              <w:keepNext/>
              <w:keepLines/>
              <w:spacing w:before="0" w:after="160" w:line="259" w:lineRule="auto"/>
              <w:jc w:val="center"/>
              <w:rPr>
                <w:rFonts w:ascii="Arial Narrow" w:hAnsi="Arial Narrow"/>
                <w:b/>
                <w:bCs/>
                <w:sz w:val="19"/>
                <w:szCs w:val="19"/>
              </w:rPr>
            </w:pPr>
            <w:r w:rsidRPr="00DF68C6">
              <w:rPr>
                <w:rFonts w:ascii="Arial Narrow" w:hAnsi="Arial Narrow"/>
                <w:b/>
                <w:bCs/>
                <w:sz w:val="19"/>
                <w:szCs w:val="19"/>
              </w:rPr>
              <w:t>2029−30</w:t>
            </w:r>
          </w:p>
        </w:tc>
        <w:tc>
          <w:tcPr>
            <w:tcW w:w="1134" w:type="dxa"/>
            <w:noWrap/>
            <w:hideMark/>
          </w:tcPr>
          <w:p w14:paraId="7066F251" w14:textId="77777777" w:rsidR="006D6777" w:rsidRPr="00DF68C6" w:rsidRDefault="006D6777" w:rsidP="00ED5CB7">
            <w:pPr>
              <w:keepNext/>
              <w:keepLines/>
              <w:spacing w:before="0" w:after="160" w:line="259" w:lineRule="auto"/>
              <w:jc w:val="center"/>
              <w:rPr>
                <w:rFonts w:ascii="Arial Narrow" w:hAnsi="Arial Narrow"/>
                <w:b/>
                <w:bCs/>
                <w:sz w:val="19"/>
                <w:szCs w:val="19"/>
              </w:rPr>
            </w:pPr>
            <w:r w:rsidRPr="00DF68C6">
              <w:rPr>
                <w:rFonts w:ascii="Arial Narrow" w:hAnsi="Arial Narrow"/>
                <w:b/>
                <w:bCs/>
                <w:sz w:val="19"/>
                <w:szCs w:val="19"/>
              </w:rPr>
              <w:t>2030−31</w:t>
            </w:r>
          </w:p>
        </w:tc>
      </w:tr>
      <w:tr w:rsidR="00BF4D52" w:rsidRPr="00BF4D52" w14:paraId="57E90E97" w14:textId="77777777" w:rsidTr="00175863">
        <w:trPr>
          <w:trHeight w:val="255"/>
        </w:trPr>
        <w:tc>
          <w:tcPr>
            <w:tcW w:w="2830" w:type="dxa"/>
            <w:noWrap/>
            <w:hideMark/>
          </w:tcPr>
          <w:p w14:paraId="7CCE987A" w14:textId="77777777" w:rsidR="006D6777" w:rsidRPr="00DF68C6" w:rsidRDefault="006D6777" w:rsidP="00ED5CB7">
            <w:pPr>
              <w:keepNext/>
              <w:keepLines/>
              <w:spacing w:before="0" w:after="0" w:line="259" w:lineRule="auto"/>
              <w:rPr>
                <w:rFonts w:ascii="Arial Narrow" w:hAnsi="Arial Narrow"/>
                <w:b/>
                <w:bCs/>
                <w:i/>
                <w:iCs/>
                <w:u w:val="single"/>
              </w:rPr>
            </w:pPr>
            <w:r w:rsidRPr="00DF68C6">
              <w:rPr>
                <w:rFonts w:ascii="Arial Narrow" w:hAnsi="Arial Narrow"/>
                <w:b/>
                <w:bCs/>
                <w:i/>
                <w:iCs/>
                <w:u w:val="single"/>
              </w:rPr>
              <w:t>Universal NBS</w:t>
            </w:r>
          </w:p>
        </w:tc>
        <w:tc>
          <w:tcPr>
            <w:tcW w:w="1134" w:type="dxa"/>
            <w:noWrap/>
          </w:tcPr>
          <w:p w14:paraId="1CBC828C" w14:textId="77777777" w:rsidR="006D6777" w:rsidRPr="00DF68C6" w:rsidRDefault="006D6777" w:rsidP="00ED5CB7">
            <w:pPr>
              <w:keepNext/>
              <w:keepLines/>
              <w:spacing w:before="0" w:after="0" w:line="259" w:lineRule="auto"/>
              <w:rPr>
                <w:rFonts w:ascii="Arial Narrow" w:hAnsi="Arial Narrow"/>
                <w:b/>
                <w:bCs/>
                <w:i/>
                <w:iCs/>
                <w:sz w:val="19"/>
                <w:szCs w:val="19"/>
              </w:rPr>
            </w:pPr>
          </w:p>
        </w:tc>
        <w:tc>
          <w:tcPr>
            <w:tcW w:w="1134" w:type="dxa"/>
            <w:noWrap/>
          </w:tcPr>
          <w:p w14:paraId="06E90303" w14:textId="77777777" w:rsidR="006D6777" w:rsidRPr="00DF68C6" w:rsidRDefault="006D6777" w:rsidP="00ED5CB7">
            <w:pPr>
              <w:keepNext/>
              <w:keepLines/>
              <w:spacing w:before="0" w:after="0" w:line="259" w:lineRule="auto"/>
              <w:rPr>
                <w:rFonts w:ascii="Arial Narrow" w:hAnsi="Arial Narrow"/>
                <w:b/>
                <w:bCs/>
                <w:i/>
                <w:iCs/>
                <w:sz w:val="19"/>
                <w:szCs w:val="19"/>
              </w:rPr>
            </w:pPr>
          </w:p>
        </w:tc>
        <w:tc>
          <w:tcPr>
            <w:tcW w:w="1186" w:type="dxa"/>
            <w:noWrap/>
          </w:tcPr>
          <w:p w14:paraId="34254EE0" w14:textId="77777777" w:rsidR="006D6777" w:rsidRPr="00DF68C6" w:rsidRDefault="006D6777" w:rsidP="00ED5CB7">
            <w:pPr>
              <w:keepNext/>
              <w:keepLines/>
              <w:spacing w:before="0" w:after="0" w:line="259" w:lineRule="auto"/>
              <w:rPr>
                <w:rFonts w:ascii="Arial Narrow" w:hAnsi="Arial Narrow"/>
                <w:b/>
                <w:bCs/>
                <w:i/>
                <w:iCs/>
                <w:sz w:val="19"/>
                <w:szCs w:val="19"/>
              </w:rPr>
            </w:pPr>
          </w:p>
        </w:tc>
        <w:tc>
          <w:tcPr>
            <w:tcW w:w="1082" w:type="dxa"/>
            <w:noWrap/>
          </w:tcPr>
          <w:p w14:paraId="164FB77A" w14:textId="77777777" w:rsidR="006D6777" w:rsidRPr="00DF68C6" w:rsidRDefault="006D6777" w:rsidP="00ED5CB7">
            <w:pPr>
              <w:keepNext/>
              <w:keepLines/>
              <w:spacing w:before="0" w:after="0" w:line="259" w:lineRule="auto"/>
              <w:rPr>
                <w:rFonts w:ascii="Arial Narrow" w:hAnsi="Arial Narrow"/>
                <w:b/>
                <w:bCs/>
                <w:i/>
                <w:iCs/>
                <w:sz w:val="19"/>
                <w:szCs w:val="19"/>
              </w:rPr>
            </w:pPr>
          </w:p>
        </w:tc>
        <w:tc>
          <w:tcPr>
            <w:tcW w:w="1134" w:type="dxa"/>
            <w:noWrap/>
          </w:tcPr>
          <w:p w14:paraId="0B3E7D78" w14:textId="77777777" w:rsidR="006D6777" w:rsidRPr="00DF68C6" w:rsidRDefault="006D6777" w:rsidP="00ED5CB7">
            <w:pPr>
              <w:keepNext/>
              <w:keepLines/>
              <w:spacing w:before="0" w:after="0" w:line="259" w:lineRule="auto"/>
              <w:rPr>
                <w:rFonts w:ascii="Arial Narrow" w:hAnsi="Arial Narrow"/>
                <w:b/>
                <w:bCs/>
                <w:i/>
                <w:iCs/>
                <w:sz w:val="19"/>
                <w:szCs w:val="19"/>
              </w:rPr>
            </w:pPr>
          </w:p>
        </w:tc>
        <w:tc>
          <w:tcPr>
            <w:tcW w:w="1134" w:type="dxa"/>
            <w:noWrap/>
          </w:tcPr>
          <w:p w14:paraId="77601645" w14:textId="77777777" w:rsidR="006D6777" w:rsidRPr="00DF68C6" w:rsidRDefault="006D6777" w:rsidP="00ED5CB7">
            <w:pPr>
              <w:keepNext/>
              <w:keepLines/>
              <w:spacing w:before="0" w:after="0" w:line="259" w:lineRule="auto"/>
              <w:rPr>
                <w:rFonts w:ascii="Arial Narrow" w:hAnsi="Arial Narrow"/>
                <w:b/>
                <w:bCs/>
                <w:i/>
                <w:iCs/>
                <w:sz w:val="19"/>
                <w:szCs w:val="19"/>
              </w:rPr>
            </w:pPr>
          </w:p>
        </w:tc>
      </w:tr>
      <w:tr w:rsidR="00BF4D52" w:rsidRPr="00BF4D52" w14:paraId="00563A4F" w14:textId="77777777" w:rsidTr="00175863">
        <w:trPr>
          <w:trHeight w:val="255"/>
        </w:trPr>
        <w:tc>
          <w:tcPr>
            <w:tcW w:w="2830" w:type="dxa"/>
            <w:noWrap/>
            <w:hideMark/>
          </w:tcPr>
          <w:p w14:paraId="7AE0CFC7" w14:textId="77777777" w:rsidR="006D6777" w:rsidRPr="00DF68C6" w:rsidRDefault="006D6777" w:rsidP="00ED5CB7">
            <w:pPr>
              <w:keepNext/>
              <w:keepLines/>
              <w:spacing w:after="0"/>
              <w:rPr>
                <w:rFonts w:ascii="Arial Narrow" w:eastAsia="Arial Narrow" w:hAnsi="Arial Narrow" w:cs="Arial Narrow"/>
                <w:i/>
                <w:iCs/>
              </w:rPr>
            </w:pPr>
            <w:r w:rsidRPr="00DF68C6">
              <w:rPr>
                <w:rFonts w:ascii="Arial Narrow" w:eastAsia="Arial Narrow" w:hAnsi="Arial Narrow" w:cs="Arial Narrow"/>
                <w:i/>
                <w:iCs/>
              </w:rPr>
              <w:t>Number of GSD II affected cases diagnosed</w:t>
            </w:r>
          </w:p>
        </w:tc>
        <w:tc>
          <w:tcPr>
            <w:tcW w:w="1134" w:type="dxa"/>
            <w:noWrap/>
            <w:hideMark/>
          </w:tcPr>
          <w:p w14:paraId="1D8FFED4"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10.60</w:t>
            </w:r>
          </w:p>
        </w:tc>
        <w:tc>
          <w:tcPr>
            <w:tcW w:w="1134" w:type="dxa"/>
            <w:noWrap/>
            <w:hideMark/>
          </w:tcPr>
          <w:p w14:paraId="382FD678"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10.60</w:t>
            </w:r>
          </w:p>
        </w:tc>
        <w:tc>
          <w:tcPr>
            <w:tcW w:w="1186" w:type="dxa"/>
            <w:noWrap/>
            <w:hideMark/>
          </w:tcPr>
          <w:p w14:paraId="1E439010"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10.60</w:t>
            </w:r>
          </w:p>
        </w:tc>
        <w:tc>
          <w:tcPr>
            <w:tcW w:w="1082" w:type="dxa"/>
            <w:noWrap/>
            <w:hideMark/>
          </w:tcPr>
          <w:p w14:paraId="20FA80D1"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10.60</w:t>
            </w:r>
          </w:p>
        </w:tc>
        <w:tc>
          <w:tcPr>
            <w:tcW w:w="1134" w:type="dxa"/>
            <w:noWrap/>
            <w:hideMark/>
          </w:tcPr>
          <w:p w14:paraId="452CA4F2"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10.60</w:t>
            </w:r>
          </w:p>
        </w:tc>
        <w:tc>
          <w:tcPr>
            <w:tcW w:w="1134" w:type="dxa"/>
            <w:noWrap/>
            <w:hideMark/>
          </w:tcPr>
          <w:p w14:paraId="5CC0BBA4"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10.60</w:t>
            </w:r>
          </w:p>
        </w:tc>
      </w:tr>
      <w:tr w:rsidR="00BF4D52" w:rsidRPr="00BF4D52" w14:paraId="136AF503" w14:textId="77777777" w:rsidTr="00175863">
        <w:trPr>
          <w:trHeight w:val="255"/>
        </w:trPr>
        <w:tc>
          <w:tcPr>
            <w:tcW w:w="2830" w:type="dxa"/>
            <w:noWrap/>
            <w:hideMark/>
          </w:tcPr>
          <w:p w14:paraId="2CA933FA" w14:textId="77777777" w:rsidR="006D6777" w:rsidRPr="00DF68C6" w:rsidRDefault="006D6777" w:rsidP="00ED5CB7">
            <w:pPr>
              <w:keepNext/>
              <w:keepLines/>
              <w:spacing w:after="0"/>
              <w:ind w:left="720"/>
              <w:rPr>
                <w:rFonts w:ascii="Arial Narrow" w:eastAsia="Arial Narrow" w:hAnsi="Arial Narrow" w:cs="Arial Narrow"/>
                <w:i/>
                <w:iCs/>
              </w:rPr>
            </w:pPr>
            <w:r w:rsidRPr="00DF68C6">
              <w:rPr>
                <w:rFonts w:ascii="Arial Narrow" w:eastAsia="Arial Narrow" w:hAnsi="Arial Narrow" w:cs="Arial Narrow"/>
                <w:i/>
                <w:iCs/>
              </w:rPr>
              <w:t>Number of affected cases with IOGSD II</w:t>
            </w:r>
          </w:p>
        </w:tc>
        <w:tc>
          <w:tcPr>
            <w:tcW w:w="1134" w:type="dxa"/>
            <w:noWrap/>
            <w:hideMark/>
          </w:tcPr>
          <w:p w14:paraId="723BD722"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1.00</w:t>
            </w:r>
          </w:p>
        </w:tc>
        <w:tc>
          <w:tcPr>
            <w:tcW w:w="1134" w:type="dxa"/>
            <w:noWrap/>
            <w:hideMark/>
          </w:tcPr>
          <w:p w14:paraId="7CB920F8"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1.00</w:t>
            </w:r>
          </w:p>
        </w:tc>
        <w:tc>
          <w:tcPr>
            <w:tcW w:w="1186" w:type="dxa"/>
            <w:noWrap/>
            <w:hideMark/>
          </w:tcPr>
          <w:p w14:paraId="6532C067"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1.00</w:t>
            </w:r>
          </w:p>
        </w:tc>
        <w:tc>
          <w:tcPr>
            <w:tcW w:w="1082" w:type="dxa"/>
            <w:noWrap/>
            <w:hideMark/>
          </w:tcPr>
          <w:p w14:paraId="670C286D"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1.00</w:t>
            </w:r>
          </w:p>
        </w:tc>
        <w:tc>
          <w:tcPr>
            <w:tcW w:w="1134" w:type="dxa"/>
            <w:noWrap/>
            <w:hideMark/>
          </w:tcPr>
          <w:p w14:paraId="5877C4D9"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1.00</w:t>
            </w:r>
          </w:p>
        </w:tc>
        <w:tc>
          <w:tcPr>
            <w:tcW w:w="1134" w:type="dxa"/>
            <w:noWrap/>
            <w:hideMark/>
          </w:tcPr>
          <w:p w14:paraId="05C79E37"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1.00</w:t>
            </w:r>
          </w:p>
        </w:tc>
      </w:tr>
      <w:tr w:rsidR="00BF4D52" w:rsidRPr="00BF4D52" w14:paraId="23426DD6" w14:textId="77777777" w:rsidTr="00175863">
        <w:trPr>
          <w:trHeight w:val="255"/>
        </w:trPr>
        <w:tc>
          <w:tcPr>
            <w:tcW w:w="2830" w:type="dxa"/>
            <w:noWrap/>
            <w:hideMark/>
          </w:tcPr>
          <w:p w14:paraId="577F6515" w14:textId="77777777" w:rsidR="006D6777" w:rsidRPr="00DF68C6" w:rsidRDefault="006D6777" w:rsidP="00ED5CB7">
            <w:pPr>
              <w:keepNext/>
              <w:keepLines/>
              <w:spacing w:after="0"/>
              <w:ind w:left="720"/>
              <w:rPr>
                <w:rFonts w:ascii="Arial Narrow" w:eastAsia="Arial Narrow" w:hAnsi="Arial Narrow" w:cs="Arial Narrow"/>
                <w:i/>
                <w:iCs/>
              </w:rPr>
            </w:pPr>
            <w:r w:rsidRPr="00DF68C6">
              <w:rPr>
                <w:rFonts w:ascii="Arial Narrow" w:eastAsia="Arial Narrow" w:hAnsi="Arial Narrow" w:cs="Arial Narrow"/>
                <w:i/>
                <w:iCs/>
              </w:rPr>
              <w:t>Number of affected cases with LOGSD II</w:t>
            </w:r>
          </w:p>
        </w:tc>
        <w:tc>
          <w:tcPr>
            <w:tcW w:w="1134" w:type="dxa"/>
            <w:noWrap/>
            <w:hideMark/>
          </w:tcPr>
          <w:p w14:paraId="4D55B82F"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9.60</w:t>
            </w:r>
          </w:p>
        </w:tc>
        <w:tc>
          <w:tcPr>
            <w:tcW w:w="1134" w:type="dxa"/>
            <w:noWrap/>
            <w:hideMark/>
          </w:tcPr>
          <w:p w14:paraId="6C87CFF1"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9.60</w:t>
            </w:r>
          </w:p>
        </w:tc>
        <w:tc>
          <w:tcPr>
            <w:tcW w:w="1186" w:type="dxa"/>
            <w:noWrap/>
            <w:hideMark/>
          </w:tcPr>
          <w:p w14:paraId="31414DD5"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9.60</w:t>
            </w:r>
          </w:p>
        </w:tc>
        <w:tc>
          <w:tcPr>
            <w:tcW w:w="1082" w:type="dxa"/>
            <w:noWrap/>
            <w:hideMark/>
          </w:tcPr>
          <w:p w14:paraId="3153B2D4"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9.60</w:t>
            </w:r>
          </w:p>
        </w:tc>
        <w:tc>
          <w:tcPr>
            <w:tcW w:w="1134" w:type="dxa"/>
            <w:noWrap/>
            <w:hideMark/>
          </w:tcPr>
          <w:p w14:paraId="73004FAC"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9.60</w:t>
            </w:r>
          </w:p>
        </w:tc>
        <w:tc>
          <w:tcPr>
            <w:tcW w:w="1134" w:type="dxa"/>
            <w:noWrap/>
            <w:hideMark/>
          </w:tcPr>
          <w:p w14:paraId="6DFD5F76"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9.60</w:t>
            </w:r>
          </w:p>
        </w:tc>
      </w:tr>
      <w:tr w:rsidR="00BF4D52" w:rsidRPr="00BF4D52" w14:paraId="66D9D315" w14:textId="77777777" w:rsidTr="00175863">
        <w:trPr>
          <w:trHeight w:val="255"/>
        </w:trPr>
        <w:tc>
          <w:tcPr>
            <w:tcW w:w="2830" w:type="dxa"/>
            <w:noWrap/>
            <w:hideMark/>
          </w:tcPr>
          <w:p w14:paraId="4ABE2246" w14:textId="77777777" w:rsidR="006D6777" w:rsidRPr="00DF68C6" w:rsidRDefault="006D6777" w:rsidP="00ED5CB7">
            <w:pPr>
              <w:keepNext/>
              <w:keepLines/>
              <w:spacing w:after="0"/>
              <w:rPr>
                <w:rFonts w:ascii="Arial Narrow" w:eastAsia="Arial Narrow" w:hAnsi="Arial Narrow" w:cs="Arial Narrow"/>
                <w:i/>
                <w:iCs/>
              </w:rPr>
            </w:pPr>
            <w:r w:rsidRPr="00DF68C6">
              <w:rPr>
                <w:rFonts w:ascii="Arial Narrow" w:eastAsia="Arial Narrow" w:hAnsi="Arial Narrow" w:cs="Arial Narrow"/>
                <w:i/>
                <w:iCs/>
              </w:rPr>
              <w:t>Cumulative number of LOGSD II cases treated from birth</w:t>
            </w:r>
          </w:p>
        </w:tc>
        <w:tc>
          <w:tcPr>
            <w:tcW w:w="1134" w:type="dxa"/>
            <w:noWrap/>
            <w:vAlign w:val="bottom"/>
            <w:hideMark/>
          </w:tcPr>
          <w:p w14:paraId="7B35BED4"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9.60</w:t>
            </w:r>
          </w:p>
        </w:tc>
        <w:tc>
          <w:tcPr>
            <w:tcW w:w="1134" w:type="dxa"/>
            <w:noWrap/>
            <w:vAlign w:val="bottom"/>
            <w:hideMark/>
          </w:tcPr>
          <w:p w14:paraId="57E6BE54"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19.20</w:t>
            </w:r>
          </w:p>
        </w:tc>
        <w:tc>
          <w:tcPr>
            <w:tcW w:w="1186" w:type="dxa"/>
            <w:noWrap/>
            <w:vAlign w:val="bottom"/>
            <w:hideMark/>
          </w:tcPr>
          <w:p w14:paraId="4A208B56"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28.80</w:t>
            </w:r>
          </w:p>
        </w:tc>
        <w:tc>
          <w:tcPr>
            <w:tcW w:w="1082" w:type="dxa"/>
            <w:noWrap/>
            <w:vAlign w:val="bottom"/>
            <w:hideMark/>
          </w:tcPr>
          <w:p w14:paraId="5D8E2E85"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38.40</w:t>
            </w:r>
          </w:p>
        </w:tc>
        <w:tc>
          <w:tcPr>
            <w:tcW w:w="1134" w:type="dxa"/>
            <w:noWrap/>
            <w:vAlign w:val="bottom"/>
            <w:hideMark/>
          </w:tcPr>
          <w:p w14:paraId="329B7AB6"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48.00</w:t>
            </w:r>
          </w:p>
        </w:tc>
        <w:tc>
          <w:tcPr>
            <w:tcW w:w="1134" w:type="dxa"/>
            <w:noWrap/>
            <w:vAlign w:val="bottom"/>
            <w:hideMark/>
          </w:tcPr>
          <w:p w14:paraId="11BF5C28"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57.60</w:t>
            </w:r>
          </w:p>
        </w:tc>
      </w:tr>
      <w:tr w:rsidR="00B12AFD" w:rsidRPr="00BF4D52" w14:paraId="22FCEB09" w14:textId="77777777" w:rsidTr="007229D6">
        <w:trPr>
          <w:trHeight w:val="255"/>
        </w:trPr>
        <w:tc>
          <w:tcPr>
            <w:tcW w:w="2830" w:type="dxa"/>
            <w:noWrap/>
            <w:hideMark/>
          </w:tcPr>
          <w:p w14:paraId="1107890F" w14:textId="77777777" w:rsidR="00B12AFD" w:rsidRPr="00DF68C6" w:rsidRDefault="00B12AFD" w:rsidP="00B12AFD">
            <w:pPr>
              <w:keepNext/>
              <w:keepLines/>
              <w:spacing w:after="0"/>
              <w:rPr>
                <w:rFonts w:ascii="Arial Narrow" w:eastAsia="Arial Narrow" w:hAnsi="Arial Narrow" w:cs="Arial Narrow"/>
                <w:i/>
                <w:iCs/>
              </w:rPr>
            </w:pPr>
            <w:r w:rsidRPr="00DF68C6">
              <w:rPr>
                <w:rFonts w:ascii="Arial Narrow" w:eastAsia="Arial Narrow" w:hAnsi="Arial Narrow" w:cs="Arial Narrow"/>
                <w:i/>
                <w:iCs/>
              </w:rPr>
              <w:t>ERT costs, IOGSD II (first year of birth only)</w:t>
            </w:r>
          </w:p>
        </w:tc>
        <w:tc>
          <w:tcPr>
            <w:tcW w:w="1134" w:type="dxa"/>
            <w:noWrap/>
            <w:hideMark/>
          </w:tcPr>
          <w:p w14:paraId="6921B287" w14:textId="530B84A4"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noWrap/>
            <w:hideMark/>
          </w:tcPr>
          <w:p w14:paraId="4CCADA15" w14:textId="7BEC6BFB"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86" w:type="dxa"/>
            <w:noWrap/>
            <w:hideMark/>
          </w:tcPr>
          <w:p w14:paraId="1D1D26D5" w14:textId="37F7654F"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082" w:type="dxa"/>
            <w:noWrap/>
            <w:hideMark/>
          </w:tcPr>
          <w:p w14:paraId="02676CA2" w14:textId="28F65B8C"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noWrap/>
            <w:hideMark/>
          </w:tcPr>
          <w:p w14:paraId="54BF3F9E" w14:textId="0E22C727"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noWrap/>
            <w:hideMark/>
          </w:tcPr>
          <w:p w14:paraId="47F87627" w14:textId="673EECF8"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B12AFD" w:rsidRPr="00BF4D52" w14:paraId="733F377A" w14:textId="77777777" w:rsidTr="007229D6">
        <w:trPr>
          <w:trHeight w:val="255"/>
        </w:trPr>
        <w:tc>
          <w:tcPr>
            <w:tcW w:w="2830" w:type="dxa"/>
            <w:shd w:val="clear" w:color="auto" w:fill="E7E6E6" w:themeFill="background2"/>
            <w:noWrap/>
            <w:hideMark/>
          </w:tcPr>
          <w:p w14:paraId="34003CAF" w14:textId="77777777" w:rsidR="00B12AFD" w:rsidRPr="00DF68C6" w:rsidRDefault="00B12AFD" w:rsidP="00B12AFD">
            <w:pPr>
              <w:keepNext/>
              <w:keepLines/>
              <w:spacing w:after="0"/>
              <w:rPr>
                <w:rFonts w:ascii="Arial Narrow" w:eastAsia="Arial Narrow" w:hAnsi="Arial Narrow" w:cs="Arial Narrow"/>
                <w:b/>
                <w:bCs/>
                <w:i/>
                <w:iCs/>
              </w:rPr>
            </w:pPr>
            <w:r w:rsidRPr="00DF68C6">
              <w:rPr>
                <w:rFonts w:ascii="Arial Narrow" w:eastAsia="Arial Narrow" w:hAnsi="Arial Narrow" w:cs="Arial Narrow"/>
                <w:b/>
                <w:bCs/>
                <w:i/>
                <w:iCs/>
              </w:rPr>
              <w:t>ERT costs, LOGSD II</w:t>
            </w:r>
          </w:p>
        </w:tc>
        <w:tc>
          <w:tcPr>
            <w:tcW w:w="1134" w:type="dxa"/>
            <w:shd w:val="clear" w:color="auto" w:fill="E7E6E6" w:themeFill="background2"/>
            <w:noWrap/>
            <w:hideMark/>
          </w:tcPr>
          <w:p w14:paraId="0824C378" w14:textId="7415E312" w:rsidR="00B12AFD" w:rsidRPr="00931D42" w:rsidRDefault="00B12AFD" w:rsidP="00B12AFD">
            <w:pPr>
              <w:keepNext/>
              <w:keepLines/>
              <w:spacing w:after="0"/>
              <w:jc w:val="right"/>
              <w:rPr>
                <w:rFonts w:ascii="Arial Narrow" w:eastAsia="Arial Narrow" w:hAnsi="Arial Narrow" w:cs="Arial Narrow"/>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shd w:val="clear" w:color="auto" w:fill="E7E6E6" w:themeFill="background2"/>
            <w:noWrap/>
            <w:hideMark/>
          </w:tcPr>
          <w:p w14:paraId="056B876C" w14:textId="06B528D9" w:rsidR="00B12AFD" w:rsidRPr="00931D42" w:rsidRDefault="00B12AFD" w:rsidP="00B12AFD">
            <w:pPr>
              <w:keepNext/>
              <w:keepLines/>
              <w:spacing w:after="0"/>
              <w:jc w:val="right"/>
              <w:rPr>
                <w:rFonts w:ascii="Arial Narrow" w:eastAsia="Arial Narrow" w:hAnsi="Arial Narrow" w:cs="Arial Narrow"/>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86" w:type="dxa"/>
            <w:shd w:val="clear" w:color="auto" w:fill="E7E6E6" w:themeFill="background2"/>
            <w:noWrap/>
            <w:hideMark/>
          </w:tcPr>
          <w:p w14:paraId="0936EFE3" w14:textId="6EECB152" w:rsidR="00B12AFD" w:rsidRPr="00931D42" w:rsidRDefault="00B12AFD" w:rsidP="00B12AFD">
            <w:pPr>
              <w:keepNext/>
              <w:keepLines/>
              <w:spacing w:after="0"/>
              <w:jc w:val="right"/>
              <w:rPr>
                <w:rFonts w:ascii="Arial Narrow" w:eastAsia="Arial Narrow" w:hAnsi="Arial Narrow" w:cs="Arial Narrow"/>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082" w:type="dxa"/>
            <w:shd w:val="clear" w:color="auto" w:fill="E7E6E6" w:themeFill="background2"/>
            <w:noWrap/>
            <w:hideMark/>
          </w:tcPr>
          <w:p w14:paraId="1B9D8D0B" w14:textId="095B823D" w:rsidR="00B12AFD" w:rsidRPr="00931D42" w:rsidRDefault="00B12AFD" w:rsidP="00B12AFD">
            <w:pPr>
              <w:keepNext/>
              <w:keepLines/>
              <w:spacing w:after="0"/>
              <w:jc w:val="right"/>
              <w:rPr>
                <w:rFonts w:ascii="Arial Narrow" w:eastAsia="Arial Narrow" w:hAnsi="Arial Narrow" w:cs="Arial Narrow"/>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shd w:val="clear" w:color="auto" w:fill="E7E6E6" w:themeFill="background2"/>
            <w:noWrap/>
            <w:hideMark/>
          </w:tcPr>
          <w:p w14:paraId="06388D9B" w14:textId="16A023EC" w:rsidR="00B12AFD" w:rsidRPr="00931D42" w:rsidRDefault="00B12AFD" w:rsidP="00B12AFD">
            <w:pPr>
              <w:keepNext/>
              <w:keepLines/>
              <w:spacing w:after="0"/>
              <w:jc w:val="right"/>
              <w:rPr>
                <w:rFonts w:ascii="Arial Narrow" w:eastAsia="Arial Narrow" w:hAnsi="Arial Narrow" w:cs="Arial Narrow"/>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shd w:val="clear" w:color="auto" w:fill="E7E6E6" w:themeFill="background2"/>
            <w:noWrap/>
            <w:hideMark/>
          </w:tcPr>
          <w:p w14:paraId="429D2609" w14:textId="188ECC55" w:rsidR="00B12AFD" w:rsidRPr="00931D42" w:rsidRDefault="00B12AFD" w:rsidP="00B12AFD">
            <w:pPr>
              <w:keepNext/>
              <w:keepLines/>
              <w:spacing w:after="0"/>
              <w:jc w:val="right"/>
              <w:rPr>
                <w:rFonts w:ascii="Arial Narrow" w:eastAsia="Arial Narrow" w:hAnsi="Arial Narrow" w:cs="Arial Narrow"/>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B12AFD" w:rsidRPr="00BF4D52" w14:paraId="65049D4A" w14:textId="77777777" w:rsidTr="007229D6">
        <w:trPr>
          <w:trHeight w:val="255"/>
        </w:trPr>
        <w:tc>
          <w:tcPr>
            <w:tcW w:w="2830" w:type="dxa"/>
            <w:shd w:val="clear" w:color="auto" w:fill="E7E6E6" w:themeFill="background2"/>
            <w:noWrap/>
            <w:hideMark/>
          </w:tcPr>
          <w:p w14:paraId="371142C9" w14:textId="77777777" w:rsidR="00B12AFD" w:rsidRPr="00DF68C6" w:rsidRDefault="00B12AFD" w:rsidP="00B12AFD">
            <w:pPr>
              <w:keepNext/>
              <w:keepLines/>
              <w:spacing w:after="0"/>
              <w:rPr>
                <w:rFonts w:ascii="Arial Narrow" w:eastAsia="Arial Narrow" w:hAnsi="Arial Narrow" w:cs="Arial Narrow"/>
                <w:b/>
                <w:bCs/>
                <w:i/>
                <w:iCs/>
              </w:rPr>
            </w:pPr>
            <w:r w:rsidRPr="00DF68C6">
              <w:rPr>
                <w:rFonts w:ascii="Arial Narrow" w:eastAsia="Arial Narrow" w:hAnsi="Arial Narrow" w:cs="Arial Narrow"/>
                <w:b/>
                <w:bCs/>
                <w:i/>
                <w:iCs/>
              </w:rPr>
              <w:t>Total costs to LSDP due to NBS</w:t>
            </w:r>
          </w:p>
        </w:tc>
        <w:tc>
          <w:tcPr>
            <w:tcW w:w="1134" w:type="dxa"/>
            <w:shd w:val="clear" w:color="auto" w:fill="E7E6E6" w:themeFill="background2"/>
            <w:noWrap/>
            <w:hideMark/>
          </w:tcPr>
          <w:p w14:paraId="2C3BE380" w14:textId="3941AA2D" w:rsidR="00B12AFD" w:rsidRPr="00931D42" w:rsidRDefault="00B12AFD" w:rsidP="00B12AFD">
            <w:pPr>
              <w:keepNext/>
              <w:keepLines/>
              <w:spacing w:after="0"/>
              <w:jc w:val="right"/>
              <w:rPr>
                <w:rFonts w:ascii="Arial Narrow" w:eastAsia="Arial Narrow" w:hAnsi="Arial Narrow" w:cs="Arial Narrow"/>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shd w:val="clear" w:color="auto" w:fill="E7E6E6" w:themeFill="background2"/>
            <w:noWrap/>
            <w:hideMark/>
          </w:tcPr>
          <w:p w14:paraId="10936E1C" w14:textId="272A5D43" w:rsidR="00B12AFD" w:rsidRPr="00931D42" w:rsidRDefault="00B12AFD" w:rsidP="00B12AFD">
            <w:pPr>
              <w:keepNext/>
              <w:keepLines/>
              <w:spacing w:after="0"/>
              <w:jc w:val="right"/>
              <w:rPr>
                <w:rFonts w:ascii="Arial Narrow" w:eastAsia="Arial Narrow" w:hAnsi="Arial Narrow" w:cs="Arial Narrow"/>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86" w:type="dxa"/>
            <w:shd w:val="clear" w:color="auto" w:fill="E7E6E6" w:themeFill="background2"/>
            <w:noWrap/>
            <w:hideMark/>
          </w:tcPr>
          <w:p w14:paraId="02F3DC07" w14:textId="1F488FCF" w:rsidR="00B12AFD" w:rsidRPr="00931D42" w:rsidRDefault="00B12AFD" w:rsidP="00B12AFD">
            <w:pPr>
              <w:keepNext/>
              <w:keepLines/>
              <w:spacing w:after="0"/>
              <w:jc w:val="right"/>
              <w:rPr>
                <w:rFonts w:ascii="Arial Narrow" w:eastAsia="Arial Narrow" w:hAnsi="Arial Narrow" w:cs="Arial Narrow"/>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082" w:type="dxa"/>
            <w:shd w:val="clear" w:color="auto" w:fill="E7E6E6" w:themeFill="background2"/>
            <w:noWrap/>
            <w:hideMark/>
          </w:tcPr>
          <w:p w14:paraId="604CA054" w14:textId="3DC1C214" w:rsidR="00B12AFD" w:rsidRPr="00931D42" w:rsidRDefault="00B12AFD" w:rsidP="00B12AFD">
            <w:pPr>
              <w:keepNext/>
              <w:keepLines/>
              <w:spacing w:after="0"/>
              <w:jc w:val="right"/>
              <w:rPr>
                <w:rFonts w:ascii="Arial Narrow" w:eastAsia="Arial Narrow" w:hAnsi="Arial Narrow" w:cs="Arial Narrow"/>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shd w:val="clear" w:color="auto" w:fill="E7E6E6" w:themeFill="background2"/>
            <w:noWrap/>
            <w:hideMark/>
          </w:tcPr>
          <w:p w14:paraId="76AFA1AA" w14:textId="4D3F56DA" w:rsidR="00B12AFD" w:rsidRPr="00931D42" w:rsidRDefault="00B12AFD" w:rsidP="00B12AFD">
            <w:pPr>
              <w:keepNext/>
              <w:keepLines/>
              <w:spacing w:after="0"/>
              <w:jc w:val="right"/>
              <w:rPr>
                <w:rFonts w:ascii="Arial Narrow" w:eastAsia="Arial Narrow" w:hAnsi="Arial Narrow" w:cs="Arial Narrow"/>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shd w:val="clear" w:color="auto" w:fill="E7E6E6" w:themeFill="background2"/>
            <w:noWrap/>
            <w:hideMark/>
          </w:tcPr>
          <w:p w14:paraId="4AD9DDDC" w14:textId="11F3BE04" w:rsidR="00B12AFD" w:rsidRPr="00931D42" w:rsidRDefault="00B12AFD" w:rsidP="00B12AFD">
            <w:pPr>
              <w:keepNext/>
              <w:keepLines/>
              <w:spacing w:after="0"/>
              <w:jc w:val="right"/>
              <w:rPr>
                <w:rFonts w:ascii="Arial Narrow" w:eastAsia="Arial Narrow" w:hAnsi="Arial Narrow" w:cs="Arial Narrow"/>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BF4D52" w:rsidRPr="00BF4D52" w14:paraId="33542E41" w14:textId="77777777" w:rsidTr="00175863">
        <w:trPr>
          <w:trHeight w:val="255"/>
        </w:trPr>
        <w:tc>
          <w:tcPr>
            <w:tcW w:w="2830" w:type="dxa"/>
            <w:noWrap/>
            <w:hideMark/>
          </w:tcPr>
          <w:p w14:paraId="47B080A6" w14:textId="77777777" w:rsidR="006D6777" w:rsidRPr="00DF68C6" w:rsidRDefault="006D6777" w:rsidP="00ED5CB7">
            <w:pPr>
              <w:keepNext/>
              <w:keepLines/>
              <w:spacing w:before="0" w:after="0" w:line="259" w:lineRule="auto"/>
              <w:rPr>
                <w:rFonts w:ascii="Arial Narrow" w:eastAsia="Arial Narrow" w:hAnsi="Arial Narrow" w:cs="Arial Narrow"/>
                <w:b/>
                <w:bCs/>
                <w:i/>
                <w:iCs/>
                <w:u w:val="single"/>
              </w:rPr>
            </w:pPr>
            <w:r w:rsidRPr="00DF68C6">
              <w:rPr>
                <w:rFonts w:ascii="Arial Narrow" w:hAnsi="Arial Narrow"/>
                <w:b/>
                <w:bCs/>
                <w:i/>
                <w:iCs/>
                <w:u w:val="single"/>
              </w:rPr>
              <w:t>Current practice (offsets)</w:t>
            </w:r>
          </w:p>
        </w:tc>
        <w:tc>
          <w:tcPr>
            <w:tcW w:w="1134" w:type="dxa"/>
            <w:noWrap/>
          </w:tcPr>
          <w:p w14:paraId="59444A7A" w14:textId="77777777" w:rsidR="006D6777" w:rsidRPr="00931D42" w:rsidRDefault="006D6777" w:rsidP="00ED5CB7">
            <w:pPr>
              <w:keepNext/>
              <w:keepLines/>
              <w:spacing w:before="0" w:after="0"/>
              <w:rPr>
                <w:rFonts w:ascii="Arial Narrow" w:eastAsia="Arial Narrow" w:hAnsi="Arial Narrow" w:cs="Arial Narrow"/>
                <w:b/>
                <w:bCs/>
                <w:i/>
                <w:iCs/>
                <w:sz w:val="19"/>
                <w:szCs w:val="19"/>
              </w:rPr>
            </w:pPr>
          </w:p>
        </w:tc>
        <w:tc>
          <w:tcPr>
            <w:tcW w:w="1134" w:type="dxa"/>
            <w:noWrap/>
          </w:tcPr>
          <w:p w14:paraId="2BEA12EC" w14:textId="77777777" w:rsidR="006D6777" w:rsidRPr="00931D42" w:rsidRDefault="006D6777" w:rsidP="00ED5CB7">
            <w:pPr>
              <w:keepNext/>
              <w:keepLines/>
              <w:spacing w:before="0" w:after="0"/>
              <w:rPr>
                <w:rFonts w:ascii="Arial Narrow" w:eastAsia="Arial Narrow" w:hAnsi="Arial Narrow" w:cs="Arial Narrow"/>
                <w:b/>
                <w:bCs/>
                <w:i/>
                <w:iCs/>
                <w:sz w:val="19"/>
                <w:szCs w:val="19"/>
              </w:rPr>
            </w:pPr>
          </w:p>
        </w:tc>
        <w:tc>
          <w:tcPr>
            <w:tcW w:w="1186" w:type="dxa"/>
            <w:noWrap/>
          </w:tcPr>
          <w:p w14:paraId="4DE4B117" w14:textId="77777777" w:rsidR="006D6777" w:rsidRPr="00931D42" w:rsidRDefault="006D6777" w:rsidP="00ED5CB7">
            <w:pPr>
              <w:keepNext/>
              <w:keepLines/>
              <w:spacing w:before="0" w:after="0"/>
              <w:rPr>
                <w:rFonts w:ascii="Arial Narrow" w:eastAsia="Arial Narrow" w:hAnsi="Arial Narrow" w:cs="Arial Narrow"/>
                <w:b/>
                <w:bCs/>
                <w:i/>
                <w:iCs/>
                <w:sz w:val="19"/>
                <w:szCs w:val="19"/>
              </w:rPr>
            </w:pPr>
          </w:p>
        </w:tc>
        <w:tc>
          <w:tcPr>
            <w:tcW w:w="1082" w:type="dxa"/>
            <w:noWrap/>
          </w:tcPr>
          <w:p w14:paraId="596A9286" w14:textId="77777777" w:rsidR="006D6777" w:rsidRPr="00931D42" w:rsidRDefault="006D6777" w:rsidP="00ED5CB7">
            <w:pPr>
              <w:keepNext/>
              <w:keepLines/>
              <w:spacing w:before="0" w:after="0"/>
              <w:rPr>
                <w:rFonts w:ascii="Arial Narrow" w:eastAsia="Arial Narrow" w:hAnsi="Arial Narrow" w:cs="Arial Narrow"/>
                <w:b/>
                <w:bCs/>
                <w:i/>
                <w:iCs/>
                <w:sz w:val="19"/>
                <w:szCs w:val="19"/>
              </w:rPr>
            </w:pPr>
          </w:p>
        </w:tc>
        <w:tc>
          <w:tcPr>
            <w:tcW w:w="1134" w:type="dxa"/>
            <w:noWrap/>
          </w:tcPr>
          <w:p w14:paraId="68841058" w14:textId="77777777" w:rsidR="006D6777" w:rsidRPr="00931D42" w:rsidRDefault="006D6777" w:rsidP="00ED5CB7">
            <w:pPr>
              <w:keepNext/>
              <w:keepLines/>
              <w:spacing w:before="0" w:after="0"/>
              <w:rPr>
                <w:rFonts w:ascii="Arial Narrow" w:eastAsia="Arial Narrow" w:hAnsi="Arial Narrow" w:cs="Arial Narrow"/>
                <w:b/>
                <w:bCs/>
                <w:i/>
                <w:iCs/>
                <w:sz w:val="19"/>
                <w:szCs w:val="19"/>
              </w:rPr>
            </w:pPr>
          </w:p>
        </w:tc>
        <w:tc>
          <w:tcPr>
            <w:tcW w:w="1134" w:type="dxa"/>
            <w:noWrap/>
          </w:tcPr>
          <w:p w14:paraId="2D73EEDD" w14:textId="77777777" w:rsidR="006D6777" w:rsidRPr="00931D42" w:rsidRDefault="006D6777" w:rsidP="00ED5CB7">
            <w:pPr>
              <w:keepNext/>
              <w:keepLines/>
              <w:spacing w:before="0" w:after="0"/>
              <w:rPr>
                <w:rFonts w:ascii="Arial Narrow" w:eastAsia="Arial Narrow" w:hAnsi="Arial Narrow" w:cs="Arial Narrow"/>
                <w:b/>
                <w:bCs/>
                <w:i/>
                <w:iCs/>
                <w:sz w:val="19"/>
                <w:szCs w:val="19"/>
              </w:rPr>
            </w:pPr>
          </w:p>
        </w:tc>
      </w:tr>
      <w:tr w:rsidR="00BF4D52" w:rsidRPr="00BF4D52" w14:paraId="3C90D2AF" w14:textId="77777777" w:rsidTr="00175863">
        <w:trPr>
          <w:trHeight w:val="255"/>
        </w:trPr>
        <w:tc>
          <w:tcPr>
            <w:tcW w:w="2830" w:type="dxa"/>
            <w:noWrap/>
            <w:hideMark/>
          </w:tcPr>
          <w:p w14:paraId="25539EAE" w14:textId="77777777" w:rsidR="006D6777" w:rsidRPr="00DF68C6" w:rsidRDefault="006D6777" w:rsidP="00ED5CB7">
            <w:pPr>
              <w:keepNext/>
              <w:keepLines/>
              <w:spacing w:after="0"/>
              <w:rPr>
                <w:rFonts w:ascii="Arial Narrow" w:eastAsia="Arial Narrow" w:hAnsi="Arial Narrow" w:cs="Arial Narrow"/>
                <w:i/>
                <w:iCs/>
              </w:rPr>
            </w:pPr>
            <w:r w:rsidRPr="00DF68C6">
              <w:rPr>
                <w:rFonts w:ascii="Arial Narrow" w:eastAsia="Arial Narrow" w:hAnsi="Arial Narrow" w:cs="Arial Narrow"/>
                <w:i/>
                <w:iCs/>
              </w:rPr>
              <w:t>Number of GSD II affected cases diagnosed</w:t>
            </w:r>
          </w:p>
        </w:tc>
        <w:tc>
          <w:tcPr>
            <w:tcW w:w="1134" w:type="dxa"/>
            <w:noWrap/>
            <w:hideMark/>
          </w:tcPr>
          <w:p w14:paraId="13FB3DA0"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6.67</w:t>
            </w:r>
          </w:p>
        </w:tc>
        <w:tc>
          <w:tcPr>
            <w:tcW w:w="1134" w:type="dxa"/>
            <w:noWrap/>
            <w:hideMark/>
          </w:tcPr>
          <w:p w14:paraId="2877D062"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6.68</w:t>
            </w:r>
          </w:p>
        </w:tc>
        <w:tc>
          <w:tcPr>
            <w:tcW w:w="1186" w:type="dxa"/>
            <w:noWrap/>
            <w:hideMark/>
          </w:tcPr>
          <w:p w14:paraId="17820E5B"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6.68</w:t>
            </w:r>
          </w:p>
        </w:tc>
        <w:tc>
          <w:tcPr>
            <w:tcW w:w="1082" w:type="dxa"/>
            <w:noWrap/>
            <w:hideMark/>
          </w:tcPr>
          <w:p w14:paraId="736D68DC"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6.68</w:t>
            </w:r>
          </w:p>
        </w:tc>
        <w:tc>
          <w:tcPr>
            <w:tcW w:w="1134" w:type="dxa"/>
            <w:noWrap/>
            <w:hideMark/>
          </w:tcPr>
          <w:p w14:paraId="475CBBC7"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6.69</w:t>
            </w:r>
          </w:p>
        </w:tc>
        <w:tc>
          <w:tcPr>
            <w:tcW w:w="1134" w:type="dxa"/>
            <w:noWrap/>
            <w:hideMark/>
          </w:tcPr>
          <w:p w14:paraId="4B9CA4DF"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6.69</w:t>
            </w:r>
          </w:p>
        </w:tc>
      </w:tr>
      <w:tr w:rsidR="00BF4D52" w:rsidRPr="00BF4D52" w14:paraId="014C332B" w14:textId="77777777" w:rsidTr="00175863">
        <w:trPr>
          <w:trHeight w:val="255"/>
        </w:trPr>
        <w:tc>
          <w:tcPr>
            <w:tcW w:w="2830" w:type="dxa"/>
            <w:noWrap/>
            <w:hideMark/>
          </w:tcPr>
          <w:p w14:paraId="3A723A5B" w14:textId="77777777" w:rsidR="006D6777" w:rsidRPr="00DF68C6" w:rsidRDefault="006D6777" w:rsidP="00ED5CB7">
            <w:pPr>
              <w:keepNext/>
              <w:keepLines/>
              <w:spacing w:after="0"/>
              <w:ind w:left="720"/>
              <w:rPr>
                <w:rFonts w:ascii="Arial Narrow" w:eastAsia="Arial Narrow" w:hAnsi="Arial Narrow" w:cs="Arial Narrow"/>
                <w:i/>
                <w:iCs/>
              </w:rPr>
            </w:pPr>
            <w:r w:rsidRPr="00DF68C6">
              <w:rPr>
                <w:rFonts w:ascii="Arial Narrow" w:eastAsia="Arial Narrow" w:hAnsi="Arial Narrow" w:cs="Arial Narrow"/>
                <w:i/>
                <w:iCs/>
              </w:rPr>
              <w:t>Number of affected cases with IOGSD II</w:t>
            </w:r>
          </w:p>
        </w:tc>
        <w:tc>
          <w:tcPr>
            <w:tcW w:w="1134" w:type="dxa"/>
            <w:noWrap/>
            <w:hideMark/>
          </w:tcPr>
          <w:p w14:paraId="4B358DA0"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1.00</w:t>
            </w:r>
          </w:p>
        </w:tc>
        <w:tc>
          <w:tcPr>
            <w:tcW w:w="1134" w:type="dxa"/>
            <w:noWrap/>
            <w:hideMark/>
          </w:tcPr>
          <w:p w14:paraId="6087016C"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1.00</w:t>
            </w:r>
          </w:p>
        </w:tc>
        <w:tc>
          <w:tcPr>
            <w:tcW w:w="1186" w:type="dxa"/>
            <w:noWrap/>
            <w:hideMark/>
          </w:tcPr>
          <w:p w14:paraId="364E8552"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1.00</w:t>
            </w:r>
          </w:p>
        </w:tc>
        <w:tc>
          <w:tcPr>
            <w:tcW w:w="1082" w:type="dxa"/>
            <w:noWrap/>
            <w:hideMark/>
          </w:tcPr>
          <w:p w14:paraId="7D5D62A4"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1.00</w:t>
            </w:r>
          </w:p>
        </w:tc>
        <w:tc>
          <w:tcPr>
            <w:tcW w:w="1134" w:type="dxa"/>
            <w:noWrap/>
            <w:hideMark/>
          </w:tcPr>
          <w:p w14:paraId="029E3534"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1.00</w:t>
            </w:r>
          </w:p>
        </w:tc>
        <w:tc>
          <w:tcPr>
            <w:tcW w:w="1134" w:type="dxa"/>
            <w:noWrap/>
            <w:hideMark/>
          </w:tcPr>
          <w:p w14:paraId="0A6BB6AE"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1.00</w:t>
            </w:r>
          </w:p>
        </w:tc>
      </w:tr>
      <w:tr w:rsidR="00BF4D52" w:rsidRPr="00BF4D52" w14:paraId="62145F25" w14:textId="77777777" w:rsidTr="00175863">
        <w:trPr>
          <w:trHeight w:val="255"/>
        </w:trPr>
        <w:tc>
          <w:tcPr>
            <w:tcW w:w="2830" w:type="dxa"/>
            <w:noWrap/>
            <w:hideMark/>
          </w:tcPr>
          <w:p w14:paraId="35F04F5B" w14:textId="77777777" w:rsidR="006D6777" w:rsidRPr="00DF68C6" w:rsidRDefault="006D6777" w:rsidP="00ED5CB7">
            <w:pPr>
              <w:keepNext/>
              <w:keepLines/>
              <w:spacing w:after="0"/>
              <w:ind w:left="720"/>
              <w:rPr>
                <w:rFonts w:ascii="Arial Narrow" w:eastAsia="Arial Narrow" w:hAnsi="Arial Narrow" w:cs="Arial Narrow"/>
                <w:i/>
                <w:iCs/>
              </w:rPr>
            </w:pPr>
            <w:r w:rsidRPr="00DF68C6">
              <w:rPr>
                <w:rFonts w:ascii="Arial Narrow" w:eastAsia="Arial Narrow" w:hAnsi="Arial Narrow" w:cs="Arial Narrow"/>
                <w:i/>
                <w:iCs/>
              </w:rPr>
              <w:t>Number of affected cases with LOGSD II</w:t>
            </w:r>
          </w:p>
        </w:tc>
        <w:tc>
          <w:tcPr>
            <w:tcW w:w="1134" w:type="dxa"/>
            <w:noWrap/>
            <w:hideMark/>
          </w:tcPr>
          <w:p w14:paraId="5F212D33"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5.67</w:t>
            </w:r>
          </w:p>
        </w:tc>
        <w:tc>
          <w:tcPr>
            <w:tcW w:w="1134" w:type="dxa"/>
            <w:noWrap/>
            <w:hideMark/>
          </w:tcPr>
          <w:p w14:paraId="16CFE0E3"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5.67</w:t>
            </w:r>
          </w:p>
        </w:tc>
        <w:tc>
          <w:tcPr>
            <w:tcW w:w="1186" w:type="dxa"/>
            <w:noWrap/>
            <w:hideMark/>
          </w:tcPr>
          <w:p w14:paraId="3FF31265"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5.68</w:t>
            </w:r>
          </w:p>
        </w:tc>
        <w:tc>
          <w:tcPr>
            <w:tcW w:w="1082" w:type="dxa"/>
            <w:noWrap/>
            <w:hideMark/>
          </w:tcPr>
          <w:p w14:paraId="6B1593CA"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5.68</w:t>
            </w:r>
          </w:p>
        </w:tc>
        <w:tc>
          <w:tcPr>
            <w:tcW w:w="1134" w:type="dxa"/>
            <w:noWrap/>
            <w:hideMark/>
          </w:tcPr>
          <w:p w14:paraId="35D3AA30"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5.68</w:t>
            </w:r>
          </w:p>
        </w:tc>
        <w:tc>
          <w:tcPr>
            <w:tcW w:w="1134" w:type="dxa"/>
            <w:noWrap/>
            <w:hideMark/>
          </w:tcPr>
          <w:p w14:paraId="1434CC61"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5.69</w:t>
            </w:r>
          </w:p>
        </w:tc>
      </w:tr>
      <w:tr w:rsidR="00BF4D52" w:rsidRPr="00BF4D52" w14:paraId="45B653EF" w14:textId="77777777" w:rsidTr="00175863">
        <w:trPr>
          <w:trHeight w:val="255"/>
        </w:trPr>
        <w:tc>
          <w:tcPr>
            <w:tcW w:w="2830" w:type="dxa"/>
            <w:noWrap/>
            <w:hideMark/>
          </w:tcPr>
          <w:p w14:paraId="0E832DEF" w14:textId="77777777" w:rsidR="006D6777" w:rsidRPr="00DF68C6" w:rsidRDefault="006D6777" w:rsidP="00ED5CB7">
            <w:pPr>
              <w:keepNext/>
              <w:keepLines/>
              <w:spacing w:after="0"/>
              <w:rPr>
                <w:rFonts w:ascii="Arial Narrow" w:eastAsia="Arial Narrow" w:hAnsi="Arial Narrow" w:cs="Arial Narrow"/>
                <w:i/>
                <w:iCs/>
              </w:rPr>
            </w:pPr>
            <w:r w:rsidRPr="00DF68C6">
              <w:rPr>
                <w:rFonts w:ascii="Arial Narrow" w:eastAsia="Arial Narrow" w:hAnsi="Arial Narrow" w:cs="Arial Narrow"/>
                <w:i/>
                <w:iCs/>
              </w:rPr>
              <w:t>Cumulative number of LOGSD II cases symptomatic at age 2 years</w:t>
            </w:r>
          </w:p>
        </w:tc>
        <w:tc>
          <w:tcPr>
            <w:tcW w:w="1134" w:type="dxa"/>
            <w:noWrap/>
            <w:hideMark/>
          </w:tcPr>
          <w:p w14:paraId="5985F38D"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0.00</w:t>
            </w:r>
          </w:p>
        </w:tc>
        <w:tc>
          <w:tcPr>
            <w:tcW w:w="1134" w:type="dxa"/>
            <w:noWrap/>
            <w:hideMark/>
          </w:tcPr>
          <w:p w14:paraId="02DD5E3D"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0.00</w:t>
            </w:r>
          </w:p>
        </w:tc>
        <w:tc>
          <w:tcPr>
            <w:tcW w:w="1186" w:type="dxa"/>
            <w:noWrap/>
            <w:hideMark/>
          </w:tcPr>
          <w:p w14:paraId="017500DD"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0.37</w:t>
            </w:r>
          </w:p>
        </w:tc>
        <w:tc>
          <w:tcPr>
            <w:tcW w:w="1082" w:type="dxa"/>
            <w:noWrap/>
            <w:hideMark/>
          </w:tcPr>
          <w:p w14:paraId="00AEC255"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0.74</w:t>
            </w:r>
          </w:p>
        </w:tc>
        <w:tc>
          <w:tcPr>
            <w:tcW w:w="1134" w:type="dxa"/>
            <w:noWrap/>
            <w:hideMark/>
          </w:tcPr>
          <w:p w14:paraId="4B61E926"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1.12</w:t>
            </w:r>
          </w:p>
        </w:tc>
        <w:tc>
          <w:tcPr>
            <w:tcW w:w="1134" w:type="dxa"/>
            <w:noWrap/>
            <w:hideMark/>
          </w:tcPr>
          <w:p w14:paraId="063A3F51" w14:textId="77777777" w:rsidR="006D6777" w:rsidRPr="00DF68C6" w:rsidRDefault="006D6777" w:rsidP="00ED5CB7">
            <w:pPr>
              <w:keepNext/>
              <w:keepLines/>
              <w:spacing w:after="0"/>
              <w:jc w:val="right"/>
              <w:rPr>
                <w:rFonts w:ascii="Arial Narrow" w:eastAsia="Arial Narrow" w:hAnsi="Arial Narrow" w:cs="Arial Narrow"/>
                <w:i/>
                <w:iCs/>
                <w:sz w:val="19"/>
                <w:szCs w:val="19"/>
              </w:rPr>
            </w:pPr>
            <w:r w:rsidRPr="00DF68C6">
              <w:rPr>
                <w:rFonts w:ascii="Arial Narrow" w:eastAsia="Arial Narrow" w:hAnsi="Arial Narrow" w:cs="Arial Narrow"/>
                <w:i/>
                <w:iCs/>
                <w:sz w:val="19"/>
                <w:szCs w:val="19"/>
              </w:rPr>
              <w:t>1.49</w:t>
            </w:r>
          </w:p>
        </w:tc>
      </w:tr>
      <w:tr w:rsidR="00B12AFD" w:rsidRPr="00BF4D52" w14:paraId="5DE118CB" w14:textId="77777777" w:rsidTr="007229D6">
        <w:trPr>
          <w:trHeight w:val="255"/>
        </w:trPr>
        <w:tc>
          <w:tcPr>
            <w:tcW w:w="2830" w:type="dxa"/>
            <w:noWrap/>
            <w:hideMark/>
          </w:tcPr>
          <w:p w14:paraId="05E1BF7E" w14:textId="77777777" w:rsidR="00B12AFD" w:rsidRPr="00DF68C6" w:rsidRDefault="00B12AFD" w:rsidP="00B12AFD">
            <w:pPr>
              <w:keepNext/>
              <w:keepLines/>
              <w:spacing w:after="0"/>
              <w:rPr>
                <w:rFonts w:ascii="Arial Narrow" w:eastAsia="Arial Narrow" w:hAnsi="Arial Narrow" w:cs="Arial Narrow"/>
                <w:i/>
                <w:iCs/>
              </w:rPr>
            </w:pPr>
            <w:r w:rsidRPr="00DF68C6">
              <w:rPr>
                <w:rFonts w:ascii="Arial Narrow" w:eastAsia="Arial Narrow" w:hAnsi="Arial Narrow" w:cs="Arial Narrow"/>
                <w:i/>
                <w:iCs/>
              </w:rPr>
              <w:t>ERT costs, IOGSD II (first year of birth only)</w:t>
            </w:r>
          </w:p>
        </w:tc>
        <w:tc>
          <w:tcPr>
            <w:tcW w:w="1134" w:type="dxa"/>
            <w:noWrap/>
            <w:hideMark/>
          </w:tcPr>
          <w:p w14:paraId="407C04FD" w14:textId="4ECD6A9B"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noWrap/>
            <w:hideMark/>
          </w:tcPr>
          <w:p w14:paraId="70D82AEF" w14:textId="397F9D44"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86" w:type="dxa"/>
            <w:noWrap/>
            <w:hideMark/>
          </w:tcPr>
          <w:p w14:paraId="2FF4088A" w14:textId="6FC11530"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082" w:type="dxa"/>
            <w:noWrap/>
            <w:hideMark/>
          </w:tcPr>
          <w:p w14:paraId="3FF85765" w14:textId="5D56CA52"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noWrap/>
            <w:hideMark/>
          </w:tcPr>
          <w:p w14:paraId="353D9F8C" w14:textId="659C9D9A"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noWrap/>
            <w:hideMark/>
          </w:tcPr>
          <w:p w14:paraId="181EA03E" w14:textId="445719C7"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B12AFD" w:rsidRPr="00BF4D52" w14:paraId="1292A41B" w14:textId="77777777" w:rsidTr="007229D6">
        <w:trPr>
          <w:trHeight w:val="255"/>
        </w:trPr>
        <w:tc>
          <w:tcPr>
            <w:tcW w:w="2830" w:type="dxa"/>
            <w:noWrap/>
            <w:hideMark/>
          </w:tcPr>
          <w:p w14:paraId="24C0F6F4" w14:textId="77777777" w:rsidR="00B12AFD" w:rsidRPr="00DF68C6" w:rsidRDefault="00B12AFD" w:rsidP="00B12AFD">
            <w:pPr>
              <w:keepNext/>
              <w:keepLines/>
              <w:spacing w:after="0"/>
              <w:rPr>
                <w:rFonts w:ascii="Arial Narrow" w:eastAsia="Arial Narrow" w:hAnsi="Arial Narrow" w:cs="Arial Narrow"/>
                <w:i/>
                <w:iCs/>
              </w:rPr>
            </w:pPr>
            <w:r w:rsidRPr="00DF68C6">
              <w:rPr>
                <w:rFonts w:ascii="Arial Narrow" w:eastAsia="Arial Narrow" w:hAnsi="Arial Narrow" w:cs="Arial Narrow"/>
                <w:i/>
                <w:iCs/>
              </w:rPr>
              <w:t>ERT costs, LOGSD II</w:t>
            </w:r>
          </w:p>
        </w:tc>
        <w:tc>
          <w:tcPr>
            <w:tcW w:w="1134" w:type="dxa"/>
            <w:noWrap/>
            <w:hideMark/>
          </w:tcPr>
          <w:p w14:paraId="19CEC137" w14:textId="5C84B24B"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noWrap/>
            <w:hideMark/>
          </w:tcPr>
          <w:p w14:paraId="2BD714E7" w14:textId="69B8E0A1"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86" w:type="dxa"/>
            <w:noWrap/>
            <w:hideMark/>
          </w:tcPr>
          <w:p w14:paraId="7549A50D" w14:textId="748E6437"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082" w:type="dxa"/>
            <w:noWrap/>
            <w:hideMark/>
          </w:tcPr>
          <w:p w14:paraId="254DDA56" w14:textId="15A7891F"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noWrap/>
            <w:hideMark/>
          </w:tcPr>
          <w:p w14:paraId="36BDDD66" w14:textId="5744168B"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noWrap/>
            <w:hideMark/>
          </w:tcPr>
          <w:p w14:paraId="2CE368D3" w14:textId="6A21B9BF"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B12AFD" w:rsidRPr="00BF4D52" w14:paraId="00E9247B" w14:textId="77777777" w:rsidTr="007229D6">
        <w:trPr>
          <w:trHeight w:val="255"/>
        </w:trPr>
        <w:tc>
          <w:tcPr>
            <w:tcW w:w="2830" w:type="dxa"/>
            <w:noWrap/>
            <w:hideMark/>
          </w:tcPr>
          <w:p w14:paraId="4AA05F28" w14:textId="77777777" w:rsidR="00B12AFD" w:rsidRPr="00DF68C6" w:rsidRDefault="00B12AFD" w:rsidP="00B12AFD">
            <w:pPr>
              <w:keepNext/>
              <w:keepLines/>
              <w:spacing w:after="0"/>
              <w:rPr>
                <w:rFonts w:ascii="Arial Narrow" w:eastAsia="Arial Narrow" w:hAnsi="Arial Narrow" w:cs="Arial Narrow"/>
                <w:i/>
                <w:iCs/>
              </w:rPr>
            </w:pPr>
            <w:r w:rsidRPr="00DF68C6">
              <w:rPr>
                <w:rFonts w:ascii="Arial Narrow" w:eastAsia="Arial Narrow" w:hAnsi="Arial Narrow" w:cs="Arial Narrow"/>
                <w:i/>
                <w:iCs/>
              </w:rPr>
              <w:t>Total costs to LSDP (current practice)</w:t>
            </w:r>
          </w:p>
        </w:tc>
        <w:tc>
          <w:tcPr>
            <w:tcW w:w="1134" w:type="dxa"/>
            <w:noWrap/>
            <w:hideMark/>
          </w:tcPr>
          <w:p w14:paraId="056F66C3" w14:textId="2ADFB9C4"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noWrap/>
            <w:hideMark/>
          </w:tcPr>
          <w:p w14:paraId="1DC60987" w14:textId="63E664D3"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86" w:type="dxa"/>
            <w:noWrap/>
            <w:hideMark/>
          </w:tcPr>
          <w:p w14:paraId="51684CD8" w14:textId="18B6DD94"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082" w:type="dxa"/>
            <w:noWrap/>
            <w:hideMark/>
          </w:tcPr>
          <w:p w14:paraId="2958DB47" w14:textId="3A5F31F6"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noWrap/>
            <w:hideMark/>
          </w:tcPr>
          <w:p w14:paraId="50E10058" w14:textId="710C70DF"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noWrap/>
            <w:hideMark/>
          </w:tcPr>
          <w:p w14:paraId="62D709BB" w14:textId="0553184C" w:rsidR="00B12AFD" w:rsidRPr="00931D42" w:rsidRDefault="00B12AFD" w:rsidP="00B12AFD">
            <w:pPr>
              <w:keepNext/>
              <w:keepLines/>
              <w:spacing w:after="0"/>
              <w:jc w:val="right"/>
              <w:rPr>
                <w:rFonts w:ascii="Arial Narrow" w:eastAsia="Arial Narrow" w:hAnsi="Arial Narrow" w:cs="Arial Narrow"/>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B12AFD" w:rsidRPr="00BF4D52" w14:paraId="7A111E99" w14:textId="77777777" w:rsidTr="007229D6">
        <w:trPr>
          <w:trHeight w:val="278"/>
        </w:trPr>
        <w:tc>
          <w:tcPr>
            <w:tcW w:w="2830" w:type="dxa"/>
            <w:shd w:val="clear" w:color="auto" w:fill="E7E6E6" w:themeFill="background2"/>
            <w:noWrap/>
            <w:vAlign w:val="center"/>
            <w:hideMark/>
          </w:tcPr>
          <w:p w14:paraId="2113A983" w14:textId="77777777" w:rsidR="00B12AFD" w:rsidRPr="00DF68C6" w:rsidRDefault="00B12AFD" w:rsidP="00B12AFD">
            <w:pPr>
              <w:keepNext/>
              <w:keepLines/>
              <w:spacing w:before="0" w:after="0" w:line="259" w:lineRule="auto"/>
              <w:rPr>
                <w:rFonts w:ascii="Arial Narrow" w:eastAsia="Arial Narrow" w:hAnsi="Arial Narrow" w:cs="Arial Narrow"/>
                <w:b/>
                <w:bCs/>
                <w:i/>
                <w:iCs/>
              </w:rPr>
            </w:pPr>
            <w:r w:rsidRPr="00DF68C6">
              <w:rPr>
                <w:rFonts w:ascii="Arial Narrow" w:hAnsi="Arial Narrow"/>
                <w:b/>
                <w:bCs/>
                <w:i/>
                <w:iCs/>
                <w:u w:val="single"/>
              </w:rPr>
              <w:t>Net costs to LSDP due to NBS</w:t>
            </w:r>
          </w:p>
        </w:tc>
        <w:tc>
          <w:tcPr>
            <w:tcW w:w="1134" w:type="dxa"/>
            <w:shd w:val="clear" w:color="auto" w:fill="E7E6E6" w:themeFill="background2"/>
            <w:noWrap/>
            <w:hideMark/>
          </w:tcPr>
          <w:p w14:paraId="0A5AD472" w14:textId="5FD7C3B2" w:rsidR="00B12AFD" w:rsidRPr="00931D42" w:rsidRDefault="00B12AFD" w:rsidP="00B12AFD">
            <w:pPr>
              <w:keepNext/>
              <w:keepLines/>
              <w:spacing w:before="0" w:after="0"/>
              <w:jc w:val="right"/>
              <w:rPr>
                <w:rFonts w:ascii="Arial Narrow" w:eastAsiaTheme="minorHAnsi" w:hAnsi="Arial Narrow" w:cstheme="minorBidi"/>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shd w:val="clear" w:color="auto" w:fill="E7E6E6" w:themeFill="background2"/>
            <w:noWrap/>
            <w:hideMark/>
          </w:tcPr>
          <w:p w14:paraId="5994C253" w14:textId="737B6452" w:rsidR="00B12AFD" w:rsidRPr="00931D42" w:rsidRDefault="00B12AFD" w:rsidP="00B12AFD">
            <w:pPr>
              <w:keepNext/>
              <w:keepLines/>
              <w:spacing w:before="0" w:after="0"/>
              <w:jc w:val="right"/>
              <w:rPr>
                <w:rFonts w:ascii="Arial Narrow" w:eastAsiaTheme="minorHAnsi" w:hAnsi="Arial Narrow" w:cstheme="minorBidi"/>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86" w:type="dxa"/>
            <w:shd w:val="clear" w:color="auto" w:fill="E7E6E6" w:themeFill="background2"/>
            <w:noWrap/>
            <w:hideMark/>
          </w:tcPr>
          <w:p w14:paraId="3AEFCABC" w14:textId="5FC483C4" w:rsidR="00B12AFD" w:rsidRPr="00931D42" w:rsidRDefault="00B12AFD" w:rsidP="00B12AFD">
            <w:pPr>
              <w:keepNext/>
              <w:keepLines/>
              <w:spacing w:before="0" w:after="0"/>
              <w:jc w:val="right"/>
              <w:rPr>
                <w:rFonts w:ascii="Arial Narrow" w:eastAsiaTheme="minorHAnsi" w:hAnsi="Arial Narrow" w:cstheme="minorBidi"/>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082" w:type="dxa"/>
            <w:shd w:val="clear" w:color="auto" w:fill="E7E6E6" w:themeFill="background2"/>
            <w:noWrap/>
            <w:hideMark/>
          </w:tcPr>
          <w:p w14:paraId="1C416D4F" w14:textId="10FFD84A" w:rsidR="00B12AFD" w:rsidRPr="00931D42" w:rsidRDefault="00B12AFD" w:rsidP="00B12AFD">
            <w:pPr>
              <w:keepNext/>
              <w:keepLines/>
              <w:spacing w:before="0" w:after="0"/>
              <w:jc w:val="right"/>
              <w:rPr>
                <w:rFonts w:ascii="Arial Narrow" w:eastAsiaTheme="minorHAnsi" w:hAnsi="Arial Narrow" w:cstheme="minorBidi"/>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shd w:val="clear" w:color="auto" w:fill="E7E6E6" w:themeFill="background2"/>
            <w:noWrap/>
            <w:hideMark/>
          </w:tcPr>
          <w:p w14:paraId="150B2F77" w14:textId="42193971" w:rsidR="00B12AFD" w:rsidRPr="00931D42" w:rsidRDefault="00B12AFD" w:rsidP="00B12AFD">
            <w:pPr>
              <w:keepNext/>
              <w:keepLines/>
              <w:spacing w:before="0" w:after="0"/>
              <w:jc w:val="right"/>
              <w:rPr>
                <w:rFonts w:ascii="Arial Narrow" w:eastAsiaTheme="minorHAnsi" w:hAnsi="Arial Narrow" w:cstheme="minorBidi"/>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34" w:type="dxa"/>
            <w:shd w:val="clear" w:color="auto" w:fill="E7E6E6" w:themeFill="background2"/>
            <w:noWrap/>
            <w:hideMark/>
          </w:tcPr>
          <w:p w14:paraId="6928B1CF" w14:textId="5CBD847B" w:rsidR="00B12AFD" w:rsidRPr="00931D42" w:rsidRDefault="00B12AFD" w:rsidP="00B12AFD">
            <w:pPr>
              <w:keepNext/>
              <w:keepLines/>
              <w:spacing w:before="0" w:after="0"/>
              <w:jc w:val="right"/>
              <w:rPr>
                <w:rFonts w:ascii="Arial Narrow" w:eastAsiaTheme="minorHAnsi" w:hAnsi="Arial Narrow" w:cstheme="minorBidi"/>
                <w:b/>
                <w:bCs/>
                <w:i/>
                <w:iCs/>
                <w:sz w:val="19"/>
                <w:szCs w:val="19"/>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bl>
    <w:p w14:paraId="29DA74BC" w14:textId="77777777" w:rsidR="006D6777" w:rsidRPr="00DF68C6" w:rsidRDefault="006D6777" w:rsidP="00ED5CB7">
      <w:pPr>
        <w:pStyle w:val="Tablenotes"/>
        <w:keepNext/>
        <w:keepLines/>
        <w:spacing w:before="0" w:after="0"/>
      </w:pPr>
      <w:r w:rsidRPr="00DF68C6">
        <w:t>ERT = enzyme replacement therapy; GSD II = glycogen storage disease Type II; IOGSD II = infantile-onset glycogen storage disease Type II; LOGSD II = late-onset glycogen storage disease Type II; LSDP = Life Saving Drugs Program; NBS = newborn bloodspot screening</w:t>
      </w:r>
    </w:p>
    <w:p w14:paraId="637B4FB7" w14:textId="77777777" w:rsidR="009A45CA" w:rsidRPr="00410EF6" w:rsidRDefault="009A45CA" w:rsidP="00ED5CB7">
      <w:pPr>
        <w:keepNext/>
        <w:keepLines/>
        <w:spacing w:before="0" w:after="0"/>
        <w:rPr>
          <w:rFonts w:ascii="Arial Narrow" w:hAnsi="Arial Narrow"/>
          <w:i/>
          <w:iCs/>
          <w:sz w:val="18"/>
          <w:szCs w:val="18"/>
        </w:rPr>
      </w:pPr>
      <w:r w:rsidRPr="00410EF6">
        <w:rPr>
          <w:rFonts w:ascii="Arial Narrow" w:hAnsi="Arial Narrow"/>
          <w:i/>
          <w:iCs/>
          <w:sz w:val="18"/>
          <w:szCs w:val="18"/>
        </w:rPr>
        <w:t xml:space="preserve">Source: Rejoinder from </w:t>
      </w:r>
      <w:r>
        <w:rPr>
          <w:rFonts w:ascii="Arial Narrow" w:hAnsi="Arial Narrow"/>
          <w:i/>
          <w:iCs/>
          <w:sz w:val="18"/>
          <w:szCs w:val="18"/>
        </w:rPr>
        <w:t>assessment</w:t>
      </w:r>
      <w:r w:rsidRPr="00410EF6">
        <w:rPr>
          <w:rFonts w:ascii="Arial Narrow" w:hAnsi="Arial Narrow"/>
          <w:i/>
          <w:iCs/>
          <w:sz w:val="18"/>
          <w:szCs w:val="18"/>
        </w:rPr>
        <w:t xml:space="preserve"> group</w:t>
      </w:r>
    </w:p>
    <w:p w14:paraId="369EEED7" w14:textId="1492C020" w:rsidR="002D5F0C" w:rsidRDefault="006D6777" w:rsidP="002739C5">
      <w:pPr>
        <w:pStyle w:val="Tablenotes"/>
        <w:spacing w:before="0" w:after="0"/>
      </w:pPr>
      <w:r w:rsidRPr="00DF68C6">
        <w:t>Shaded cells represent those with changed values from the DCAR base case.</w:t>
      </w:r>
    </w:p>
    <w:p w14:paraId="3FABF3FB" w14:textId="3DCAE56F" w:rsidR="002D5F0C" w:rsidRPr="00EC23EB" w:rsidRDefault="00ED344D" w:rsidP="002739C5">
      <w:pPr>
        <w:pStyle w:val="Caption"/>
        <w:keepLines/>
        <w:rPr>
          <w:color w:val="5B9BD5" w:themeColor="accent1"/>
        </w:rPr>
      </w:pPr>
      <w:bookmarkStart w:id="72" w:name="_Ref196728713"/>
      <w:r>
        <w:t>Table</w:t>
      </w:r>
      <w:r w:rsidR="00D32374">
        <w:t xml:space="preserve"> </w:t>
      </w:r>
      <w:r w:rsidR="00707D22">
        <w:t>23</w:t>
      </w:r>
      <w:r>
        <w:t xml:space="preserve"> </w:t>
      </w:r>
      <w:bookmarkEnd w:id="72"/>
      <w:r w:rsidR="002D5F0C" w:rsidRPr="00186C11">
        <w:rPr>
          <w:color w:val="5B9BD5" w:themeColor="accent1"/>
        </w:rPr>
        <w:tab/>
      </w:r>
      <w:r w:rsidR="002D5F0C" w:rsidRPr="00EC23EB">
        <w:t>Cost implications to LSDP budgets due to NBS for GSD II (including incident cases born prior to NBS implementation</w:t>
      </w:r>
      <w:r w:rsidRPr="00EC23EB">
        <w:t xml:space="preserve"> </w:t>
      </w:r>
      <w:r w:rsidR="00263379" w:rsidRPr="00EC23EB">
        <w:t>[</w:t>
      </w:r>
      <w:r w:rsidRPr="00EC23EB">
        <w:t>Scenario 3</w:t>
      </w:r>
      <w:r w:rsidR="00263379" w:rsidRPr="00EC23EB">
        <w:t>]</w:t>
      </w:r>
      <w:r w:rsidR="002D5F0C" w:rsidRPr="00EC23EB">
        <w:t>)</w:t>
      </w:r>
    </w:p>
    <w:tbl>
      <w:tblPr>
        <w:tblStyle w:val="TableGrid11"/>
        <w:tblW w:w="9720" w:type="dxa"/>
        <w:tblLayout w:type="fixed"/>
        <w:tblLook w:val="04A0" w:firstRow="1" w:lastRow="0" w:firstColumn="1" w:lastColumn="0" w:noHBand="0" w:noVBand="1"/>
      </w:tblPr>
      <w:tblGrid>
        <w:gridCol w:w="3006"/>
        <w:gridCol w:w="1119"/>
        <w:gridCol w:w="1119"/>
        <w:gridCol w:w="1119"/>
        <w:gridCol w:w="1119"/>
        <w:gridCol w:w="1119"/>
        <w:gridCol w:w="1119"/>
      </w:tblGrid>
      <w:tr w:rsidR="00EC23EB" w:rsidRPr="00EC23EB" w14:paraId="31BBD0FA" w14:textId="77777777" w:rsidTr="00175863">
        <w:trPr>
          <w:cnfStyle w:val="100000000000" w:firstRow="1" w:lastRow="0" w:firstColumn="0" w:lastColumn="0" w:oddVBand="0" w:evenVBand="0" w:oddHBand="0" w:evenHBand="0" w:firstRowFirstColumn="0" w:firstRowLastColumn="0" w:lastRowFirstColumn="0" w:lastRowLastColumn="0"/>
          <w:trHeight w:val="439"/>
          <w:tblHeader/>
        </w:trPr>
        <w:tc>
          <w:tcPr>
            <w:tcW w:w="3006" w:type="dxa"/>
            <w:tcBorders>
              <w:bottom w:val="single" w:sz="4" w:space="0" w:color="auto"/>
            </w:tcBorders>
            <w:noWrap/>
            <w:hideMark/>
          </w:tcPr>
          <w:p w14:paraId="42BBBA0D" w14:textId="77777777" w:rsidR="002D5F0C" w:rsidRPr="00EC23EB" w:rsidRDefault="002D5F0C" w:rsidP="002739C5">
            <w:pPr>
              <w:keepNext/>
              <w:keepLines/>
              <w:spacing w:before="0" w:after="0"/>
              <w:rPr>
                <w:rFonts w:ascii="Arial Narrow" w:eastAsia="Arial Narrow" w:hAnsi="Arial Narrow" w:cs="Arial Narrow"/>
                <w:i/>
                <w:iCs/>
              </w:rPr>
            </w:pPr>
            <w:r w:rsidRPr="00EC23EB">
              <w:rPr>
                <w:rFonts w:ascii="Arial Narrow" w:eastAsia="Arial Narrow" w:hAnsi="Arial Narrow" w:cs="Arial Narrow"/>
                <w:i/>
                <w:iCs/>
              </w:rPr>
              <w:t> </w:t>
            </w:r>
          </w:p>
        </w:tc>
        <w:tc>
          <w:tcPr>
            <w:tcW w:w="1119" w:type="dxa"/>
            <w:tcBorders>
              <w:bottom w:val="single" w:sz="4" w:space="0" w:color="auto"/>
            </w:tcBorders>
            <w:noWrap/>
            <w:hideMark/>
          </w:tcPr>
          <w:p w14:paraId="36DD64B5" w14:textId="77777777" w:rsidR="002D5F0C" w:rsidRPr="00EC23EB" w:rsidRDefault="002D5F0C" w:rsidP="002739C5">
            <w:pPr>
              <w:keepNext/>
              <w:keepLines/>
              <w:spacing w:before="0" w:after="0"/>
              <w:jc w:val="center"/>
              <w:rPr>
                <w:rFonts w:ascii="Arial Narrow" w:eastAsia="Arial Narrow" w:hAnsi="Arial Narrow" w:cs="Arial Narrow"/>
                <w:b/>
                <w:bCs/>
                <w:i/>
                <w:iCs/>
              </w:rPr>
            </w:pPr>
            <w:r w:rsidRPr="00EC23EB">
              <w:rPr>
                <w:rFonts w:ascii="Arial Narrow" w:eastAsia="Arial Narrow" w:hAnsi="Arial Narrow" w:cs="Arial Narrow"/>
                <w:b/>
                <w:bCs/>
                <w:i/>
                <w:iCs/>
              </w:rPr>
              <w:t>2025−26</w:t>
            </w:r>
          </w:p>
        </w:tc>
        <w:tc>
          <w:tcPr>
            <w:tcW w:w="1119" w:type="dxa"/>
            <w:tcBorders>
              <w:bottom w:val="single" w:sz="4" w:space="0" w:color="auto"/>
            </w:tcBorders>
            <w:noWrap/>
            <w:hideMark/>
          </w:tcPr>
          <w:p w14:paraId="666D4161" w14:textId="77777777" w:rsidR="002D5F0C" w:rsidRPr="00EC23EB" w:rsidRDefault="002D5F0C" w:rsidP="002739C5">
            <w:pPr>
              <w:keepNext/>
              <w:keepLines/>
              <w:spacing w:before="0" w:after="0"/>
              <w:jc w:val="center"/>
              <w:rPr>
                <w:rFonts w:ascii="Arial Narrow" w:eastAsia="Arial Narrow" w:hAnsi="Arial Narrow" w:cs="Arial Narrow"/>
                <w:b/>
                <w:bCs/>
                <w:i/>
                <w:iCs/>
              </w:rPr>
            </w:pPr>
            <w:r w:rsidRPr="00EC23EB">
              <w:rPr>
                <w:rFonts w:ascii="Arial Narrow" w:eastAsia="Arial Narrow" w:hAnsi="Arial Narrow" w:cs="Arial Narrow"/>
                <w:b/>
                <w:bCs/>
                <w:i/>
                <w:iCs/>
              </w:rPr>
              <w:t>2026−27</w:t>
            </w:r>
          </w:p>
        </w:tc>
        <w:tc>
          <w:tcPr>
            <w:tcW w:w="1119" w:type="dxa"/>
            <w:tcBorders>
              <w:bottom w:val="single" w:sz="4" w:space="0" w:color="auto"/>
            </w:tcBorders>
            <w:noWrap/>
            <w:hideMark/>
          </w:tcPr>
          <w:p w14:paraId="087206F9" w14:textId="77777777" w:rsidR="002D5F0C" w:rsidRPr="00EC23EB" w:rsidRDefault="002D5F0C" w:rsidP="002739C5">
            <w:pPr>
              <w:keepNext/>
              <w:keepLines/>
              <w:spacing w:before="0" w:after="0"/>
              <w:jc w:val="center"/>
              <w:rPr>
                <w:rFonts w:ascii="Arial Narrow" w:eastAsia="Arial Narrow" w:hAnsi="Arial Narrow" w:cs="Arial Narrow"/>
                <w:b/>
                <w:bCs/>
                <w:i/>
                <w:iCs/>
              </w:rPr>
            </w:pPr>
            <w:r w:rsidRPr="00EC23EB">
              <w:rPr>
                <w:rFonts w:ascii="Arial Narrow" w:eastAsia="Arial Narrow" w:hAnsi="Arial Narrow" w:cs="Arial Narrow"/>
                <w:b/>
                <w:bCs/>
                <w:i/>
                <w:iCs/>
              </w:rPr>
              <w:t>2027−28</w:t>
            </w:r>
          </w:p>
        </w:tc>
        <w:tc>
          <w:tcPr>
            <w:tcW w:w="1119" w:type="dxa"/>
            <w:tcBorders>
              <w:bottom w:val="single" w:sz="4" w:space="0" w:color="auto"/>
            </w:tcBorders>
            <w:noWrap/>
            <w:hideMark/>
          </w:tcPr>
          <w:p w14:paraId="1982450B" w14:textId="77777777" w:rsidR="002D5F0C" w:rsidRPr="00EC23EB" w:rsidRDefault="002D5F0C" w:rsidP="002739C5">
            <w:pPr>
              <w:keepNext/>
              <w:keepLines/>
              <w:spacing w:before="0" w:after="0"/>
              <w:jc w:val="center"/>
              <w:rPr>
                <w:rFonts w:ascii="Arial Narrow" w:eastAsia="Arial Narrow" w:hAnsi="Arial Narrow" w:cs="Arial Narrow"/>
                <w:b/>
                <w:bCs/>
                <w:i/>
                <w:iCs/>
              </w:rPr>
            </w:pPr>
            <w:r w:rsidRPr="00EC23EB">
              <w:rPr>
                <w:rFonts w:ascii="Arial Narrow" w:eastAsia="Arial Narrow" w:hAnsi="Arial Narrow" w:cs="Arial Narrow"/>
                <w:b/>
                <w:bCs/>
                <w:i/>
                <w:iCs/>
              </w:rPr>
              <w:t>2028−29</w:t>
            </w:r>
          </w:p>
        </w:tc>
        <w:tc>
          <w:tcPr>
            <w:tcW w:w="1119" w:type="dxa"/>
            <w:tcBorders>
              <w:bottom w:val="single" w:sz="4" w:space="0" w:color="auto"/>
            </w:tcBorders>
            <w:noWrap/>
            <w:hideMark/>
          </w:tcPr>
          <w:p w14:paraId="359F6E85" w14:textId="77777777" w:rsidR="002D5F0C" w:rsidRPr="00EC23EB" w:rsidRDefault="002D5F0C" w:rsidP="002739C5">
            <w:pPr>
              <w:keepNext/>
              <w:keepLines/>
              <w:spacing w:before="0" w:after="0"/>
              <w:jc w:val="center"/>
              <w:rPr>
                <w:rFonts w:ascii="Arial Narrow" w:eastAsia="Arial Narrow" w:hAnsi="Arial Narrow" w:cs="Arial Narrow"/>
                <w:b/>
                <w:bCs/>
                <w:i/>
                <w:iCs/>
              </w:rPr>
            </w:pPr>
            <w:r w:rsidRPr="00EC23EB">
              <w:rPr>
                <w:rFonts w:ascii="Arial Narrow" w:eastAsia="Arial Narrow" w:hAnsi="Arial Narrow" w:cs="Arial Narrow"/>
                <w:b/>
                <w:bCs/>
                <w:i/>
                <w:iCs/>
              </w:rPr>
              <w:t>2029−30</w:t>
            </w:r>
          </w:p>
        </w:tc>
        <w:tc>
          <w:tcPr>
            <w:tcW w:w="1119" w:type="dxa"/>
            <w:tcBorders>
              <w:bottom w:val="single" w:sz="4" w:space="0" w:color="auto"/>
            </w:tcBorders>
            <w:noWrap/>
            <w:hideMark/>
          </w:tcPr>
          <w:p w14:paraId="405FAEA5" w14:textId="77777777" w:rsidR="002D5F0C" w:rsidRPr="00EC23EB" w:rsidRDefault="002D5F0C" w:rsidP="002739C5">
            <w:pPr>
              <w:keepNext/>
              <w:keepLines/>
              <w:spacing w:before="0" w:after="0"/>
              <w:jc w:val="center"/>
              <w:rPr>
                <w:rFonts w:ascii="Arial Narrow" w:eastAsia="Arial Narrow" w:hAnsi="Arial Narrow" w:cs="Arial Narrow"/>
                <w:b/>
                <w:bCs/>
                <w:i/>
                <w:iCs/>
              </w:rPr>
            </w:pPr>
            <w:r w:rsidRPr="00EC23EB">
              <w:rPr>
                <w:rFonts w:ascii="Arial Narrow" w:eastAsia="Arial Narrow" w:hAnsi="Arial Narrow" w:cs="Arial Narrow"/>
                <w:b/>
                <w:bCs/>
                <w:i/>
                <w:iCs/>
              </w:rPr>
              <w:t>2030−31</w:t>
            </w:r>
          </w:p>
        </w:tc>
      </w:tr>
      <w:tr w:rsidR="00EC23EB" w:rsidRPr="00EC23EB" w14:paraId="2C0FE814" w14:textId="77777777" w:rsidTr="00175863">
        <w:trPr>
          <w:cnfStyle w:val="100000000000" w:firstRow="1" w:lastRow="0" w:firstColumn="0" w:lastColumn="0" w:oddVBand="0" w:evenVBand="0" w:oddHBand="0" w:evenHBand="0" w:firstRowFirstColumn="0" w:firstRowLastColumn="0" w:lastRowFirstColumn="0" w:lastRowLastColumn="0"/>
          <w:trHeight w:val="439"/>
          <w:tblHeader/>
        </w:trPr>
        <w:tc>
          <w:tcPr>
            <w:tcW w:w="3006" w:type="dxa"/>
            <w:tcBorders>
              <w:bottom w:val="single" w:sz="4" w:space="0" w:color="auto"/>
              <w:right w:val="nil"/>
            </w:tcBorders>
            <w:noWrap/>
          </w:tcPr>
          <w:p w14:paraId="0D4CC2EB" w14:textId="77777777" w:rsidR="002D5F0C" w:rsidRPr="00EC23EB" w:rsidRDefault="002D5F0C" w:rsidP="002739C5">
            <w:pPr>
              <w:keepNext/>
              <w:keepLines/>
              <w:spacing w:after="0"/>
              <w:rPr>
                <w:rFonts w:ascii="Arial Narrow" w:eastAsia="Arial Narrow" w:hAnsi="Arial Narrow" w:cs="Arial Narrow"/>
                <w:b/>
                <w:bCs/>
                <w:i/>
                <w:iCs/>
              </w:rPr>
            </w:pPr>
            <w:r w:rsidRPr="00EC23EB">
              <w:rPr>
                <w:rFonts w:ascii="Arial Narrow" w:eastAsia="Arial Narrow" w:hAnsi="Arial Narrow" w:cs="Arial Narrow"/>
                <w:b/>
                <w:bCs/>
                <w:i/>
                <w:iCs/>
              </w:rPr>
              <w:t>Universal NBS</w:t>
            </w:r>
          </w:p>
        </w:tc>
        <w:tc>
          <w:tcPr>
            <w:tcW w:w="1119" w:type="dxa"/>
            <w:tcBorders>
              <w:left w:val="nil"/>
              <w:bottom w:val="single" w:sz="4" w:space="0" w:color="auto"/>
              <w:right w:val="nil"/>
            </w:tcBorders>
            <w:noWrap/>
          </w:tcPr>
          <w:p w14:paraId="54DE5868" w14:textId="77777777" w:rsidR="002D5F0C" w:rsidRPr="00EC23EB" w:rsidRDefault="002D5F0C" w:rsidP="002739C5">
            <w:pPr>
              <w:keepNext/>
              <w:keepLines/>
              <w:spacing w:after="0"/>
              <w:jc w:val="center"/>
              <w:rPr>
                <w:rFonts w:ascii="Arial Narrow" w:eastAsia="Arial Narrow" w:hAnsi="Arial Narrow" w:cs="Arial Narrow"/>
                <w:b/>
                <w:bCs/>
                <w:i/>
                <w:iCs/>
              </w:rPr>
            </w:pPr>
          </w:p>
        </w:tc>
        <w:tc>
          <w:tcPr>
            <w:tcW w:w="1119" w:type="dxa"/>
            <w:tcBorders>
              <w:left w:val="nil"/>
              <w:bottom w:val="single" w:sz="4" w:space="0" w:color="auto"/>
              <w:right w:val="nil"/>
            </w:tcBorders>
            <w:noWrap/>
          </w:tcPr>
          <w:p w14:paraId="70F27FF8" w14:textId="77777777" w:rsidR="002D5F0C" w:rsidRPr="00EC23EB" w:rsidRDefault="002D5F0C" w:rsidP="002739C5">
            <w:pPr>
              <w:keepNext/>
              <w:keepLines/>
              <w:spacing w:after="0"/>
              <w:jc w:val="center"/>
              <w:rPr>
                <w:rFonts w:ascii="Arial Narrow" w:eastAsia="Arial Narrow" w:hAnsi="Arial Narrow" w:cs="Arial Narrow"/>
                <w:b/>
                <w:bCs/>
                <w:i/>
                <w:iCs/>
              </w:rPr>
            </w:pPr>
          </w:p>
        </w:tc>
        <w:tc>
          <w:tcPr>
            <w:tcW w:w="1119" w:type="dxa"/>
            <w:tcBorders>
              <w:left w:val="nil"/>
              <w:bottom w:val="single" w:sz="4" w:space="0" w:color="auto"/>
              <w:right w:val="nil"/>
            </w:tcBorders>
            <w:noWrap/>
          </w:tcPr>
          <w:p w14:paraId="22244668" w14:textId="77777777" w:rsidR="002D5F0C" w:rsidRPr="00EC23EB" w:rsidRDefault="002D5F0C" w:rsidP="002739C5">
            <w:pPr>
              <w:keepNext/>
              <w:keepLines/>
              <w:spacing w:after="0"/>
              <w:jc w:val="center"/>
              <w:rPr>
                <w:rFonts w:ascii="Arial Narrow" w:eastAsia="Arial Narrow" w:hAnsi="Arial Narrow" w:cs="Arial Narrow"/>
                <w:b/>
                <w:bCs/>
                <w:i/>
                <w:iCs/>
              </w:rPr>
            </w:pPr>
          </w:p>
        </w:tc>
        <w:tc>
          <w:tcPr>
            <w:tcW w:w="1119" w:type="dxa"/>
            <w:tcBorders>
              <w:left w:val="nil"/>
              <w:bottom w:val="single" w:sz="4" w:space="0" w:color="auto"/>
              <w:right w:val="nil"/>
            </w:tcBorders>
            <w:noWrap/>
          </w:tcPr>
          <w:p w14:paraId="64ADBA41" w14:textId="77777777" w:rsidR="002D5F0C" w:rsidRPr="00EC23EB" w:rsidRDefault="002D5F0C" w:rsidP="002739C5">
            <w:pPr>
              <w:keepNext/>
              <w:keepLines/>
              <w:spacing w:after="0"/>
              <w:jc w:val="center"/>
              <w:rPr>
                <w:rFonts w:ascii="Arial Narrow" w:eastAsia="Arial Narrow" w:hAnsi="Arial Narrow" w:cs="Arial Narrow"/>
                <w:b/>
                <w:bCs/>
                <w:i/>
                <w:iCs/>
              </w:rPr>
            </w:pPr>
          </w:p>
        </w:tc>
        <w:tc>
          <w:tcPr>
            <w:tcW w:w="1119" w:type="dxa"/>
            <w:tcBorders>
              <w:left w:val="nil"/>
              <w:bottom w:val="single" w:sz="4" w:space="0" w:color="auto"/>
              <w:right w:val="nil"/>
            </w:tcBorders>
            <w:noWrap/>
          </w:tcPr>
          <w:p w14:paraId="77CF2B79" w14:textId="77777777" w:rsidR="002D5F0C" w:rsidRPr="00EC23EB" w:rsidRDefault="002D5F0C" w:rsidP="002739C5">
            <w:pPr>
              <w:keepNext/>
              <w:keepLines/>
              <w:spacing w:after="0"/>
              <w:jc w:val="center"/>
              <w:rPr>
                <w:rFonts w:ascii="Arial Narrow" w:eastAsia="Arial Narrow" w:hAnsi="Arial Narrow" w:cs="Arial Narrow"/>
                <w:b/>
                <w:bCs/>
                <w:i/>
                <w:iCs/>
              </w:rPr>
            </w:pPr>
          </w:p>
        </w:tc>
        <w:tc>
          <w:tcPr>
            <w:tcW w:w="1119" w:type="dxa"/>
            <w:tcBorders>
              <w:left w:val="nil"/>
              <w:bottom w:val="single" w:sz="4" w:space="0" w:color="auto"/>
            </w:tcBorders>
            <w:noWrap/>
          </w:tcPr>
          <w:p w14:paraId="61C3B552" w14:textId="77777777" w:rsidR="002D5F0C" w:rsidRPr="00EC23EB" w:rsidRDefault="002D5F0C" w:rsidP="002739C5">
            <w:pPr>
              <w:keepNext/>
              <w:keepLines/>
              <w:spacing w:after="0"/>
              <w:jc w:val="center"/>
              <w:rPr>
                <w:rFonts w:ascii="Arial Narrow" w:eastAsia="Arial Narrow" w:hAnsi="Arial Narrow" w:cs="Arial Narrow"/>
                <w:b/>
                <w:bCs/>
                <w:i/>
                <w:iCs/>
              </w:rPr>
            </w:pPr>
          </w:p>
        </w:tc>
      </w:tr>
      <w:tr w:rsidR="00EC23EB" w:rsidRPr="00EC23EB" w14:paraId="3101F349" w14:textId="77777777" w:rsidTr="00175863">
        <w:trPr>
          <w:trHeight w:val="439"/>
        </w:trPr>
        <w:tc>
          <w:tcPr>
            <w:tcW w:w="3006" w:type="dxa"/>
            <w:noWrap/>
            <w:vAlign w:val="bottom"/>
            <w:hideMark/>
          </w:tcPr>
          <w:p w14:paraId="79470035" w14:textId="77777777" w:rsidR="002D5F0C" w:rsidRPr="00EC23EB" w:rsidRDefault="002D5F0C" w:rsidP="002739C5">
            <w:pPr>
              <w:keepNext/>
              <w:keepLines/>
              <w:spacing w:before="0" w:after="0"/>
              <w:rPr>
                <w:rFonts w:ascii="Arial Narrow" w:eastAsia="Arial Narrow" w:hAnsi="Arial Narrow" w:cs="Arial Narrow"/>
                <w:i/>
                <w:iCs/>
              </w:rPr>
            </w:pPr>
            <w:r w:rsidRPr="00EC23EB">
              <w:rPr>
                <w:rFonts w:ascii="Arial Narrow" w:eastAsia="Arial Narrow" w:hAnsi="Arial Narrow" w:cs="Arial Narrow"/>
                <w:i/>
                <w:iCs/>
              </w:rPr>
              <w:t>All GSD II affected cases diagnosed (NBS)</w:t>
            </w:r>
          </w:p>
        </w:tc>
        <w:tc>
          <w:tcPr>
            <w:tcW w:w="1119" w:type="dxa"/>
            <w:noWrap/>
            <w:vAlign w:val="center"/>
          </w:tcPr>
          <w:p w14:paraId="33DFF341" w14:textId="77777777" w:rsidR="002D5F0C" w:rsidRPr="00EC23EB" w:rsidRDefault="002D5F0C" w:rsidP="002739C5">
            <w:pPr>
              <w:keepNext/>
              <w:keepLines/>
              <w:spacing w:before="0" w:after="0"/>
              <w:jc w:val="right"/>
              <w:rPr>
                <w:rFonts w:ascii="Arial Narrow" w:eastAsia="Arial Narrow" w:hAnsi="Arial Narrow" w:cs="Arial Narrow"/>
                <w:i/>
                <w:iCs/>
              </w:rPr>
            </w:pPr>
            <w:r w:rsidRPr="00EC23EB">
              <w:rPr>
                <w:rFonts w:ascii="Arial Narrow" w:eastAsia="Arial Narrow" w:hAnsi="Arial Narrow" w:cs="Arial Narrow"/>
                <w:i/>
                <w:iCs/>
              </w:rPr>
              <w:t>10.60</w:t>
            </w:r>
          </w:p>
        </w:tc>
        <w:tc>
          <w:tcPr>
            <w:tcW w:w="1119" w:type="dxa"/>
            <w:noWrap/>
            <w:vAlign w:val="center"/>
          </w:tcPr>
          <w:p w14:paraId="3183E426" w14:textId="77777777" w:rsidR="002D5F0C" w:rsidRPr="00EC23EB" w:rsidRDefault="002D5F0C" w:rsidP="002739C5">
            <w:pPr>
              <w:keepNext/>
              <w:keepLines/>
              <w:spacing w:before="0" w:after="0"/>
              <w:jc w:val="right"/>
              <w:rPr>
                <w:rFonts w:ascii="Arial Narrow" w:eastAsia="Arial Narrow" w:hAnsi="Arial Narrow" w:cs="Arial Narrow"/>
                <w:i/>
                <w:iCs/>
              </w:rPr>
            </w:pPr>
            <w:r w:rsidRPr="00EC23EB">
              <w:rPr>
                <w:rFonts w:ascii="Arial Narrow" w:eastAsia="Arial Narrow" w:hAnsi="Arial Narrow" w:cs="Arial Narrow"/>
                <w:i/>
                <w:iCs/>
              </w:rPr>
              <w:t>10.60</w:t>
            </w:r>
          </w:p>
        </w:tc>
        <w:tc>
          <w:tcPr>
            <w:tcW w:w="1119" w:type="dxa"/>
            <w:noWrap/>
            <w:vAlign w:val="center"/>
          </w:tcPr>
          <w:p w14:paraId="2BD44FFC" w14:textId="77777777" w:rsidR="002D5F0C" w:rsidRPr="00EC23EB" w:rsidRDefault="002D5F0C" w:rsidP="002739C5">
            <w:pPr>
              <w:keepNext/>
              <w:keepLines/>
              <w:spacing w:before="0" w:after="0"/>
              <w:jc w:val="right"/>
              <w:rPr>
                <w:rFonts w:ascii="Arial Narrow" w:eastAsia="Arial Narrow" w:hAnsi="Arial Narrow" w:cs="Arial Narrow"/>
                <w:i/>
                <w:iCs/>
              </w:rPr>
            </w:pPr>
            <w:r w:rsidRPr="00EC23EB">
              <w:rPr>
                <w:rFonts w:ascii="Arial Narrow" w:eastAsia="Arial Narrow" w:hAnsi="Arial Narrow" w:cs="Arial Narrow"/>
                <w:i/>
                <w:iCs/>
              </w:rPr>
              <w:t>10.60</w:t>
            </w:r>
          </w:p>
        </w:tc>
        <w:tc>
          <w:tcPr>
            <w:tcW w:w="1119" w:type="dxa"/>
            <w:noWrap/>
            <w:vAlign w:val="center"/>
          </w:tcPr>
          <w:p w14:paraId="0B0D49A5" w14:textId="77777777" w:rsidR="002D5F0C" w:rsidRPr="00EC23EB" w:rsidRDefault="002D5F0C" w:rsidP="002739C5">
            <w:pPr>
              <w:keepNext/>
              <w:keepLines/>
              <w:spacing w:before="0" w:after="0"/>
              <w:jc w:val="right"/>
              <w:rPr>
                <w:rFonts w:ascii="Arial Narrow" w:eastAsia="Arial Narrow" w:hAnsi="Arial Narrow" w:cs="Arial Narrow"/>
                <w:i/>
                <w:iCs/>
              </w:rPr>
            </w:pPr>
            <w:r w:rsidRPr="00EC23EB">
              <w:rPr>
                <w:rFonts w:ascii="Arial Narrow" w:eastAsia="Arial Narrow" w:hAnsi="Arial Narrow" w:cs="Arial Narrow"/>
                <w:i/>
                <w:iCs/>
              </w:rPr>
              <w:t>10.60</w:t>
            </w:r>
          </w:p>
        </w:tc>
        <w:tc>
          <w:tcPr>
            <w:tcW w:w="1119" w:type="dxa"/>
            <w:noWrap/>
            <w:vAlign w:val="center"/>
          </w:tcPr>
          <w:p w14:paraId="17CF0347" w14:textId="77777777" w:rsidR="002D5F0C" w:rsidRPr="00EC23EB" w:rsidRDefault="002D5F0C" w:rsidP="002739C5">
            <w:pPr>
              <w:keepNext/>
              <w:keepLines/>
              <w:spacing w:before="0" w:after="0"/>
              <w:jc w:val="right"/>
              <w:rPr>
                <w:rFonts w:ascii="Arial Narrow" w:eastAsia="Arial Narrow" w:hAnsi="Arial Narrow" w:cs="Arial Narrow"/>
                <w:i/>
                <w:iCs/>
              </w:rPr>
            </w:pPr>
            <w:r w:rsidRPr="00EC23EB">
              <w:rPr>
                <w:rFonts w:ascii="Arial Narrow" w:eastAsia="Arial Narrow" w:hAnsi="Arial Narrow" w:cs="Arial Narrow"/>
                <w:i/>
                <w:iCs/>
              </w:rPr>
              <w:t>10.60</w:t>
            </w:r>
          </w:p>
        </w:tc>
        <w:tc>
          <w:tcPr>
            <w:tcW w:w="1119" w:type="dxa"/>
            <w:noWrap/>
            <w:vAlign w:val="center"/>
          </w:tcPr>
          <w:p w14:paraId="7BBD8771" w14:textId="77777777" w:rsidR="002D5F0C" w:rsidRPr="00EC23EB" w:rsidRDefault="002D5F0C" w:rsidP="002739C5">
            <w:pPr>
              <w:keepNext/>
              <w:keepLines/>
              <w:spacing w:before="0" w:after="0"/>
              <w:jc w:val="right"/>
              <w:rPr>
                <w:rFonts w:ascii="Arial Narrow" w:eastAsia="Arial Narrow" w:hAnsi="Arial Narrow" w:cs="Arial Narrow"/>
                <w:i/>
                <w:iCs/>
              </w:rPr>
            </w:pPr>
            <w:r w:rsidRPr="00EC23EB">
              <w:rPr>
                <w:rFonts w:ascii="Arial Narrow" w:eastAsia="Arial Narrow" w:hAnsi="Arial Narrow" w:cs="Arial Narrow"/>
                <w:i/>
                <w:iCs/>
              </w:rPr>
              <w:t>10.60</w:t>
            </w:r>
          </w:p>
        </w:tc>
      </w:tr>
      <w:tr w:rsidR="00EC23EB" w:rsidRPr="00EC23EB" w14:paraId="0768DDF5" w14:textId="77777777" w:rsidTr="00175863">
        <w:trPr>
          <w:trHeight w:val="439"/>
        </w:trPr>
        <w:tc>
          <w:tcPr>
            <w:tcW w:w="3006" w:type="dxa"/>
            <w:noWrap/>
            <w:vAlign w:val="bottom"/>
          </w:tcPr>
          <w:p w14:paraId="32DF0D77"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Number of affected cases with IOGSD II (9.43%)</w:t>
            </w:r>
          </w:p>
        </w:tc>
        <w:tc>
          <w:tcPr>
            <w:tcW w:w="1119" w:type="dxa"/>
            <w:noWrap/>
            <w:vAlign w:val="bottom"/>
          </w:tcPr>
          <w:p w14:paraId="32144ED2"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1.00</w:t>
            </w:r>
          </w:p>
        </w:tc>
        <w:tc>
          <w:tcPr>
            <w:tcW w:w="1119" w:type="dxa"/>
            <w:noWrap/>
            <w:vAlign w:val="bottom"/>
          </w:tcPr>
          <w:p w14:paraId="502097CB"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1.00</w:t>
            </w:r>
          </w:p>
        </w:tc>
        <w:tc>
          <w:tcPr>
            <w:tcW w:w="1119" w:type="dxa"/>
            <w:noWrap/>
            <w:vAlign w:val="bottom"/>
          </w:tcPr>
          <w:p w14:paraId="0D6C27DB"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1.00</w:t>
            </w:r>
          </w:p>
        </w:tc>
        <w:tc>
          <w:tcPr>
            <w:tcW w:w="1119" w:type="dxa"/>
            <w:noWrap/>
            <w:vAlign w:val="bottom"/>
          </w:tcPr>
          <w:p w14:paraId="0941BFA0"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1.00</w:t>
            </w:r>
          </w:p>
        </w:tc>
        <w:tc>
          <w:tcPr>
            <w:tcW w:w="1119" w:type="dxa"/>
            <w:noWrap/>
            <w:vAlign w:val="bottom"/>
          </w:tcPr>
          <w:p w14:paraId="3A61000B"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1.00</w:t>
            </w:r>
          </w:p>
        </w:tc>
        <w:tc>
          <w:tcPr>
            <w:tcW w:w="1119" w:type="dxa"/>
            <w:noWrap/>
            <w:vAlign w:val="bottom"/>
          </w:tcPr>
          <w:p w14:paraId="364B7233"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1.00</w:t>
            </w:r>
          </w:p>
        </w:tc>
      </w:tr>
      <w:tr w:rsidR="00EC23EB" w:rsidRPr="00EC23EB" w14:paraId="11F24904" w14:textId="77777777" w:rsidTr="00175863">
        <w:trPr>
          <w:trHeight w:val="439"/>
        </w:trPr>
        <w:tc>
          <w:tcPr>
            <w:tcW w:w="3006" w:type="dxa"/>
            <w:noWrap/>
            <w:vAlign w:val="bottom"/>
          </w:tcPr>
          <w:p w14:paraId="5D17A1CC"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Number of affected cases with LOGSD II (90.57%)</w:t>
            </w:r>
          </w:p>
        </w:tc>
        <w:tc>
          <w:tcPr>
            <w:tcW w:w="1119" w:type="dxa"/>
            <w:noWrap/>
            <w:vAlign w:val="bottom"/>
          </w:tcPr>
          <w:p w14:paraId="6EA6E5E0"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9.60</w:t>
            </w:r>
          </w:p>
        </w:tc>
        <w:tc>
          <w:tcPr>
            <w:tcW w:w="1119" w:type="dxa"/>
            <w:noWrap/>
            <w:vAlign w:val="bottom"/>
          </w:tcPr>
          <w:p w14:paraId="13CDA941"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9.60</w:t>
            </w:r>
          </w:p>
        </w:tc>
        <w:tc>
          <w:tcPr>
            <w:tcW w:w="1119" w:type="dxa"/>
            <w:noWrap/>
            <w:vAlign w:val="bottom"/>
          </w:tcPr>
          <w:p w14:paraId="53E2E539"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9.60</w:t>
            </w:r>
          </w:p>
        </w:tc>
        <w:tc>
          <w:tcPr>
            <w:tcW w:w="1119" w:type="dxa"/>
            <w:noWrap/>
            <w:vAlign w:val="bottom"/>
          </w:tcPr>
          <w:p w14:paraId="4280A7E7"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9.60</w:t>
            </w:r>
          </w:p>
        </w:tc>
        <w:tc>
          <w:tcPr>
            <w:tcW w:w="1119" w:type="dxa"/>
            <w:noWrap/>
            <w:vAlign w:val="bottom"/>
          </w:tcPr>
          <w:p w14:paraId="5CB62DD8"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9.60</w:t>
            </w:r>
          </w:p>
        </w:tc>
        <w:tc>
          <w:tcPr>
            <w:tcW w:w="1119" w:type="dxa"/>
            <w:noWrap/>
            <w:vAlign w:val="bottom"/>
          </w:tcPr>
          <w:p w14:paraId="5409AB02"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9.60</w:t>
            </w:r>
          </w:p>
        </w:tc>
      </w:tr>
      <w:tr w:rsidR="00B124BC" w:rsidRPr="00EC23EB" w14:paraId="41353E52" w14:textId="77777777" w:rsidTr="00BE3349">
        <w:trPr>
          <w:trHeight w:val="439"/>
        </w:trPr>
        <w:tc>
          <w:tcPr>
            <w:tcW w:w="3006" w:type="dxa"/>
            <w:shd w:val="clear" w:color="auto" w:fill="E7E6E6" w:themeFill="background2"/>
            <w:noWrap/>
            <w:vAlign w:val="bottom"/>
          </w:tcPr>
          <w:p w14:paraId="16E7D767"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eastAsia="Arial Narrow" w:hAnsi="Arial Narrow" w:cs="Arial Narrow"/>
                <w:i/>
                <w:iCs/>
              </w:rPr>
              <w:t>Incident cases born prior to NBS implementation</w:t>
            </w:r>
          </w:p>
        </w:tc>
        <w:tc>
          <w:tcPr>
            <w:tcW w:w="1119" w:type="dxa"/>
            <w:shd w:val="clear" w:color="auto" w:fill="E7E6E6" w:themeFill="background2"/>
            <w:noWrap/>
            <w:vAlign w:val="bottom"/>
          </w:tcPr>
          <w:p w14:paraId="573F3FB1"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eastAsia="Arial Narrow" w:hAnsi="Arial Narrow" w:cs="Arial Narrow"/>
                <w:i/>
                <w:iCs/>
              </w:rPr>
              <w:t>6.67</w:t>
            </w:r>
          </w:p>
        </w:tc>
        <w:tc>
          <w:tcPr>
            <w:tcW w:w="1119" w:type="dxa"/>
            <w:shd w:val="clear" w:color="auto" w:fill="E7E6E6" w:themeFill="background2"/>
            <w:noWrap/>
            <w:vAlign w:val="bottom"/>
          </w:tcPr>
          <w:p w14:paraId="307B48C3"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eastAsia="Arial Narrow" w:hAnsi="Arial Narrow" w:cs="Arial Narrow"/>
                <w:i/>
                <w:iCs/>
              </w:rPr>
              <w:t>5.67</w:t>
            </w:r>
          </w:p>
        </w:tc>
        <w:tc>
          <w:tcPr>
            <w:tcW w:w="1119" w:type="dxa"/>
            <w:shd w:val="clear" w:color="auto" w:fill="E7E6E6" w:themeFill="background2"/>
            <w:noWrap/>
            <w:vAlign w:val="bottom"/>
          </w:tcPr>
          <w:p w14:paraId="04A3240E"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eastAsia="Arial Narrow" w:hAnsi="Arial Narrow" w:cs="Arial Narrow"/>
                <w:i/>
                <w:iCs/>
              </w:rPr>
              <w:t>5.68</w:t>
            </w:r>
          </w:p>
        </w:tc>
        <w:tc>
          <w:tcPr>
            <w:tcW w:w="1119" w:type="dxa"/>
            <w:shd w:val="clear" w:color="auto" w:fill="E7E6E6" w:themeFill="background2"/>
            <w:noWrap/>
            <w:vAlign w:val="bottom"/>
          </w:tcPr>
          <w:p w14:paraId="01AADDF1"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eastAsia="Arial Narrow" w:hAnsi="Arial Narrow" w:cs="Arial Narrow"/>
                <w:i/>
                <w:iCs/>
              </w:rPr>
              <w:t>5.68</w:t>
            </w:r>
          </w:p>
        </w:tc>
        <w:tc>
          <w:tcPr>
            <w:tcW w:w="1119" w:type="dxa"/>
            <w:shd w:val="clear" w:color="auto" w:fill="E7E6E6" w:themeFill="background2"/>
            <w:noWrap/>
            <w:vAlign w:val="bottom"/>
          </w:tcPr>
          <w:p w14:paraId="13112A84"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eastAsia="Arial Narrow" w:hAnsi="Arial Narrow" w:cs="Arial Narrow"/>
                <w:i/>
                <w:iCs/>
              </w:rPr>
              <w:t>5.68</w:t>
            </w:r>
          </w:p>
        </w:tc>
        <w:tc>
          <w:tcPr>
            <w:tcW w:w="1119" w:type="dxa"/>
            <w:shd w:val="clear" w:color="auto" w:fill="E7E6E6" w:themeFill="background2"/>
            <w:noWrap/>
            <w:vAlign w:val="bottom"/>
          </w:tcPr>
          <w:p w14:paraId="1498B3C5"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eastAsia="Arial Narrow" w:hAnsi="Arial Narrow" w:cs="Arial Narrow"/>
                <w:i/>
                <w:iCs/>
              </w:rPr>
              <w:t>5.69</w:t>
            </w:r>
          </w:p>
        </w:tc>
      </w:tr>
      <w:tr w:rsidR="00B12AFD" w:rsidRPr="00EC23EB" w14:paraId="4DAC855C" w14:textId="77777777" w:rsidTr="007229D6">
        <w:trPr>
          <w:trHeight w:val="439"/>
        </w:trPr>
        <w:tc>
          <w:tcPr>
            <w:tcW w:w="3006" w:type="dxa"/>
            <w:noWrap/>
            <w:vAlign w:val="bottom"/>
          </w:tcPr>
          <w:p w14:paraId="32A49AA5" w14:textId="77777777" w:rsidR="00B12AFD" w:rsidRPr="00EC23EB" w:rsidRDefault="00B12AFD" w:rsidP="002739C5">
            <w:pPr>
              <w:keepNext/>
              <w:keepLines/>
              <w:spacing w:after="0"/>
              <w:rPr>
                <w:rFonts w:ascii="Arial Narrow" w:eastAsia="Arial Narrow" w:hAnsi="Arial Narrow" w:cs="Arial Narrow"/>
                <w:i/>
                <w:iCs/>
              </w:rPr>
            </w:pPr>
            <w:r w:rsidRPr="00EC23EB">
              <w:rPr>
                <w:rFonts w:ascii="Arial Narrow" w:hAnsi="Arial Narrow"/>
                <w:i/>
                <w:iCs/>
              </w:rPr>
              <w:t>ERT costs, IOGSD II (first year of birth only)</w:t>
            </w:r>
          </w:p>
        </w:tc>
        <w:tc>
          <w:tcPr>
            <w:tcW w:w="1119" w:type="dxa"/>
            <w:noWrap/>
          </w:tcPr>
          <w:p w14:paraId="6FCD7106" w14:textId="6D905A1E"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3775DF27" w14:textId="55DE1F44"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3FFEAB44" w14:textId="456262F9"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27FD3036" w14:textId="6A7BBA2E"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372F5FA9" w14:textId="27A25ABE"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2F759A48" w14:textId="1A7FF14F"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B12AFD" w:rsidRPr="00EC23EB" w14:paraId="0DDE6485" w14:textId="77777777" w:rsidTr="007229D6">
        <w:trPr>
          <w:trHeight w:val="439"/>
        </w:trPr>
        <w:tc>
          <w:tcPr>
            <w:tcW w:w="3006" w:type="dxa"/>
            <w:noWrap/>
            <w:vAlign w:val="bottom"/>
          </w:tcPr>
          <w:p w14:paraId="6E850604" w14:textId="77777777" w:rsidR="00B12AFD" w:rsidRPr="00EC23EB" w:rsidRDefault="00B12AFD" w:rsidP="002739C5">
            <w:pPr>
              <w:keepNext/>
              <w:keepLines/>
              <w:spacing w:after="0"/>
              <w:rPr>
                <w:rFonts w:ascii="Arial Narrow" w:eastAsia="Arial Narrow" w:hAnsi="Arial Narrow" w:cs="Arial Narrow"/>
                <w:i/>
                <w:iCs/>
              </w:rPr>
            </w:pPr>
            <w:r w:rsidRPr="00EC23EB">
              <w:rPr>
                <w:rFonts w:ascii="Arial Narrow" w:hAnsi="Arial Narrow"/>
                <w:i/>
                <w:iCs/>
              </w:rPr>
              <w:t>ERT costs, LOGSD II</w:t>
            </w:r>
          </w:p>
        </w:tc>
        <w:tc>
          <w:tcPr>
            <w:tcW w:w="1119" w:type="dxa"/>
            <w:noWrap/>
          </w:tcPr>
          <w:p w14:paraId="0044C15E" w14:textId="395925B6"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68BAD4A4" w14:textId="2C0891EF"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627C78D6" w14:textId="5FD336FE"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5C348920" w14:textId="44F19ED1"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667D733B" w14:textId="04668B06"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75BA79C5" w14:textId="6CF02983"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B12AFD" w:rsidRPr="00EC23EB" w14:paraId="4102C994" w14:textId="77777777" w:rsidTr="007229D6">
        <w:trPr>
          <w:trHeight w:val="439"/>
        </w:trPr>
        <w:tc>
          <w:tcPr>
            <w:tcW w:w="3006" w:type="dxa"/>
            <w:noWrap/>
            <w:vAlign w:val="bottom"/>
          </w:tcPr>
          <w:p w14:paraId="27C2EFCD" w14:textId="77777777" w:rsidR="00B12AFD" w:rsidRPr="00EC23EB" w:rsidRDefault="00B12AFD" w:rsidP="002739C5">
            <w:pPr>
              <w:keepNext/>
              <w:keepLines/>
              <w:spacing w:after="0"/>
              <w:rPr>
                <w:rFonts w:ascii="Arial Narrow" w:eastAsia="Arial Narrow" w:hAnsi="Arial Narrow" w:cs="Arial Narrow"/>
                <w:i/>
                <w:iCs/>
              </w:rPr>
            </w:pPr>
            <w:r w:rsidRPr="00EC23EB">
              <w:rPr>
                <w:rFonts w:ascii="Arial Narrow" w:hAnsi="Arial Narrow"/>
                <w:i/>
                <w:iCs/>
              </w:rPr>
              <w:t>ERT costs, for cumulative incident cases born prior to NBS implementation</w:t>
            </w:r>
          </w:p>
        </w:tc>
        <w:tc>
          <w:tcPr>
            <w:tcW w:w="1119" w:type="dxa"/>
            <w:shd w:val="clear" w:color="auto" w:fill="E7E6E6" w:themeFill="background2"/>
            <w:noWrap/>
          </w:tcPr>
          <w:p w14:paraId="7C7648C3" w14:textId="5475799B"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shd w:val="clear" w:color="auto" w:fill="E7E6E6" w:themeFill="background2"/>
            <w:noWrap/>
          </w:tcPr>
          <w:p w14:paraId="60D25101" w14:textId="39C70241"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shd w:val="clear" w:color="auto" w:fill="E7E6E6" w:themeFill="background2"/>
            <w:noWrap/>
          </w:tcPr>
          <w:p w14:paraId="7F7A906A" w14:textId="22AE5460"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shd w:val="clear" w:color="auto" w:fill="E7E6E6" w:themeFill="background2"/>
            <w:noWrap/>
          </w:tcPr>
          <w:p w14:paraId="1C0338C8" w14:textId="14E7BBC6"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shd w:val="clear" w:color="auto" w:fill="E7E6E6" w:themeFill="background2"/>
            <w:noWrap/>
          </w:tcPr>
          <w:p w14:paraId="42A61750" w14:textId="191B46B1"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shd w:val="clear" w:color="auto" w:fill="E7E6E6" w:themeFill="background2"/>
            <w:noWrap/>
          </w:tcPr>
          <w:p w14:paraId="78D93CEA" w14:textId="4673AAC6" w:rsidR="00B12AFD" w:rsidRPr="00931D42" w:rsidRDefault="00B12AFD" w:rsidP="002739C5">
            <w:pPr>
              <w:keepNext/>
              <w:keepLines/>
              <w:spacing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B12AFD" w:rsidRPr="00EC23EB" w14:paraId="093FF148" w14:textId="77777777" w:rsidTr="007229D6">
        <w:trPr>
          <w:trHeight w:val="439"/>
        </w:trPr>
        <w:tc>
          <w:tcPr>
            <w:tcW w:w="3006" w:type="dxa"/>
            <w:tcBorders>
              <w:bottom w:val="single" w:sz="4" w:space="0" w:color="auto"/>
            </w:tcBorders>
            <w:noWrap/>
            <w:vAlign w:val="bottom"/>
          </w:tcPr>
          <w:p w14:paraId="22FC1440" w14:textId="77777777" w:rsidR="00B12AFD" w:rsidRPr="00EC23EB" w:rsidRDefault="00B12AFD" w:rsidP="002739C5">
            <w:pPr>
              <w:keepNext/>
              <w:keepLines/>
              <w:spacing w:before="0" w:after="0"/>
              <w:rPr>
                <w:rFonts w:ascii="Arial Narrow" w:eastAsia="Arial Narrow" w:hAnsi="Arial Narrow" w:cs="Arial Narrow"/>
                <w:i/>
                <w:iCs/>
                <w:vertAlign w:val="superscript"/>
              </w:rPr>
            </w:pPr>
            <w:r w:rsidRPr="00EC23EB">
              <w:rPr>
                <w:rFonts w:ascii="Arial Narrow" w:eastAsia="Arial Narrow" w:hAnsi="Arial Narrow" w:cs="Arial Narrow"/>
                <w:i/>
                <w:iCs/>
              </w:rPr>
              <w:t>Total costs to LSDP with NBS</w:t>
            </w:r>
            <w:r w:rsidRPr="00EC23EB">
              <w:rPr>
                <w:rFonts w:ascii="Arial Narrow" w:eastAsia="Arial Narrow" w:hAnsi="Arial Narrow" w:cs="Arial Narrow"/>
                <w:i/>
                <w:iCs/>
                <w:vertAlign w:val="superscript"/>
              </w:rPr>
              <w:t>1</w:t>
            </w:r>
          </w:p>
        </w:tc>
        <w:tc>
          <w:tcPr>
            <w:tcW w:w="1119" w:type="dxa"/>
            <w:tcBorders>
              <w:bottom w:val="single" w:sz="4" w:space="0" w:color="auto"/>
            </w:tcBorders>
            <w:shd w:val="clear" w:color="auto" w:fill="E7E6E6" w:themeFill="background2"/>
            <w:noWrap/>
          </w:tcPr>
          <w:p w14:paraId="3BA19ACA" w14:textId="5E6B49CA" w:rsidR="00B12AFD" w:rsidRPr="00931D42" w:rsidRDefault="00B12AFD" w:rsidP="002739C5">
            <w:pPr>
              <w:keepNext/>
              <w:keepLines/>
              <w:spacing w:before="0"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tcBorders>
              <w:bottom w:val="single" w:sz="4" w:space="0" w:color="auto"/>
            </w:tcBorders>
            <w:shd w:val="clear" w:color="auto" w:fill="E7E6E6" w:themeFill="background2"/>
            <w:noWrap/>
          </w:tcPr>
          <w:p w14:paraId="41BC126C" w14:textId="54FABEBF" w:rsidR="00B12AFD" w:rsidRPr="00931D42" w:rsidRDefault="00B12AFD" w:rsidP="002739C5">
            <w:pPr>
              <w:keepNext/>
              <w:keepLines/>
              <w:spacing w:before="0"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tcBorders>
              <w:bottom w:val="single" w:sz="4" w:space="0" w:color="auto"/>
            </w:tcBorders>
            <w:shd w:val="clear" w:color="auto" w:fill="E7E6E6" w:themeFill="background2"/>
            <w:noWrap/>
          </w:tcPr>
          <w:p w14:paraId="671B874F" w14:textId="32748299" w:rsidR="00B12AFD" w:rsidRPr="00931D42" w:rsidRDefault="00B12AFD" w:rsidP="002739C5">
            <w:pPr>
              <w:keepNext/>
              <w:keepLines/>
              <w:spacing w:before="0"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tcBorders>
              <w:bottom w:val="single" w:sz="4" w:space="0" w:color="auto"/>
            </w:tcBorders>
            <w:shd w:val="clear" w:color="auto" w:fill="E7E6E6" w:themeFill="background2"/>
            <w:noWrap/>
          </w:tcPr>
          <w:p w14:paraId="2622C5E1" w14:textId="3AC2FFEC" w:rsidR="00B12AFD" w:rsidRPr="00931D42" w:rsidRDefault="00B12AFD" w:rsidP="002739C5">
            <w:pPr>
              <w:keepNext/>
              <w:keepLines/>
              <w:spacing w:before="0"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tcBorders>
              <w:bottom w:val="single" w:sz="4" w:space="0" w:color="auto"/>
            </w:tcBorders>
            <w:shd w:val="clear" w:color="auto" w:fill="E7E6E6" w:themeFill="background2"/>
            <w:noWrap/>
          </w:tcPr>
          <w:p w14:paraId="1F0E1CF6" w14:textId="65E0E07E" w:rsidR="00B12AFD" w:rsidRPr="00931D42" w:rsidRDefault="00B12AFD" w:rsidP="002739C5">
            <w:pPr>
              <w:keepNext/>
              <w:keepLines/>
              <w:spacing w:before="0"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tcBorders>
              <w:bottom w:val="single" w:sz="4" w:space="0" w:color="auto"/>
            </w:tcBorders>
            <w:shd w:val="clear" w:color="auto" w:fill="E7E6E6" w:themeFill="background2"/>
            <w:noWrap/>
          </w:tcPr>
          <w:p w14:paraId="7B79C322" w14:textId="7F1120DB" w:rsidR="00B12AFD" w:rsidRPr="00931D42" w:rsidRDefault="00B12AFD" w:rsidP="002739C5">
            <w:pPr>
              <w:keepNext/>
              <w:keepLines/>
              <w:spacing w:before="0" w:after="0"/>
              <w:jc w:val="right"/>
              <w:rPr>
                <w:rFonts w:ascii="Arial Narrow" w:eastAsia="Arial Narrow" w:hAnsi="Arial Narrow" w:cs="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EC23EB" w:rsidRPr="00EC23EB" w14:paraId="0302C1BE" w14:textId="77777777" w:rsidTr="00175863">
        <w:trPr>
          <w:trHeight w:val="439"/>
        </w:trPr>
        <w:tc>
          <w:tcPr>
            <w:tcW w:w="3006" w:type="dxa"/>
            <w:tcBorders>
              <w:bottom w:val="single" w:sz="4" w:space="0" w:color="auto"/>
            </w:tcBorders>
            <w:noWrap/>
            <w:vAlign w:val="bottom"/>
          </w:tcPr>
          <w:p w14:paraId="7518096E" w14:textId="77777777" w:rsidR="002D5F0C" w:rsidRPr="00EC23EB" w:rsidRDefault="002D5F0C" w:rsidP="002739C5">
            <w:pPr>
              <w:keepNext/>
              <w:keepLines/>
              <w:spacing w:after="0"/>
              <w:rPr>
                <w:rFonts w:ascii="Arial Narrow" w:eastAsia="Arial Narrow" w:hAnsi="Arial Narrow" w:cs="Arial Narrow"/>
                <w:i/>
                <w:iCs/>
              </w:rPr>
            </w:pPr>
            <w:r w:rsidRPr="00EC23EB">
              <w:rPr>
                <w:rFonts w:ascii="Arial Narrow" w:eastAsia="Arial Narrow" w:hAnsi="Arial Narrow" w:cs="Arial Narrow"/>
                <w:b/>
                <w:bCs/>
                <w:i/>
                <w:iCs/>
              </w:rPr>
              <w:t>Current practice offsets</w:t>
            </w:r>
          </w:p>
        </w:tc>
        <w:tc>
          <w:tcPr>
            <w:tcW w:w="1119" w:type="dxa"/>
            <w:tcBorders>
              <w:bottom w:val="single" w:sz="4" w:space="0" w:color="auto"/>
            </w:tcBorders>
            <w:noWrap/>
            <w:vAlign w:val="bottom"/>
          </w:tcPr>
          <w:p w14:paraId="362EBC98" w14:textId="77777777" w:rsidR="002D5F0C" w:rsidRPr="00EC23EB" w:rsidRDefault="002D5F0C" w:rsidP="002739C5">
            <w:pPr>
              <w:keepNext/>
              <w:keepLines/>
              <w:spacing w:after="0"/>
              <w:jc w:val="right"/>
              <w:rPr>
                <w:rFonts w:ascii="Arial Narrow" w:hAnsi="Arial Narrow"/>
                <w:i/>
                <w:iCs/>
                <w:highlight w:val="yellow"/>
              </w:rPr>
            </w:pPr>
          </w:p>
        </w:tc>
        <w:tc>
          <w:tcPr>
            <w:tcW w:w="1119" w:type="dxa"/>
            <w:tcBorders>
              <w:bottom w:val="single" w:sz="4" w:space="0" w:color="auto"/>
            </w:tcBorders>
            <w:noWrap/>
            <w:vAlign w:val="bottom"/>
          </w:tcPr>
          <w:p w14:paraId="3A05E1F8" w14:textId="77777777" w:rsidR="002D5F0C" w:rsidRPr="00EC23EB" w:rsidRDefault="002D5F0C" w:rsidP="002739C5">
            <w:pPr>
              <w:keepNext/>
              <w:keepLines/>
              <w:spacing w:after="0"/>
              <w:jc w:val="right"/>
              <w:rPr>
                <w:rFonts w:ascii="Arial Narrow" w:hAnsi="Arial Narrow"/>
                <w:i/>
                <w:iCs/>
                <w:highlight w:val="yellow"/>
              </w:rPr>
            </w:pPr>
          </w:p>
        </w:tc>
        <w:tc>
          <w:tcPr>
            <w:tcW w:w="1119" w:type="dxa"/>
            <w:tcBorders>
              <w:bottom w:val="single" w:sz="4" w:space="0" w:color="auto"/>
            </w:tcBorders>
            <w:noWrap/>
            <w:vAlign w:val="bottom"/>
          </w:tcPr>
          <w:p w14:paraId="0EBABD44" w14:textId="77777777" w:rsidR="002D5F0C" w:rsidRPr="00EC23EB" w:rsidRDefault="002D5F0C" w:rsidP="002739C5">
            <w:pPr>
              <w:keepNext/>
              <w:keepLines/>
              <w:spacing w:after="0"/>
              <w:jc w:val="right"/>
              <w:rPr>
                <w:rFonts w:ascii="Arial Narrow" w:hAnsi="Arial Narrow"/>
                <w:i/>
                <w:iCs/>
                <w:highlight w:val="yellow"/>
              </w:rPr>
            </w:pPr>
          </w:p>
        </w:tc>
        <w:tc>
          <w:tcPr>
            <w:tcW w:w="1119" w:type="dxa"/>
            <w:tcBorders>
              <w:bottom w:val="single" w:sz="4" w:space="0" w:color="auto"/>
            </w:tcBorders>
            <w:noWrap/>
            <w:vAlign w:val="bottom"/>
          </w:tcPr>
          <w:p w14:paraId="2CFB88D6" w14:textId="77777777" w:rsidR="002D5F0C" w:rsidRPr="00EC23EB" w:rsidRDefault="002D5F0C" w:rsidP="002739C5">
            <w:pPr>
              <w:keepNext/>
              <w:keepLines/>
              <w:spacing w:after="0"/>
              <w:jc w:val="right"/>
              <w:rPr>
                <w:rFonts w:ascii="Arial Narrow" w:hAnsi="Arial Narrow"/>
                <w:i/>
                <w:iCs/>
                <w:highlight w:val="yellow"/>
              </w:rPr>
            </w:pPr>
          </w:p>
        </w:tc>
        <w:tc>
          <w:tcPr>
            <w:tcW w:w="1119" w:type="dxa"/>
            <w:tcBorders>
              <w:bottom w:val="single" w:sz="4" w:space="0" w:color="auto"/>
            </w:tcBorders>
            <w:noWrap/>
            <w:vAlign w:val="bottom"/>
          </w:tcPr>
          <w:p w14:paraId="48BD36E2" w14:textId="77777777" w:rsidR="002D5F0C" w:rsidRPr="00EC23EB" w:rsidRDefault="002D5F0C" w:rsidP="002739C5">
            <w:pPr>
              <w:keepNext/>
              <w:keepLines/>
              <w:spacing w:after="0"/>
              <w:jc w:val="right"/>
              <w:rPr>
                <w:rFonts w:ascii="Arial Narrow" w:hAnsi="Arial Narrow"/>
                <w:i/>
                <w:iCs/>
                <w:highlight w:val="yellow"/>
              </w:rPr>
            </w:pPr>
          </w:p>
        </w:tc>
        <w:tc>
          <w:tcPr>
            <w:tcW w:w="1119" w:type="dxa"/>
            <w:tcBorders>
              <w:bottom w:val="single" w:sz="4" w:space="0" w:color="auto"/>
            </w:tcBorders>
            <w:noWrap/>
            <w:vAlign w:val="bottom"/>
          </w:tcPr>
          <w:p w14:paraId="1DEF5E56" w14:textId="77777777" w:rsidR="002D5F0C" w:rsidRPr="00EC23EB" w:rsidRDefault="002D5F0C" w:rsidP="002739C5">
            <w:pPr>
              <w:keepNext/>
              <w:keepLines/>
              <w:spacing w:after="0"/>
              <w:jc w:val="right"/>
              <w:rPr>
                <w:rFonts w:ascii="Arial Narrow" w:hAnsi="Arial Narrow"/>
                <w:i/>
                <w:iCs/>
                <w:highlight w:val="yellow"/>
              </w:rPr>
            </w:pPr>
          </w:p>
        </w:tc>
      </w:tr>
      <w:tr w:rsidR="00EC23EB" w:rsidRPr="00EC23EB" w14:paraId="462AC39D" w14:textId="77777777" w:rsidTr="00175863">
        <w:trPr>
          <w:trHeight w:val="439"/>
        </w:trPr>
        <w:tc>
          <w:tcPr>
            <w:tcW w:w="3006" w:type="dxa"/>
            <w:noWrap/>
            <w:vAlign w:val="bottom"/>
            <w:hideMark/>
          </w:tcPr>
          <w:p w14:paraId="1BCF47DA" w14:textId="77777777" w:rsidR="002D5F0C" w:rsidRPr="00EC23EB" w:rsidRDefault="002D5F0C" w:rsidP="002739C5">
            <w:pPr>
              <w:keepNext/>
              <w:keepLines/>
              <w:spacing w:before="0" w:after="0"/>
              <w:rPr>
                <w:rFonts w:ascii="Arial Narrow" w:eastAsia="Arial Narrow" w:hAnsi="Arial Narrow" w:cs="Arial Narrow"/>
                <w:i/>
                <w:iCs/>
              </w:rPr>
            </w:pPr>
            <w:r w:rsidRPr="00EC23EB">
              <w:rPr>
                <w:rFonts w:ascii="Arial Narrow" w:eastAsia="Arial Narrow" w:hAnsi="Arial Narrow" w:cs="Arial Narrow"/>
                <w:i/>
                <w:iCs/>
              </w:rPr>
              <w:t>All GSD II affected cases diagnosed (current practice)</w:t>
            </w:r>
          </w:p>
        </w:tc>
        <w:tc>
          <w:tcPr>
            <w:tcW w:w="1119" w:type="dxa"/>
            <w:noWrap/>
            <w:vAlign w:val="bottom"/>
          </w:tcPr>
          <w:p w14:paraId="7A044804" w14:textId="77777777" w:rsidR="002D5F0C" w:rsidRPr="00EC23EB" w:rsidRDefault="002D5F0C" w:rsidP="002739C5">
            <w:pPr>
              <w:keepNext/>
              <w:keepLines/>
              <w:spacing w:before="0" w:after="0"/>
              <w:jc w:val="right"/>
              <w:rPr>
                <w:rFonts w:ascii="Arial Narrow" w:eastAsia="Arial Narrow" w:hAnsi="Arial Narrow" w:cs="Arial Narrow"/>
                <w:i/>
                <w:iCs/>
              </w:rPr>
            </w:pPr>
            <w:r w:rsidRPr="00EC23EB">
              <w:rPr>
                <w:rFonts w:ascii="Arial Narrow" w:eastAsia="Arial Narrow" w:hAnsi="Arial Narrow" w:cs="Arial Narrow"/>
                <w:i/>
                <w:iCs/>
              </w:rPr>
              <w:t>6.67</w:t>
            </w:r>
          </w:p>
        </w:tc>
        <w:tc>
          <w:tcPr>
            <w:tcW w:w="1119" w:type="dxa"/>
            <w:noWrap/>
            <w:vAlign w:val="bottom"/>
          </w:tcPr>
          <w:p w14:paraId="114BBFC9" w14:textId="77777777" w:rsidR="002D5F0C" w:rsidRPr="00EC23EB" w:rsidRDefault="002D5F0C" w:rsidP="002739C5">
            <w:pPr>
              <w:keepNext/>
              <w:keepLines/>
              <w:spacing w:before="0" w:after="0"/>
              <w:jc w:val="right"/>
              <w:rPr>
                <w:rFonts w:ascii="Arial Narrow" w:eastAsia="Arial Narrow" w:hAnsi="Arial Narrow" w:cs="Arial Narrow"/>
                <w:i/>
                <w:iCs/>
              </w:rPr>
            </w:pPr>
            <w:r w:rsidRPr="00EC23EB">
              <w:rPr>
                <w:rFonts w:ascii="Arial Narrow" w:eastAsia="Arial Narrow" w:hAnsi="Arial Narrow" w:cs="Arial Narrow"/>
                <w:i/>
                <w:iCs/>
              </w:rPr>
              <w:t>6.68</w:t>
            </w:r>
          </w:p>
        </w:tc>
        <w:tc>
          <w:tcPr>
            <w:tcW w:w="1119" w:type="dxa"/>
            <w:noWrap/>
            <w:vAlign w:val="bottom"/>
          </w:tcPr>
          <w:p w14:paraId="22093F17" w14:textId="77777777" w:rsidR="002D5F0C" w:rsidRPr="00EC23EB" w:rsidRDefault="002D5F0C" w:rsidP="002739C5">
            <w:pPr>
              <w:keepNext/>
              <w:keepLines/>
              <w:spacing w:before="0" w:after="0"/>
              <w:jc w:val="right"/>
              <w:rPr>
                <w:rFonts w:ascii="Arial Narrow" w:eastAsia="Arial Narrow" w:hAnsi="Arial Narrow" w:cs="Arial Narrow"/>
                <w:i/>
                <w:iCs/>
              </w:rPr>
            </w:pPr>
            <w:r w:rsidRPr="00EC23EB">
              <w:rPr>
                <w:rFonts w:ascii="Arial Narrow" w:eastAsia="Arial Narrow" w:hAnsi="Arial Narrow" w:cs="Arial Narrow"/>
                <w:i/>
                <w:iCs/>
              </w:rPr>
              <w:t>6.68</w:t>
            </w:r>
          </w:p>
        </w:tc>
        <w:tc>
          <w:tcPr>
            <w:tcW w:w="1119" w:type="dxa"/>
            <w:noWrap/>
            <w:vAlign w:val="bottom"/>
          </w:tcPr>
          <w:p w14:paraId="57C60A41" w14:textId="77777777" w:rsidR="002D5F0C" w:rsidRPr="00EC23EB" w:rsidRDefault="002D5F0C" w:rsidP="002739C5">
            <w:pPr>
              <w:keepNext/>
              <w:keepLines/>
              <w:spacing w:before="0" w:after="0"/>
              <w:jc w:val="right"/>
              <w:rPr>
                <w:rFonts w:ascii="Arial Narrow" w:eastAsia="Arial Narrow" w:hAnsi="Arial Narrow" w:cs="Arial Narrow"/>
                <w:i/>
                <w:iCs/>
              </w:rPr>
            </w:pPr>
            <w:r w:rsidRPr="00EC23EB">
              <w:rPr>
                <w:rFonts w:ascii="Arial Narrow" w:eastAsia="Arial Narrow" w:hAnsi="Arial Narrow" w:cs="Arial Narrow"/>
                <w:i/>
                <w:iCs/>
              </w:rPr>
              <w:t>6.68</w:t>
            </w:r>
          </w:p>
        </w:tc>
        <w:tc>
          <w:tcPr>
            <w:tcW w:w="1119" w:type="dxa"/>
            <w:noWrap/>
            <w:vAlign w:val="bottom"/>
          </w:tcPr>
          <w:p w14:paraId="63844297" w14:textId="77777777" w:rsidR="002D5F0C" w:rsidRPr="00EC23EB" w:rsidRDefault="002D5F0C" w:rsidP="002739C5">
            <w:pPr>
              <w:keepNext/>
              <w:keepLines/>
              <w:spacing w:before="0" w:after="0"/>
              <w:jc w:val="right"/>
              <w:rPr>
                <w:rFonts w:ascii="Arial Narrow" w:eastAsia="Arial Narrow" w:hAnsi="Arial Narrow" w:cs="Arial Narrow"/>
                <w:i/>
                <w:iCs/>
              </w:rPr>
            </w:pPr>
            <w:r w:rsidRPr="00EC23EB">
              <w:rPr>
                <w:rFonts w:ascii="Arial Narrow" w:eastAsia="Arial Narrow" w:hAnsi="Arial Narrow" w:cs="Arial Narrow"/>
                <w:i/>
                <w:iCs/>
              </w:rPr>
              <w:t>6.69</w:t>
            </w:r>
          </w:p>
        </w:tc>
        <w:tc>
          <w:tcPr>
            <w:tcW w:w="1119" w:type="dxa"/>
            <w:noWrap/>
            <w:vAlign w:val="bottom"/>
          </w:tcPr>
          <w:p w14:paraId="63FB9908" w14:textId="77777777" w:rsidR="002D5F0C" w:rsidRPr="00EC23EB" w:rsidRDefault="002D5F0C" w:rsidP="002739C5">
            <w:pPr>
              <w:keepNext/>
              <w:keepLines/>
              <w:spacing w:before="0" w:after="0"/>
              <w:jc w:val="right"/>
              <w:rPr>
                <w:rFonts w:ascii="Arial Narrow" w:eastAsia="Arial Narrow" w:hAnsi="Arial Narrow" w:cs="Arial Narrow"/>
                <w:i/>
                <w:iCs/>
              </w:rPr>
            </w:pPr>
            <w:r w:rsidRPr="00EC23EB">
              <w:rPr>
                <w:rFonts w:ascii="Arial Narrow" w:eastAsia="Arial Narrow" w:hAnsi="Arial Narrow" w:cs="Arial Narrow"/>
                <w:i/>
                <w:iCs/>
              </w:rPr>
              <w:t>6.69</w:t>
            </w:r>
          </w:p>
        </w:tc>
      </w:tr>
      <w:tr w:rsidR="00EC23EB" w:rsidRPr="00EC23EB" w14:paraId="3026A512" w14:textId="77777777" w:rsidTr="00175863">
        <w:trPr>
          <w:trHeight w:val="439"/>
        </w:trPr>
        <w:tc>
          <w:tcPr>
            <w:tcW w:w="3006" w:type="dxa"/>
            <w:noWrap/>
            <w:vAlign w:val="bottom"/>
          </w:tcPr>
          <w:p w14:paraId="719F339A"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Number of affected cases with IOGSD II (9.43%)</w:t>
            </w:r>
          </w:p>
        </w:tc>
        <w:tc>
          <w:tcPr>
            <w:tcW w:w="1119" w:type="dxa"/>
            <w:noWrap/>
            <w:vAlign w:val="bottom"/>
          </w:tcPr>
          <w:p w14:paraId="038B856C"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1.00</w:t>
            </w:r>
          </w:p>
        </w:tc>
        <w:tc>
          <w:tcPr>
            <w:tcW w:w="1119" w:type="dxa"/>
            <w:noWrap/>
            <w:vAlign w:val="bottom"/>
          </w:tcPr>
          <w:p w14:paraId="1A8A380F"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1.00</w:t>
            </w:r>
          </w:p>
        </w:tc>
        <w:tc>
          <w:tcPr>
            <w:tcW w:w="1119" w:type="dxa"/>
            <w:noWrap/>
            <w:vAlign w:val="bottom"/>
          </w:tcPr>
          <w:p w14:paraId="4395574A"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1.00</w:t>
            </w:r>
          </w:p>
        </w:tc>
        <w:tc>
          <w:tcPr>
            <w:tcW w:w="1119" w:type="dxa"/>
            <w:noWrap/>
            <w:vAlign w:val="bottom"/>
          </w:tcPr>
          <w:p w14:paraId="5342826E"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1.00</w:t>
            </w:r>
          </w:p>
        </w:tc>
        <w:tc>
          <w:tcPr>
            <w:tcW w:w="1119" w:type="dxa"/>
            <w:noWrap/>
            <w:vAlign w:val="bottom"/>
          </w:tcPr>
          <w:p w14:paraId="399299EA"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1.00</w:t>
            </w:r>
          </w:p>
        </w:tc>
        <w:tc>
          <w:tcPr>
            <w:tcW w:w="1119" w:type="dxa"/>
            <w:noWrap/>
            <w:vAlign w:val="bottom"/>
          </w:tcPr>
          <w:p w14:paraId="48278BAF"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1.00</w:t>
            </w:r>
          </w:p>
        </w:tc>
      </w:tr>
      <w:tr w:rsidR="00EC23EB" w:rsidRPr="00EC23EB" w14:paraId="310BCCD3" w14:textId="77777777" w:rsidTr="00175863">
        <w:trPr>
          <w:trHeight w:val="439"/>
        </w:trPr>
        <w:tc>
          <w:tcPr>
            <w:tcW w:w="3006" w:type="dxa"/>
            <w:noWrap/>
            <w:vAlign w:val="bottom"/>
          </w:tcPr>
          <w:p w14:paraId="55977DFA"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Number of affected cases with LOGSD II (90.57%)</w:t>
            </w:r>
          </w:p>
        </w:tc>
        <w:tc>
          <w:tcPr>
            <w:tcW w:w="1119" w:type="dxa"/>
            <w:noWrap/>
            <w:vAlign w:val="bottom"/>
          </w:tcPr>
          <w:p w14:paraId="2FC8C2E0"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5.67</w:t>
            </w:r>
          </w:p>
        </w:tc>
        <w:tc>
          <w:tcPr>
            <w:tcW w:w="1119" w:type="dxa"/>
            <w:noWrap/>
            <w:vAlign w:val="bottom"/>
          </w:tcPr>
          <w:p w14:paraId="43E8EA29"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5.67</w:t>
            </w:r>
          </w:p>
        </w:tc>
        <w:tc>
          <w:tcPr>
            <w:tcW w:w="1119" w:type="dxa"/>
            <w:noWrap/>
            <w:vAlign w:val="bottom"/>
          </w:tcPr>
          <w:p w14:paraId="596BF81E"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5.68</w:t>
            </w:r>
          </w:p>
        </w:tc>
        <w:tc>
          <w:tcPr>
            <w:tcW w:w="1119" w:type="dxa"/>
            <w:noWrap/>
            <w:vAlign w:val="bottom"/>
          </w:tcPr>
          <w:p w14:paraId="1E1A6CD8"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5.68</w:t>
            </w:r>
          </w:p>
        </w:tc>
        <w:tc>
          <w:tcPr>
            <w:tcW w:w="1119" w:type="dxa"/>
            <w:noWrap/>
            <w:vAlign w:val="bottom"/>
          </w:tcPr>
          <w:p w14:paraId="76CE5B0E"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5.68</w:t>
            </w:r>
          </w:p>
        </w:tc>
        <w:tc>
          <w:tcPr>
            <w:tcW w:w="1119" w:type="dxa"/>
            <w:noWrap/>
            <w:vAlign w:val="bottom"/>
          </w:tcPr>
          <w:p w14:paraId="658817F4" w14:textId="77777777" w:rsidR="002D5F0C" w:rsidRPr="00EC23EB" w:rsidRDefault="002D5F0C" w:rsidP="002739C5">
            <w:pPr>
              <w:keepNext/>
              <w:keepLines/>
              <w:spacing w:after="0"/>
              <w:jc w:val="right"/>
              <w:rPr>
                <w:rFonts w:ascii="Arial Narrow" w:eastAsia="Arial Narrow" w:hAnsi="Arial Narrow" w:cs="Arial Narrow"/>
                <w:i/>
                <w:iCs/>
              </w:rPr>
            </w:pPr>
            <w:r w:rsidRPr="00EC23EB">
              <w:rPr>
                <w:rFonts w:ascii="Arial Narrow" w:hAnsi="Arial Narrow"/>
                <w:i/>
                <w:iCs/>
              </w:rPr>
              <w:t>5.69</w:t>
            </w:r>
          </w:p>
        </w:tc>
      </w:tr>
      <w:tr w:rsidR="00B12AFD" w:rsidRPr="00EC23EB" w14:paraId="22A665B5" w14:textId="77777777" w:rsidTr="007229D6">
        <w:trPr>
          <w:trHeight w:val="439"/>
        </w:trPr>
        <w:tc>
          <w:tcPr>
            <w:tcW w:w="3006" w:type="dxa"/>
            <w:noWrap/>
            <w:vAlign w:val="bottom"/>
          </w:tcPr>
          <w:p w14:paraId="2CBD84AF" w14:textId="77777777" w:rsidR="00B12AFD" w:rsidRPr="00EC23EB" w:rsidRDefault="00B12AFD" w:rsidP="002739C5">
            <w:pPr>
              <w:keepNext/>
              <w:keepLines/>
              <w:spacing w:after="0"/>
              <w:rPr>
                <w:rFonts w:ascii="Arial Narrow" w:hAnsi="Arial Narrow"/>
                <w:i/>
                <w:iCs/>
              </w:rPr>
            </w:pPr>
            <w:r w:rsidRPr="00EC23EB">
              <w:rPr>
                <w:rFonts w:ascii="Arial Narrow" w:hAnsi="Arial Narrow"/>
                <w:i/>
                <w:iCs/>
              </w:rPr>
              <w:t>ERT costs, IOGSD II (first year of birth only)</w:t>
            </w:r>
          </w:p>
        </w:tc>
        <w:tc>
          <w:tcPr>
            <w:tcW w:w="1119" w:type="dxa"/>
            <w:noWrap/>
          </w:tcPr>
          <w:p w14:paraId="7D97F2BB" w14:textId="4F265EA7" w:rsidR="00B12AFD" w:rsidRPr="00931D42" w:rsidRDefault="00B12AFD" w:rsidP="002739C5">
            <w:pPr>
              <w:keepNext/>
              <w:keepLines/>
              <w:spacing w:after="0"/>
              <w:jc w:val="right"/>
              <w:rPr>
                <w:rFonts w:ascii="Arial Narrow" w:hAnsi="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4947E2E0" w14:textId="0E0A187E" w:rsidR="00B12AFD" w:rsidRPr="00931D42" w:rsidRDefault="00B12AFD" w:rsidP="002739C5">
            <w:pPr>
              <w:keepNext/>
              <w:keepLines/>
              <w:spacing w:after="0"/>
              <w:jc w:val="right"/>
              <w:rPr>
                <w:rFonts w:ascii="Arial Narrow" w:hAnsi="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65D7776D" w14:textId="345A5BDC" w:rsidR="00B12AFD" w:rsidRPr="00931D42" w:rsidRDefault="00B12AFD" w:rsidP="002739C5">
            <w:pPr>
              <w:keepNext/>
              <w:keepLines/>
              <w:spacing w:after="0"/>
              <w:jc w:val="right"/>
              <w:rPr>
                <w:rFonts w:ascii="Arial Narrow" w:hAnsi="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160D7873" w14:textId="0982E8B5" w:rsidR="00B12AFD" w:rsidRPr="00931D42" w:rsidRDefault="00B12AFD" w:rsidP="002739C5">
            <w:pPr>
              <w:keepNext/>
              <w:keepLines/>
              <w:spacing w:after="0"/>
              <w:jc w:val="right"/>
              <w:rPr>
                <w:rFonts w:ascii="Arial Narrow" w:hAnsi="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1DD2A42E" w14:textId="7E261CCD" w:rsidR="00B12AFD" w:rsidRPr="00931D42" w:rsidRDefault="00B12AFD" w:rsidP="002739C5">
            <w:pPr>
              <w:keepNext/>
              <w:keepLines/>
              <w:spacing w:after="0"/>
              <w:jc w:val="right"/>
              <w:rPr>
                <w:rFonts w:ascii="Arial Narrow" w:hAnsi="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34F1285E" w14:textId="172BD564" w:rsidR="00B12AFD" w:rsidRPr="00931D42" w:rsidRDefault="00B12AFD" w:rsidP="002739C5">
            <w:pPr>
              <w:keepNext/>
              <w:keepLines/>
              <w:spacing w:after="0"/>
              <w:jc w:val="right"/>
              <w:rPr>
                <w:rFonts w:ascii="Arial Narrow" w:hAnsi="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B12AFD" w:rsidRPr="00EC23EB" w14:paraId="4F668BD0" w14:textId="77777777" w:rsidTr="007229D6">
        <w:trPr>
          <w:trHeight w:val="439"/>
        </w:trPr>
        <w:tc>
          <w:tcPr>
            <w:tcW w:w="3006" w:type="dxa"/>
            <w:noWrap/>
            <w:vAlign w:val="bottom"/>
          </w:tcPr>
          <w:p w14:paraId="64989623" w14:textId="77777777" w:rsidR="00B12AFD" w:rsidRPr="00EC23EB" w:rsidRDefault="00B12AFD" w:rsidP="002739C5">
            <w:pPr>
              <w:keepNext/>
              <w:keepLines/>
              <w:spacing w:after="0"/>
              <w:rPr>
                <w:rFonts w:ascii="Arial Narrow" w:hAnsi="Arial Narrow"/>
                <w:i/>
                <w:iCs/>
              </w:rPr>
            </w:pPr>
            <w:r w:rsidRPr="00EC23EB">
              <w:rPr>
                <w:rFonts w:ascii="Arial Narrow" w:hAnsi="Arial Narrow"/>
                <w:i/>
                <w:iCs/>
              </w:rPr>
              <w:t>ERT costs, LOGSD II</w:t>
            </w:r>
          </w:p>
        </w:tc>
        <w:tc>
          <w:tcPr>
            <w:tcW w:w="1119" w:type="dxa"/>
            <w:noWrap/>
          </w:tcPr>
          <w:p w14:paraId="4CC49E32" w14:textId="07A62CFB" w:rsidR="00B12AFD" w:rsidRPr="00931D42" w:rsidRDefault="00B12AFD" w:rsidP="002739C5">
            <w:pPr>
              <w:keepNext/>
              <w:keepLines/>
              <w:spacing w:after="0"/>
              <w:jc w:val="right"/>
              <w:rPr>
                <w:rFonts w:ascii="Arial Narrow" w:hAnsi="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2DF5CA11" w14:textId="0D184FE2" w:rsidR="00B12AFD" w:rsidRPr="00931D42" w:rsidRDefault="00B12AFD" w:rsidP="002739C5">
            <w:pPr>
              <w:keepNext/>
              <w:keepLines/>
              <w:spacing w:after="0"/>
              <w:jc w:val="right"/>
              <w:rPr>
                <w:rFonts w:ascii="Arial Narrow" w:hAnsi="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4955C937" w14:textId="78BD5B81" w:rsidR="00B12AFD" w:rsidRPr="00931D42" w:rsidRDefault="00B12AFD" w:rsidP="002739C5">
            <w:pPr>
              <w:keepNext/>
              <w:keepLines/>
              <w:spacing w:after="0"/>
              <w:jc w:val="right"/>
              <w:rPr>
                <w:rFonts w:ascii="Arial Narrow" w:hAnsi="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7B15110D" w14:textId="136C4BDE" w:rsidR="00B12AFD" w:rsidRPr="00931D42" w:rsidRDefault="00B12AFD" w:rsidP="002739C5">
            <w:pPr>
              <w:keepNext/>
              <w:keepLines/>
              <w:spacing w:after="0"/>
              <w:jc w:val="right"/>
              <w:rPr>
                <w:rFonts w:ascii="Arial Narrow" w:hAnsi="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723C2A43" w14:textId="3CA73B9F" w:rsidR="00B12AFD" w:rsidRPr="00931D42" w:rsidRDefault="00B12AFD" w:rsidP="002739C5">
            <w:pPr>
              <w:keepNext/>
              <w:keepLines/>
              <w:spacing w:after="0"/>
              <w:jc w:val="right"/>
              <w:rPr>
                <w:rFonts w:ascii="Arial Narrow" w:hAnsi="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092E4700" w14:textId="76A71089" w:rsidR="00B12AFD" w:rsidRPr="00931D42" w:rsidRDefault="00B12AFD" w:rsidP="002739C5">
            <w:pPr>
              <w:keepNext/>
              <w:keepLines/>
              <w:spacing w:after="0"/>
              <w:jc w:val="right"/>
              <w:rPr>
                <w:rFonts w:ascii="Arial Narrow" w:hAnsi="Arial Narrow"/>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B12AFD" w:rsidRPr="00EC23EB" w14:paraId="073BE70A" w14:textId="77777777" w:rsidTr="007229D6">
        <w:trPr>
          <w:trHeight w:val="439"/>
        </w:trPr>
        <w:tc>
          <w:tcPr>
            <w:tcW w:w="3006" w:type="dxa"/>
            <w:noWrap/>
            <w:vAlign w:val="bottom"/>
            <w:hideMark/>
          </w:tcPr>
          <w:p w14:paraId="2C0E88F9" w14:textId="77777777" w:rsidR="00B12AFD" w:rsidRPr="00EC23EB" w:rsidRDefault="00B12AFD" w:rsidP="002739C5">
            <w:pPr>
              <w:keepNext/>
              <w:keepLines/>
              <w:spacing w:before="0" w:after="0"/>
              <w:rPr>
                <w:rFonts w:ascii="Arial Narrow" w:eastAsia="Arial Narrow" w:hAnsi="Arial Narrow" w:cs="Arial Narrow"/>
                <w:i/>
                <w:iCs/>
              </w:rPr>
            </w:pPr>
            <w:r w:rsidRPr="00EC23EB">
              <w:rPr>
                <w:rFonts w:ascii="Arial Narrow" w:eastAsia="Arial Narrow" w:hAnsi="Arial Narrow" w:cs="Arial Narrow"/>
                <w:i/>
                <w:iCs/>
              </w:rPr>
              <w:t>Total costs to LSDP (current practice)</w:t>
            </w:r>
          </w:p>
        </w:tc>
        <w:tc>
          <w:tcPr>
            <w:tcW w:w="1119" w:type="dxa"/>
            <w:noWrap/>
          </w:tcPr>
          <w:p w14:paraId="44A98D33" w14:textId="02324671" w:rsidR="00B12AFD" w:rsidRPr="00931D42" w:rsidRDefault="00B12AFD" w:rsidP="002739C5">
            <w:pPr>
              <w:keepNext/>
              <w:keepLines/>
              <w:spacing w:before="0" w:after="0"/>
              <w:jc w:val="right"/>
              <w:rPr>
                <w:rFonts w:ascii="Arial Narrow" w:eastAsia="Arial Narrow" w:hAnsi="Arial Narrow" w:cs="Arial Narrow"/>
                <w:b/>
                <w:bCs/>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379AC814" w14:textId="5DC51B77" w:rsidR="00B12AFD" w:rsidRPr="00931D42" w:rsidRDefault="00B12AFD" w:rsidP="002739C5">
            <w:pPr>
              <w:keepNext/>
              <w:keepLines/>
              <w:spacing w:before="0" w:after="0"/>
              <w:jc w:val="right"/>
              <w:rPr>
                <w:rFonts w:ascii="Arial Narrow" w:eastAsia="Arial Narrow" w:hAnsi="Arial Narrow" w:cs="Arial Narrow"/>
                <w:b/>
                <w:bCs/>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47FA65FB" w14:textId="6DBB89D5" w:rsidR="00B12AFD" w:rsidRPr="00931D42" w:rsidRDefault="00B12AFD" w:rsidP="002739C5">
            <w:pPr>
              <w:keepNext/>
              <w:keepLines/>
              <w:spacing w:before="0" w:after="0"/>
              <w:jc w:val="right"/>
              <w:rPr>
                <w:rFonts w:ascii="Arial Narrow" w:eastAsia="Arial Narrow" w:hAnsi="Arial Narrow" w:cs="Arial Narrow"/>
                <w:b/>
                <w:bCs/>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6C27294B" w14:textId="4EA3ACE9" w:rsidR="00B12AFD" w:rsidRPr="00931D42" w:rsidRDefault="00B12AFD" w:rsidP="002739C5">
            <w:pPr>
              <w:keepNext/>
              <w:keepLines/>
              <w:spacing w:before="0" w:after="0"/>
              <w:jc w:val="right"/>
              <w:rPr>
                <w:rFonts w:ascii="Arial Narrow" w:eastAsia="Arial Narrow" w:hAnsi="Arial Narrow" w:cs="Arial Narrow"/>
                <w:b/>
                <w:bCs/>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35681DA7" w14:textId="782D3C49" w:rsidR="00B12AFD" w:rsidRPr="00931D42" w:rsidRDefault="00B12AFD" w:rsidP="002739C5">
            <w:pPr>
              <w:keepNext/>
              <w:keepLines/>
              <w:spacing w:before="0" w:after="0"/>
              <w:jc w:val="right"/>
              <w:rPr>
                <w:rFonts w:ascii="Arial Narrow" w:eastAsia="Arial Narrow" w:hAnsi="Arial Narrow" w:cs="Arial Narrow"/>
                <w:b/>
                <w:bCs/>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noWrap/>
          </w:tcPr>
          <w:p w14:paraId="76466FCC" w14:textId="7A6EADF5" w:rsidR="00B12AFD" w:rsidRPr="00931D42" w:rsidRDefault="00B12AFD" w:rsidP="002739C5">
            <w:pPr>
              <w:keepNext/>
              <w:keepLines/>
              <w:spacing w:before="0" w:after="0"/>
              <w:jc w:val="right"/>
              <w:rPr>
                <w:rFonts w:ascii="Arial Narrow" w:eastAsia="Arial Narrow" w:hAnsi="Arial Narrow" w:cs="Arial Narrow"/>
                <w:b/>
                <w:bCs/>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r w:rsidR="00B12AFD" w:rsidRPr="00EC23EB" w14:paraId="33797AEF" w14:textId="77777777" w:rsidTr="007229D6">
        <w:trPr>
          <w:trHeight w:val="439"/>
        </w:trPr>
        <w:tc>
          <w:tcPr>
            <w:tcW w:w="3006" w:type="dxa"/>
            <w:noWrap/>
            <w:vAlign w:val="bottom"/>
            <w:hideMark/>
          </w:tcPr>
          <w:p w14:paraId="201B1CE9" w14:textId="77777777" w:rsidR="00B12AFD" w:rsidRPr="00EC23EB" w:rsidRDefault="00B12AFD" w:rsidP="002739C5">
            <w:pPr>
              <w:keepNext/>
              <w:keepLines/>
              <w:spacing w:before="0" w:after="0"/>
              <w:rPr>
                <w:rFonts w:ascii="Arial Narrow" w:eastAsia="Arial Narrow" w:hAnsi="Arial Narrow" w:cs="Arial Narrow"/>
                <w:b/>
                <w:bCs/>
                <w:i/>
                <w:iCs/>
              </w:rPr>
            </w:pPr>
            <w:r w:rsidRPr="00EC23EB">
              <w:rPr>
                <w:rFonts w:ascii="Arial Narrow" w:eastAsia="Arial Narrow" w:hAnsi="Arial Narrow" w:cs="Arial Narrow"/>
                <w:b/>
                <w:bCs/>
                <w:i/>
                <w:iCs/>
              </w:rPr>
              <w:t>Net total cost to LSDP with NBS</w:t>
            </w:r>
          </w:p>
        </w:tc>
        <w:tc>
          <w:tcPr>
            <w:tcW w:w="1119" w:type="dxa"/>
            <w:shd w:val="clear" w:color="auto" w:fill="E7E6E6" w:themeFill="background2"/>
            <w:noWrap/>
          </w:tcPr>
          <w:p w14:paraId="4B30EBEA" w14:textId="03149083" w:rsidR="00B12AFD" w:rsidRPr="00931D42" w:rsidRDefault="00B12AFD" w:rsidP="002739C5">
            <w:pPr>
              <w:keepNext/>
              <w:keepLines/>
              <w:spacing w:before="0" w:after="0"/>
              <w:jc w:val="right"/>
              <w:rPr>
                <w:rFonts w:ascii="Arial Narrow" w:eastAsia="Arial Narrow" w:hAnsi="Arial Narrow" w:cs="Arial Narrow"/>
                <w:b/>
                <w:bCs/>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shd w:val="clear" w:color="auto" w:fill="E7E6E6" w:themeFill="background2"/>
            <w:noWrap/>
          </w:tcPr>
          <w:p w14:paraId="2ED73E9C" w14:textId="46F8927C" w:rsidR="00B12AFD" w:rsidRPr="00931D42" w:rsidRDefault="00B12AFD" w:rsidP="002739C5">
            <w:pPr>
              <w:keepNext/>
              <w:keepLines/>
              <w:spacing w:before="0" w:after="0"/>
              <w:jc w:val="right"/>
              <w:rPr>
                <w:rFonts w:ascii="Arial Narrow" w:eastAsia="Arial Narrow" w:hAnsi="Arial Narrow" w:cs="Arial Narrow"/>
                <w:b/>
                <w:bCs/>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shd w:val="clear" w:color="auto" w:fill="E7E6E6" w:themeFill="background2"/>
            <w:noWrap/>
          </w:tcPr>
          <w:p w14:paraId="1289AEE8" w14:textId="49186EEC" w:rsidR="00B12AFD" w:rsidRPr="00931D42" w:rsidRDefault="00B12AFD" w:rsidP="002739C5">
            <w:pPr>
              <w:keepNext/>
              <w:keepLines/>
              <w:spacing w:before="0" w:after="0"/>
              <w:jc w:val="right"/>
              <w:rPr>
                <w:rFonts w:ascii="Arial Narrow" w:eastAsia="Arial Narrow" w:hAnsi="Arial Narrow" w:cs="Arial Narrow"/>
                <w:b/>
                <w:bCs/>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shd w:val="clear" w:color="auto" w:fill="E7E6E6" w:themeFill="background2"/>
            <w:noWrap/>
          </w:tcPr>
          <w:p w14:paraId="4707B1A7" w14:textId="49643657" w:rsidR="00B12AFD" w:rsidRPr="00931D42" w:rsidRDefault="00B12AFD" w:rsidP="002739C5">
            <w:pPr>
              <w:keepNext/>
              <w:keepLines/>
              <w:spacing w:before="0" w:after="0"/>
              <w:jc w:val="right"/>
              <w:rPr>
                <w:rFonts w:ascii="Arial Narrow" w:eastAsia="Arial Narrow" w:hAnsi="Arial Narrow" w:cs="Arial Narrow"/>
                <w:b/>
                <w:bCs/>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shd w:val="clear" w:color="auto" w:fill="E7E6E6" w:themeFill="background2"/>
            <w:noWrap/>
          </w:tcPr>
          <w:p w14:paraId="0D37366D" w14:textId="248582F2" w:rsidR="00B12AFD" w:rsidRPr="00931D42" w:rsidRDefault="00B12AFD" w:rsidP="002739C5">
            <w:pPr>
              <w:keepNext/>
              <w:keepLines/>
              <w:spacing w:before="0" w:after="0"/>
              <w:jc w:val="right"/>
              <w:rPr>
                <w:rFonts w:ascii="Arial Narrow" w:eastAsia="Arial Narrow" w:hAnsi="Arial Narrow" w:cs="Arial Narrow"/>
                <w:b/>
                <w:bCs/>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c>
          <w:tcPr>
            <w:tcW w:w="1119" w:type="dxa"/>
            <w:shd w:val="clear" w:color="auto" w:fill="E7E6E6" w:themeFill="background2"/>
            <w:noWrap/>
          </w:tcPr>
          <w:p w14:paraId="1A2FB683" w14:textId="30FD4180" w:rsidR="00B12AFD" w:rsidRPr="00931D42" w:rsidRDefault="00B12AFD" w:rsidP="002739C5">
            <w:pPr>
              <w:keepNext/>
              <w:keepLines/>
              <w:spacing w:before="0" w:after="0"/>
              <w:jc w:val="right"/>
              <w:rPr>
                <w:rFonts w:ascii="Arial Narrow" w:eastAsia="Arial Narrow" w:hAnsi="Arial Narrow" w:cs="Arial Narrow"/>
                <w:b/>
                <w:bCs/>
                <w:i/>
                <w:iCs/>
                <w:highlight w:val="yellow"/>
              </w:rPr>
            </w:pPr>
            <w:r w:rsidRPr="00DC3ADE">
              <w:rPr>
                <w:rFonts w:ascii="Arial Narrow" w:hAnsi="Arial Narrow" w:cs="Calibri"/>
                <w:i/>
                <w:iCs/>
                <w:color w:val="000000"/>
              </w:rPr>
              <w:t>$</w:t>
            </w:r>
            <w:r w:rsidRPr="00DC3ADE">
              <w:rPr>
                <w:rFonts w:ascii="Arial Narrow" w:hAnsi="Arial Narrow" w:cs="Calibri"/>
                <w:b/>
                <w:bCs/>
                <w:i/>
                <w:iCs/>
                <w:color w:val="000000"/>
              </w:rPr>
              <w:t>Redacted</w:t>
            </w:r>
          </w:p>
        </w:tc>
      </w:tr>
    </w:tbl>
    <w:p w14:paraId="566DF744" w14:textId="77777777" w:rsidR="002D5F0C" w:rsidRPr="00EC23EB" w:rsidRDefault="002D5F0C" w:rsidP="002739C5">
      <w:pPr>
        <w:pStyle w:val="Tablenotes"/>
        <w:keepNext/>
        <w:keepLines/>
        <w:spacing w:before="0" w:after="0"/>
      </w:pPr>
      <w:r w:rsidRPr="00EC23EB">
        <w:t>ERT = enzyme replacement therapy; GSD II = glycogen storage disease Type II; IOGSD II = infantile-onset glycogen storage disease Type II; LOGSD II = late-onset glycogen storage disease Type II; LSDP = Life Saving Drugs Program; NBS = newborn bloodspot screening</w:t>
      </w:r>
    </w:p>
    <w:p w14:paraId="53B3E0BE" w14:textId="77777777" w:rsidR="002D5F0C" w:rsidRPr="00EC23EB" w:rsidRDefault="002D5F0C" w:rsidP="002739C5">
      <w:pPr>
        <w:pStyle w:val="Tablenotes"/>
        <w:keepNext/>
        <w:keepLines/>
        <w:spacing w:before="0" w:after="0"/>
      </w:pPr>
      <w:r w:rsidRPr="00EC23EB">
        <w:rPr>
          <w:vertAlign w:val="superscript"/>
        </w:rPr>
        <w:t>1</w:t>
      </w:r>
      <w:r w:rsidRPr="00EC23EB">
        <w:t>ERT costs for IOGSD II are included for the year of diagnosis only as the costs for subsequent years would be similar across both strategies.</w:t>
      </w:r>
    </w:p>
    <w:p w14:paraId="760EF326" w14:textId="77777777" w:rsidR="00367DE1" w:rsidRPr="00EC23EB" w:rsidRDefault="00367DE1" w:rsidP="00EC23EB">
      <w:pPr>
        <w:keepNext/>
        <w:keepLines/>
        <w:spacing w:before="0" w:after="0"/>
        <w:rPr>
          <w:rFonts w:ascii="Arial Narrow" w:hAnsi="Arial Narrow"/>
          <w:i/>
          <w:iCs/>
          <w:sz w:val="18"/>
          <w:szCs w:val="18"/>
        </w:rPr>
      </w:pPr>
      <w:r w:rsidRPr="00EC23EB">
        <w:rPr>
          <w:rFonts w:ascii="Arial Narrow" w:hAnsi="Arial Narrow"/>
          <w:i/>
          <w:iCs/>
          <w:sz w:val="18"/>
          <w:szCs w:val="18"/>
        </w:rPr>
        <w:t>Source: Rejoinder from assessment group</w:t>
      </w:r>
    </w:p>
    <w:p w14:paraId="62349E4E" w14:textId="78992324" w:rsidR="004965D0" w:rsidRDefault="002D5F0C" w:rsidP="002739C5">
      <w:pPr>
        <w:pStyle w:val="Tablenotes"/>
        <w:spacing w:before="0" w:after="0"/>
        <w:rPr>
          <w:lang w:val="en-NZ"/>
        </w:rPr>
        <w:sectPr w:rsidR="004965D0" w:rsidSect="008B47C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276" w:left="1440" w:header="708" w:footer="708" w:gutter="0"/>
          <w:cols w:space="708"/>
          <w:docGrid w:linePitch="360"/>
        </w:sectPr>
      </w:pPr>
      <w:r w:rsidRPr="00EC23EB">
        <w:t>Shaded cells represent those with changed values from the DCAR base case.</w:t>
      </w:r>
    </w:p>
    <w:p w14:paraId="4799A708" w14:textId="77777777" w:rsidR="003A63D1" w:rsidRPr="003A63D1" w:rsidRDefault="003A63D1" w:rsidP="003A63D1">
      <w:pPr>
        <w:pStyle w:val="Heading2"/>
        <w:numPr>
          <w:ilvl w:val="0"/>
          <w:numId w:val="36"/>
        </w:numPr>
        <w:tabs>
          <w:tab w:val="num" w:pos="360"/>
        </w:tabs>
        <w:ind w:hanging="720"/>
      </w:pPr>
      <w:bookmarkStart w:id="73" w:name="_Toc145678765"/>
      <w:bookmarkStart w:id="74" w:name="_Toc150172410"/>
      <w:bookmarkStart w:id="75" w:name="_Toc153462785"/>
      <w:r w:rsidRPr="003A793E">
        <w:t>Key issues from ESC to MSAC</w:t>
      </w:r>
    </w:p>
    <w:bookmarkEnd w:id="73"/>
    <w:bookmarkEnd w:id="74"/>
    <w:bookmarkEnd w:id="75"/>
    <w:p w14:paraId="7B2288F9" w14:textId="091CE9B3" w:rsidR="00ED5CB7" w:rsidRDefault="003A63D1" w:rsidP="003A63D1">
      <w:pPr>
        <w:pStyle w:val="BoxName0"/>
        <w:pBdr>
          <w:top w:val="single" w:sz="4" w:space="7" w:color="000000"/>
        </w:pBdr>
        <w:spacing w:before="0"/>
      </w:pPr>
      <w:r>
        <w:t>M</w:t>
      </w:r>
      <w:r w:rsidR="00ED5CB7" w:rsidRPr="02E2EE7D">
        <w:t>ain issues for MSAC consideration</w:t>
      </w:r>
    </w:p>
    <w:p w14:paraId="76EDA327" w14:textId="77777777" w:rsidR="00ED5CB7" w:rsidRPr="00DF68C6" w:rsidRDefault="00ED5CB7" w:rsidP="003A63D1">
      <w:pPr>
        <w:pStyle w:val="BoxName0"/>
        <w:pBdr>
          <w:top w:val="single" w:sz="4" w:space="7" w:color="000000"/>
        </w:pBdr>
        <w:ind w:left="284" w:hanging="284"/>
        <w:rPr>
          <w:sz w:val="22"/>
          <w:szCs w:val="22"/>
        </w:rPr>
      </w:pPr>
      <w:r w:rsidRPr="003201E7">
        <w:rPr>
          <w:b w:val="0"/>
          <w:bCs w:val="0"/>
        </w:rPr>
        <w:t>1.</w:t>
      </w:r>
      <w:r>
        <w:tab/>
      </w:r>
      <w:bookmarkStart w:id="76" w:name="_Hlk192434471"/>
      <w:r w:rsidRPr="00DF68C6">
        <w:rPr>
          <w:sz w:val="22"/>
          <w:szCs w:val="22"/>
        </w:rPr>
        <w:t>Is there a suitable screening test(s)</w:t>
      </w:r>
      <w:r>
        <w:rPr>
          <w:sz w:val="22"/>
          <w:szCs w:val="22"/>
        </w:rPr>
        <w:t xml:space="preserve"> </w:t>
      </w:r>
      <w:r w:rsidRPr="00DF68C6">
        <w:rPr>
          <w:sz w:val="22"/>
          <w:szCs w:val="22"/>
        </w:rPr>
        <w:t xml:space="preserve">(with acceptable clinical sensitivity and specificity according to consensus thresholds for what is considered positive) to accurately identify all newborns at risk for all subtypes of the proposed condition? </w:t>
      </w:r>
      <w:bookmarkEnd w:id="76"/>
    </w:p>
    <w:p w14:paraId="15990DBA" w14:textId="77777777" w:rsidR="00ED5CB7" w:rsidRPr="003201E7" w:rsidRDefault="00ED5CB7" w:rsidP="003A63D1">
      <w:pPr>
        <w:pStyle w:val="BoxName0"/>
        <w:pBdr>
          <w:top w:val="single" w:sz="4" w:space="7" w:color="000000"/>
        </w:pBdr>
        <w:ind w:left="284" w:hanging="284"/>
        <w:jc w:val="both"/>
        <w:rPr>
          <w:b w:val="0"/>
          <w:sz w:val="22"/>
          <w:szCs w:val="22"/>
        </w:rPr>
      </w:pPr>
      <w:r>
        <w:rPr>
          <w:b w:val="0"/>
          <w:sz w:val="22"/>
          <w:szCs w:val="22"/>
        </w:rPr>
        <w:tab/>
      </w:r>
      <w:r w:rsidRPr="3C67F618">
        <w:rPr>
          <w:b w:val="0"/>
          <w:sz w:val="22"/>
          <w:szCs w:val="22"/>
        </w:rPr>
        <w:t>First-tier screening based on acid alpha-glucosidase (GAA) enzyme activity cannot detect</w:t>
      </w:r>
      <w:r>
        <w:rPr>
          <w:b w:val="0"/>
          <w:sz w:val="22"/>
          <w:szCs w:val="22"/>
        </w:rPr>
        <w:t xml:space="preserve"> </w:t>
      </w:r>
      <w:r w:rsidRPr="3C67F618">
        <w:rPr>
          <w:b w:val="0"/>
          <w:sz w:val="22"/>
          <w:szCs w:val="22"/>
        </w:rPr>
        <w:t xml:space="preserve">IOGSD II without also detecting </w:t>
      </w:r>
      <w:r w:rsidRPr="3C67F618">
        <w:rPr>
          <w:b w:val="0"/>
          <w:bCs w:val="0"/>
          <w:sz w:val="22"/>
          <w:szCs w:val="22"/>
        </w:rPr>
        <w:t>a proportion of individual</w:t>
      </w:r>
      <w:r>
        <w:rPr>
          <w:b w:val="0"/>
          <w:bCs w:val="0"/>
          <w:sz w:val="22"/>
          <w:szCs w:val="22"/>
        </w:rPr>
        <w:t>s</w:t>
      </w:r>
      <w:r w:rsidRPr="3C67F618">
        <w:rPr>
          <w:b w:val="0"/>
          <w:bCs w:val="0"/>
          <w:sz w:val="22"/>
          <w:szCs w:val="22"/>
        </w:rPr>
        <w:t xml:space="preserve"> </w:t>
      </w:r>
      <w:r w:rsidRPr="3C67F618">
        <w:rPr>
          <w:b w:val="0"/>
          <w:sz w:val="22"/>
          <w:szCs w:val="22"/>
        </w:rPr>
        <w:t>at risk for LOGSD II</w:t>
      </w:r>
      <w:r>
        <w:rPr>
          <w:b w:val="0"/>
          <w:sz w:val="22"/>
          <w:szCs w:val="22"/>
        </w:rPr>
        <w:t xml:space="preserve"> (which is predominantly an adult-onset condition)</w:t>
      </w:r>
      <w:r w:rsidRPr="3C67F618">
        <w:rPr>
          <w:b w:val="0"/>
          <w:sz w:val="22"/>
          <w:szCs w:val="22"/>
        </w:rPr>
        <w:t xml:space="preserve">, </w:t>
      </w:r>
      <w:r>
        <w:rPr>
          <w:b w:val="0"/>
          <w:sz w:val="22"/>
          <w:szCs w:val="22"/>
        </w:rPr>
        <w:t xml:space="preserve">individuals </w:t>
      </w:r>
      <w:r w:rsidRPr="3C67F618">
        <w:rPr>
          <w:b w:val="0"/>
          <w:sz w:val="22"/>
          <w:szCs w:val="22"/>
        </w:rPr>
        <w:t>with low GAA enzyme activity who do not develop clinical features of the condition (</w:t>
      </w:r>
      <w:proofErr w:type="spellStart"/>
      <w:r w:rsidRPr="3C67F618">
        <w:rPr>
          <w:b w:val="0"/>
          <w:sz w:val="22"/>
          <w:szCs w:val="22"/>
        </w:rPr>
        <w:t>pseudodeficiency</w:t>
      </w:r>
      <w:proofErr w:type="spellEnd"/>
      <w:r w:rsidRPr="3C67F618">
        <w:rPr>
          <w:b w:val="0"/>
          <w:sz w:val="22"/>
          <w:szCs w:val="22"/>
        </w:rPr>
        <w:t>)</w:t>
      </w:r>
      <w:r>
        <w:rPr>
          <w:b w:val="0"/>
          <w:sz w:val="22"/>
          <w:szCs w:val="22"/>
        </w:rPr>
        <w:t>,</w:t>
      </w:r>
      <w:r w:rsidRPr="3C67F618">
        <w:rPr>
          <w:b w:val="0"/>
          <w:sz w:val="22"/>
          <w:szCs w:val="22"/>
        </w:rPr>
        <w:t xml:space="preserve"> and </w:t>
      </w:r>
      <w:r>
        <w:rPr>
          <w:b w:val="0"/>
          <w:sz w:val="22"/>
          <w:szCs w:val="22"/>
        </w:rPr>
        <w:t>individuals</w:t>
      </w:r>
      <w:r w:rsidRPr="3C67F618">
        <w:rPr>
          <w:b w:val="0"/>
          <w:sz w:val="22"/>
          <w:szCs w:val="22"/>
        </w:rPr>
        <w:t xml:space="preserve"> who may develop mild phenotypic disease that is currently not diagnosed in the absence of NBS.</w:t>
      </w:r>
    </w:p>
    <w:p w14:paraId="2BB0441B" w14:textId="77777777" w:rsidR="00ED5CB7" w:rsidRPr="003201E7" w:rsidRDefault="00ED5CB7" w:rsidP="003A63D1">
      <w:pPr>
        <w:pStyle w:val="BoxName0"/>
        <w:pBdr>
          <w:top w:val="single" w:sz="4" w:space="7" w:color="000000"/>
        </w:pBdr>
        <w:ind w:left="284" w:hanging="284"/>
        <w:jc w:val="both"/>
        <w:rPr>
          <w:b w:val="0"/>
          <w:sz w:val="22"/>
          <w:szCs w:val="22"/>
        </w:rPr>
      </w:pPr>
      <w:r>
        <w:rPr>
          <w:b w:val="0"/>
          <w:sz w:val="22"/>
          <w:szCs w:val="22"/>
        </w:rPr>
        <w:t xml:space="preserve">     </w:t>
      </w:r>
      <w:r w:rsidRPr="3C67F618">
        <w:rPr>
          <w:b w:val="0"/>
          <w:sz w:val="22"/>
          <w:szCs w:val="22"/>
        </w:rPr>
        <w:t>Second</w:t>
      </w:r>
      <w:r>
        <w:rPr>
          <w:b w:val="0"/>
          <w:sz w:val="22"/>
          <w:szCs w:val="22"/>
        </w:rPr>
        <w:t>-</w:t>
      </w:r>
      <w:r w:rsidRPr="3C67F618">
        <w:rPr>
          <w:b w:val="0"/>
          <w:sz w:val="22"/>
          <w:szCs w:val="22"/>
        </w:rPr>
        <w:t>tier</w:t>
      </w:r>
      <w:r>
        <w:rPr>
          <w:b w:val="0"/>
          <w:sz w:val="22"/>
          <w:szCs w:val="22"/>
        </w:rPr>
        <w:t xml:space="preserve"> genetic</w:t>
      </w:r>
      <w:r w:rsidRPr="3C67F618">
        <w:rPr>
          <w:b w:val="0"/>
          <w:sz w:val="22"/>
          <w:szCs w:val="22"/>
        </w:rPr>
        <w:t xml:space="preserve"> </w:t>
      </w:r>
      <w:r>
        <w:rPr>
          <w:b w:val="0"/>
          <w:sz w:val="22"/>
          <w:szCs w:val="22"/>
        </w:rPr>
        <w:t>screening</w:t>
      </w:r>
      <w:r w:rsidRPr="3C67F618">
        <w:rPr>
          <w:b w:val="0"/>
          <w:sz w:val="22"/>
          <w:szCs w:val="22"/>
        </w:rPr>
        <w:t xml:space="preserve"> </w:t>
      </w:r>
      <w:r>
        <w:rPr>
          <w:b w:val="0"/>
          <w:sz w:val="22"/>
          <w:szCs w:val="22"/>
        </w:rPr>
        <w:t xml:space="preserve">will </w:t>
      </w:r>
      <w:r w:rsidRPr="3C67F618">
        <w:rPr>
          <w:b w:val="0"/>
          <w:sz w:val="22"/>
          <w:szCs w:val="22"/>
        </w:rPr>
        <w:t>identify those with commonly occurring pathogenic</w:t>
      </w:r>
      <w:r>
        <w:rPr>
          <w:b w:val="0"/>
          <w:sz w:val="22"/>
          <w:szCs w:val="22"/>
        </w:rPr>
        <w:t>/likely pathogenic</w:t>
      </w:r>
      <w:r w:rsidRPr="3C67F618">
        <w:rPr>
          <w:b w:val="0"/>
          <w:sz w:val="22"/>
          <w:szCs w:val="22"/>
        </w:rPr>
        <w:t xml:space="preserve"> variants and will rule-out </w:t>
      </w:r>
      <w:r>
        <w:rPr>
          <w:b w:val="0"/>
          <w:sz w:val="22"/>
          <w:szCs w:val="22"/>
        </w:rPr>
        <w:t xml:space="preserve">the need for further testing in some </w:t>
      </w:r>
      <w:r w:rsidRPr="3C67F618">
        <w:rPr>
          <w:b w:val="0"/>
          <w:sz w:val="22"/>
          <w:szCs w:val="22"/>
        </w:rPr>
        <w:t xml:space="preserve">children with </w:t>
      </w:r>
      <w:proofErr w:type="spellStart"/>
      <w:r w:rsidRPr="3C67F618">
        <w:rPr>
          <w:b w:val="0"/>
          <w:sz w:val="22"/>
          <w:szCs w:val="22"/>
        </w:rPr>
        <w:t>pseudodeficiency</w:t>
      </w:r>
      <w:proofErr w:type="spellEnd"/>
      <w:r w:rsidRPr="3C67F618">
        <w:rPr>
          <w:b w:val="0"/>
          <w:sz w:val="22"/>
          <w:szCs w:val="22"/>
        </w:rPr>
        <w:t xml:space="preserve">, </w:t>
      </w:r>
      <w:r>
        <w:rPr>
          <w:b w:val="0"/>
          <w:sz w:val="22"/>
          <w:szCs w:val="22"/>
        </w:rPr>
        <w:t>al</w:t>
      </w:r>
      <w:r w:rsidRPr="3C67F618">
        <w:rPr>
          <w:b w:val="0"/>
          <w:sz w:val="22"/>
          <w:szCs w:val="22"/>
        </w:rPr>
        <w:t xml:space="preserve">though ESC was uncertain if this was a categorical test outcome. This </w:t>
      </w:r>
      <w:r>
        <w:rPr>
          <w:b w:val="0"/>
          <w:sz w:val="22"/>
          <w:szCs w:val="22"/>
        </w:rPr>
        <w:t>second-tier screening</w:t>
      </w:r>
      <w:r w:rsidRPr="3C67F618">
        <w:rPr>
          <w:b w:val="0"/>
          <w:sz w:val="22"/>
          <w:szCs w:val="22"/>
        </w:rPr>
        <w:t xml:space="preserve"> will not exclude </w:t>
      </w:r>
      <w:r>
        <w:rPr>
          <w:b w:val="0"/>
          <w:sz w:val="22"/>
          <w:szCs w:val="22"/>
        </w:rPr>
        <w:t>individuals</w:t>
      </w:r>
      <w:r w:rsidRPr="3C67F618">
        <w:rPr>
          <w:b w:val="0"/>
          <w:sz w:val="22"/>
          <w:szCs w:val="22"/>
        </w:rPr>
        <w:t xml:space="preserve"> who may develop mild phenotypic disease that is currently not diagnosed.</w:t>
      </w:r>
    </w:p>
    <w:p w14:paraId="243187BE" w14:textId="77777777" w:rsidR="00ED5CB7" w:rsidRDefault="00ED5CB7" w:rsidP="003A63D1">
      <w:pPr>
        <w:pStyle w:val="BoxName0"/>
        <w:pBdr>
          <w:top w:val="single" w:sz="4" w:space="7" w:color="000000"/>
        </w:pBdr>
        <w:ind w:left="284" w:hanging="284"/>
        <w:jc w:val="both"/>
        <w:rPr>
          <w:b w:val="0"/>
          <w:sz w:val="22"/>
          <w:szCs w:val="22"/>
        </w:rPr>
      </w:pPr>
      <w:r>
        <w:rPr>
          <w:b w:val="0"/>
          <w:sz w:val="22"/>
          <w:szCs w:val="22"/>
        </w:rPr>
        <w:t xml:space="preserve">     It is estimated that screening 304,655 Australian newborns per year (which was the projected number of newborns to be screened in the first year of NBS for GSD II if implemented in 2025-26) will identify </w:t>
      </w:r>
      <w:r w:rsidRPr="003E1386">
        <w:rPr>
          <w:b w:val="0"/>
          <w:sz w:val="22"/>
          <w:szCs w:val="22"/>
        </w:rPr>
        <w:t xml:space="preserve">1.0 </w:t>
      </w:r>
      <w:r>
        <w:rPr>
          <w:b w:val="0"/>
          <w:sz w:val="22"/>
          <w:szCs w:val="22"/>
        </w:rPr>
        <w:t xml:space="preserve">case of </w:t>
      </w:r>
      <w:r w:rsidRPr="003E1386">
        <w:rPr>
          <w:b w:val="0"/>
          <w:sz w:val="22"/>
          <w:szCs w:val="22"/>
        </w:rPr>
        <w:t xml:space="preserve">IOGSD II </w:t>
      </w:r>
      <w:r>
        <w:rPr>
          <w:b w:val="0"/>
          <w:sz w:val="22"/>
          <w:szCs w:val="22"/>
        </w:rPr>
        <w:t>and</w:t>
      </w:r>
      <w:r w:rsidRPr="003E1386">
        <w:rPr>
          <w:b w:val="0"/>
          <w:sz w:val="22"/>
          <w:szCs w:val="22"/>
        </w:rPr>
        <w:t xml:space="preserve"> 9.6</w:t>
      </w:r>
      <w:r>
        <w:rPr>
          <w:b w:val="0"/>
          <w:sz w:val="22"/>
          <w:szCs w:val="22"/>
        </w:rPr>
        <w:t xml:space="preserve"> children at-risk for</w:t>
      </w:r>
      <w:r w:rsidRPr="003E1386">
        <w:rPr>
          <w:b w:val="0"/>
          <w:sz w:val="22"/>
          <w:szCs w:val="22"/>
        </w:rPr>
        <w:t xml:space="preserve"> LOGSD II</w:t>
      </w:r>
      <w:r>
        <w:rPr>
          <w:b w:val="0"/>
          <w:sz w:val="22"/>
          <w:szCs w:val="22"/>
        </w:rPr>
        <w:t>. In addition, this screening could identify</w:t>
      </w:r>
      <w:r w:rsidRPr="003E1386">
        <w:rPr>
          <w:b w:val="0"/>
          <w:sz w:val="22"/>
          <w:szCs w:val="22"/>
        </w:rPr>
        <w:t xml:space="preserve"> 11.</w:t>
      </w:r>
      <w:r>
        <w:rPr>
          <w:b w:val="0"/>
          <w:sz w:val="22"/>
          <w:szCs w:val="22"/>
        </w:rPr>
        <w:t>8</w:t>
      </w:r>
      <w:r w:rsidRPr="003E1386">
        <w:rPr>
          <w:b w:val="0"/>
          <w:sz w:val="22"/>
          <w:szCs w:val="22"/>
        </w:rPr>
        <w:t xml:space="preserve"> </w:t>
      </w:r>
      <w:r>
        <w:rPr>
          <w:b w:val="0"/>
          <w:sz w:val="22"/>
          <w:szCs w:val="22"/>
        </w:rPr>
        <w:t xml:space="preserve">cases of </w:t>
      </w:r>
      <w:proofErr w:type="spellStart"/>
      <w:r w:rsidRPr="003E1386">
        <w:rPr>
          <w:b w:val="0"/>
          <w:sz w:val="22"/>
          <w:szCs w:val="22"/>
        </w:rPr>
        <w:t>pseudodeficiency</w:t>
      </w:r>
      <w:proofErr w:type="spellEnd"/>
      <w:r>
        <w:rPr>
          <w:b w:val="0"/>
          <w:sz w:val="22"/>
          <w:szCs w:val="22"/>
        </w:rPr>
        <w:t xml:space="preserve"> (additional to those ruled out by the second-tier screening test), 20.1</w:t>
      </w:r>
      <w:r w:rsidRPr="003E1386">
        <w:rPr>
          <w:b w:val="0"/>
          <w:sz w:val="22"/>
          <w:szCs w:val="22"/>
        </w:rPr>
        <w:t xml:space="preserve"> carriers</w:t>
      </w:r>
      <w:r>
        <w:rPr>
          <w:b w:val="0"/>
          <w:sz w:val="22"/>
          <w:szCs w:val="22"/>
        </w:rPr>
        <w:t>, and</w:t>
      </w:r>
      <w:r w:rsidRPr="003E1386">
        <w:rPr>
          <w:b w:val="0"/>
          <w:sz w:val="22"/>
          <w:szCs w:val="22"/>
        </w:rPr>
        <w:t xml:space="preserve"> 1</w:t>
      </w:r>
      <w:r>
        <w:rPr>
          <w:b w:val="0"/>
          <w:sz w:val="22"/>
          <w:szCs w:val="22"/>
        </w:rPr>
        <w:t>5</w:t>
      </w:r>
      <w:r w:rsidRPr="003E1386">
        <w:rPr>
          <w:b w:val="0"/>
          <w:sz w:val="22"/>
          <w:szCs w:val="22"/>
        </w:rPr>
        <w:t>.</w:t>
      </w:r>
      <w:r>
        <w:rPr>
          <w:b w:val="0"/>
          <w:sz w:val="22"/>
          <w:szCs w:val="22"/>
        </w:rPr>
        <w:t>2</w:t>
      </w:r>
      <w:r w:rsidRPr="003E1386">
        <w:rPr>
          <w:b w:val="0"/>
          <w:sz w:val="22"/>
          <w:szCs w:val="22"/>
        </w:rPr>
        <w:t xml:space="preserve"> </w:t>
      </w:r>
      <w:r>
        <w:rPr>
          <w:b w:val="0"/>
          <w:sz w:val="22"/>
          <w:szCs w:val="22"/>
        </w:rPr>
        <w:t xml:space="preserve">individuals who would not progress to develop clinical </w:t>
      </w:r>
      <w:r w:rsidRPr="003E1386">
        <w:rPr>
          <w:b w:val="0"/>
          <w:sz w:val="22"/>
          <w:szCs w:val="22"/>
        </w:rPr>
        <w:t>GSD II</w:t>
      </w:r>
      <w:r>
        <w:rPr>
          <w:b w:val="0"/>
          <w:sz w:val="22"/>
          <w:szCs w:val="22"/>
        </w:rPr>
        <w:t xml:space="preserve">. Although cases of IOGSD II would be rapidly confirmed by detecting cardiomyopathy, ESC considered further advice is needed about whether individuals in the other four groups (totalling 57 cases per year) </w:t>
      </w:r>
      <w:bookmarkStart w:id="77" w:name="_Hlk191853085"/>
      <w:r>
        <w:rPr>
          <w:b w:val="0"/>
          <w:sz w:val="22"/>
          <w:szCs w:val="22"/>
        </w:rPr>
        <w:t xml:space="preserve">can be clearly distinguished from each other at the conclusion of </w:t>
      </w:r>
      <w:r w:rsidRPr="002A2D90">
        <w:rPr>
          <w:b w:val="0"/>
          <w:sz w:val="22"/>
          <w:szCs w:val="22"/>
        </w:rPr>
        <w:t xml:space="preserve">all diagnostic steps </w:t>
      </w:r>
      <w:r>
        <w:rPr>
          <w:b w:val="0"/>
          <w:sz w:val="22"/>
          <w:szCs w:val="22"/>
        </w:rPr>
        <w:t xml:space="preserve">following </w:t>
      </w:r>
      <w:r w:rsidRPr="002A2D90">
        <w:rPr>
          <w:b w:val="0"/>
          <w:sz w:val="22"/>
          <w:szCs w:val="22"/>
        </w:rPr>
        <w:t>an initial screen positive resul</w:t>
      </w:r>
      <w:r>
        <w:rPr>
          <w:b w:val="0"/>
          <w:sz w:val="22"/>
          <w:szCs w:val="22"/>
        </w:rPr>
        <w:t>t</w:t>
      </w:r>
      <w:bookmarkEnd w:id="77"/>
      <w:r>
        <w:rPr>
          <w:b w:val="0"/>
          <w:sz w:val="22"/>
          <w:szCs w:val="22"/>
        </w:rPr>
        <w:t>.</w:t>
      </w:r>
    </w:p>
    <w:p w14:paraId="1B3145E3" w14:textId="77777777" w:rsidR="00ED5CB7" w:rsidRDefault="00ED5CB7" w:rsidP="003A63D1">
      <w:pPr>
        <w:pStyle w:val="BoxName0"/>
        <w:pBdr>
          <w:top w:val="single" w:sz="4" w:space="7" w:color="000000"/>
        </w:pBdr>
        <w:ind w:left="284" w:hanging="284"/>
        <w:jc w:val="both"/>
        <w:rPr>
          <w:b w:val="0"/>
          <w:sz w:val="22"/>
          <w:szCs w:val="22"/>
        </w:rPr>
      </w:pPr>
      <w:r>
        <w:rPr>
          <w:b w:val="0"/>
          <w:sz w:val="22"/>
          <w:szCs w:val="22"/>
        </w:rPr>
        <w:t xml:space="preserve">     T</w:t>
      </w:r>
      <w:r w:rsidRPr="00B62DE9">
        <w:rPr>
          <w:b w:val="0"/>
          <w:sz w:val="22"/>
          <w:szCs w:val="22"/>
        </w:rPr>
        <w:t>here w</w:t>
      </w:r>
      <w:r>
        <w:rPr>
          <w:b w:val="0"/>
          <w:sz w:val="22"/>
          <w:szCs w:val="22"/>
        </w:rPr>
        <w:t>ere</w:t>
      </w:r>
      <w:r w:rsidRPr="00B62DE9">
        <w:rPr>
          <w:b w:val="0"/>
          <w:sz w:val="22"/>
          <w:szCs w:val="22"/>
        </w:rPr>
        <w:t xml:space="preserve"> limited data on the accuracy and prognostic ability of these screening tests and </w:t>
      </w:r>
      <w:r>
        <w:rPr>
          <w:b w:val="0"/>
          <w:sz w:val="22"/>
          <w:szCs w:val="22"/>
        </w:rPr>
        <w:t xml:space="preserve">based on the information provided to ESC </w:t>
      </w:r>
      <w:r w:rsidRPr="00B62DE9">
        <w:rPr>
          <w:b w:val="0"/>
          <w:sz w:val="22"/>
          <w:szCs w:val="22"/>
        </w:rPr>
        <w:t xml:space="preserve">there </w:t>
      </w:r>
      <w:r>
        <w:rPr>
          <w:b w:val="0"/>
          <w:sz w:val="22"/>
          <w:szCs w:val="22"/>
        </w:rPr>
        <w:t>is</w:t>
      </w:r>
      <w:r w:rsidRPr="00B62DE9">
        <w:rPr>
          <w:b w:val="0"/>
          <w:sz w:val="22"/>
          <w:szCs w:val="22"/>
        </w:rPr>
        <w:t xml:space="preserve"> no clear first-tier and/or second-tier methodology that  </w:t>
      </w:r>
      <w:r>
        <w:rPr>
          <w:b w:val="0"/>
          <w:sz w:val="22"/>
          <w:szCs w:val="22"/>
        </w:rPr>
        <w:t>could</w:t>
      </w:r>
      <w:r w:rsidRPr="00B62DE9">
        <w:rPr>
          <w:b w:val="0"/>
          <w:sz w:val="22"/>
          <w:szCs w:val="22"/>
        </w:rPr>
        <w:t xml:space="preserve"> reduce </w:t>
      </w:r>
      <w:r>
        <w:rPr>
          <w:b w:val="0"/>
          <w:sz w:val="22"/>
          <w:szCs w:val="22"/>
        </w:rPr>
        <w:t>false positives (</w:t>
      </w:r>
      <w:r w:rsidRPr="00B62DE9">
        <w:rPr>
          <w:b w:val="0"/>
          <w:sz w:val="22"/>
          <w:szCs w:val="22"/>
        </w:rPr>
        <w:t>FPs</w:t>
      </w:r>
      <w:r>
        <w:rPr>
          <w:b w:val="0"/>
          <w:sz w:val="22"/>
          <w:szCs w:val="22"/>
        </w:rPr>
        <w:t>)</w:t>
      </w:r>
      <w:r w:rsidRPr="00B62DE9">
        <w:rPr>
          <w:b w:val="0"/>
          <w:sz w:val="22"/>
          <w:szCs w:val="22"/>
        </w:rPr>
        <w:t xml:space="preserve"> and increase the </w:t>
      </w:r>
      <w:r>
        <w:rPr>
          <w:b w:val="0"/>
          <w:sz w:val="22"/>
          <w:szCs w:val="22"/>
        </w:rPr>
        <w:t>positive predictive value (</w:t>
      </w:r>
      <w:r w:rsidRPr="00B62DE9">
        <w:rPr>
          <w:b w:val="0"/>
          <w:sz w:val="22"/>
          <w:szCs w:val="22"/>
        </w:rPr>
        <w:t>PPV</w:t>
      </w:r>
      <w:r>
        <w:rPr>
          <w:b w:val="0"/>
          <w:sz w:val="22"/>
          <w:szCs w:val="22"/>
        </w:rPr>
        <w:t>)</w:t>
      </w:r>
      <w:r w:rsidRPr="00B62DE9">
        <w:rPr>
          <w:b w:val="0"/>
          <w:sz w:val="22"/>
          <w:szCs w:val="22"/>
        </w:rPr>
        <w:t xml:space="preserve">, due to the large number of </w:t>
      </w:r>
      <w:proofErr w:type="spellStart"/>
      <w:r w:rsidRPr="00B62DE9">
        <w:rPr>
          <w:b w:val="0"/>
          <w:sz w:val="22"/>
          <w:szCs w:val="22"/>
        </w:rPr>
        <w:t>pseudodeficiency</w:t>
      </w:r>
      <w:proofErr w:type="spellEnd"/>
      <w:r w:rsidRPr="00B62DE9">
        <w:rPr>
          <w:b w:val="0"/>
          <w:sz w:val="22"/>
          <w:szCs w:val="22"/>
        </w:rPr>
        <w:t xml:space="preserve"> variants, variants of un</w:t>
      </w:r>
      <w:r>
        <w:rPr>
          <w:b w:val="0"/>
          <w:sz w:val="22"/>
          <w:szCs w:val="22"/>
        </w:rPr>
        <w:t>certain</w:t>
      </w:r>
      <w:r w:rsidRPr="00B62DE9">
        <w:rPr>
          <w:b w:val="0"/>
          <w:sz w:val="22"/>
          <w:szCs w:val="22"/>
        </w:rPr>
        <w:t xml:space="preserve"> significance (VUS)</w:t>
      </w:r>
      <w:r>
        <w:rPr>
          <w:b w:val="0"/>
          <w:sz w:val="22"/>
          <w:szCs w:val="22"/>
        </w:rPr>
        <w:t>,</w:t>
      </w:r>
      <w:r w:rsidRPr="00B62DE9">
        <w:rPr>
          <w:b w:val="0"/>
          <w:sz w:val="22"/>
          <w:szCs w:val="22"/>
        </w:rPr>
        <w:t xml:space="preserve"> and </w:t>
      </w:r>
      <w:r>
        <w:rPr>
          <w:b w:val="0"/>
          <w:sz w:val="22"/>
          <w:szCs w:val="22"/>
        </w:rPr>
        <w:t xml:space="preserve">phenotypic </w:t>
      </w:r>
      <w:r w:rsidRPr="00B62DE9">
        <w:rPr>
          <w:b w:val="0"/>
          <w:sz w:val="22"/>
          <w:szCs w:val="22"/>
        </w:rPr>
        <w:t xml:space="preserve">variability </w:t>
      </w:r>
      <w:r>
        <w:rPr>
          <w:b w:val="0"/>
          <w:sz w:val="22"/>
          <w:szCs w:val="22"/>
        </w:rPr>
        <w:t>for</w:t>
      </w:r>
      <w:r w:rsidRPr="00B62DE9">
        <w:rPr>
          <w:b w:val="0"/>
          <w:sz w:val="22"/>
          <w:szCs w:val="22"/>
        </w:rPr>
        <w:t xml:space="preserve"> LOGSD II</w:t>
      </w:r>
      <w:r>
        <w:rPr>
          <w:b w:val="0"/>
          <w:sz w:val="22"/>
          <w:szCs w:val="22"/>
        </w:rPr>
        <w:t xml:space="preserve"> genetic variants</w:t>
      </w:r>
      <w:r>
        <w:rPr>
          <w:b w:val="0"/>
          <w:bCs w:val="0"/>
          <w:sz w:val="22"/>
          <w:szCs w:val="22"/>
        </w:rPr>
        <w:t>.</w:t>
      </w:r>
      <w:r w:rsidRPr="22D53C44">
        <w:rPr>
          <w:b w:val="0"/>
          <w:bCs w:val="0"/>
          <w:sz w:val="22"/>
          <w:szCs w:val="22"/>
        </w:rPr>
        <w:t xml:space="preserve"> </w:t>
      </w:r>
      <w:r>
        <w:rPr>
          <w:b w:val="0"/>
          <w:bCs w:val="0"/>
          <w:sz w:val="22"/>
          <w:szCs w:val="22"/>
        </w:rPr>
        <w:t>H</w:t>
      </w:r>
      <w:r w:rsidRPr="22D53C44">
        <w:rPr>
          <w:b w:val="0"/>
          <w:bCs w:val="0"/>
          <w:sz w:val="22"/>
          <w:szCs w:val="22"/>
        </w:rPr>
        <w:t xml:space="preserve">owever, </w:t>
      </w:r>
      <w:r>
        <w:rPr>
          <w:b w:val="0"/>
          <w:bCs w:val="0"/>
          <w:sz w:val="22"/>
          <w:szCs w:val="22"/>
        </w:rPr>
        <w:t xml:space="preserve">ESC noted </w:t>
      </w:r>
      <w:r w:rsidRPr="22D53C44">
        <w:rPr>
          <w:b w:val="0"/>
          <w:bCs w:val="0"/>
          <w:sz w:val="22"/>
          <w:szCs w:val="22"/>
        </w:rPr>
        <w:t xml:space="preserve">expert advice from international screening programs </w:t>
      </w:r>
      <w:r>
        <w:rPr>
          <w:b w:val="0"/>
          <w:bCs w:val="0"/>
          <w:sz w:val="22"/>
          <w:szCs w:val="22"/>
        </w:rPr>
        <w:t xml:space="preserve">that </w:t>
      </w:r>
      <w:r w:rsidRPr="22D53C44">
        <w:rPr>
          <w:b w:val="0"/>
          <w:bCs w:val="0"/>
          <w:sz w:val="22"/>
          <w:szCs w:val="22"/>
        </w:rPr>
        <w:t xml:space="preserve">suggests some improvements </w:t>
      </w:r>
      <w:r>
        <w:rPr>
          <w:b w:val="0"/>
          <w:bCs w:val="0"/>
          <w:sz w:val="22"/>
          <w:szCs w:val="22"/>
        </w:rPr>
        <w:t xml:space="preserve">have occurred </w:t>
      </w:r>
      <w:r w:rsidRPr="22D53C44">
        <w:rPr>
          <w:b w:val="0"/>
          <w:bCs w:val="0"/>
          <w:sz w:val="22"/>
          <w:szCs w:val="22"/>
        </w:rPr>
        <w:t>over time due to refinement of cut off values and increase</w:t>
      </w:r>
      <w:r>
        <w:rPr>
          <w:b w:val="0"/>
          <w:bCs w:val="0"/>
          <w:sz w:val="22"/>
          <w:szCs w:val="22"/>
        </w:rPr>
        <w:t>s</w:t>
      </w:r>
      <w:r w:rsidRPr="22D53C44">
        <w:rPr>
          <w:b w:val="0"/>
          <w:bCs w:val="0"/>
          <w:sz w:val="22"/>
          <w:szCs w:val="22"/>
        </w:rPr>
        <w:t xml:space="preserve"> in classified variants in international registries.</w:t>
      </w:r>
      <w:r>
        <w:rPr>
          <w:b w:val="0"/>
          <w:sz w:val="22"/>
          <w:szCs w:val="22"/>
        </w:rPr>
        <w:t xml:space="preserve"> </w:t>
      </w:r>
    </w:p>
    <w:p w14:paraId="4C52E257" w14:textId="77777777" w:rsidR="00ED5CB7" w:rsidRPr="00DF68C6" w:rsidRDefault="00ED5CB7" w:rsidP="003A63D1">
      <w:pPr>
        <w:pStyle w:val="BoxName0"/>
        <w:pBdr>
          <w:top w:val="single" w:sz="4" w:space="7" w:color="000000"/>
        </w:pBdr>
        <w:ind w:left="284" w:hanging="284"/>
        <w:rPr>
          <w:sz w:val="22"/>
          <w:szCs w:val="22"/>
        </w:rPr>
      </w:pPr>
      <w:r w:rsidRPr="3C67F618">
        <w:rPr>
          <w:b w:val="0"/>
          <w:sz w:val="22"/>
          <w:szCs w:val="22"/>
        </w:rPr>
        <w:t>2.</w:t>
      </w:r>
      <w:r>
        <w:tab/>
      </w:r>
      <w:bookmarkStart w:id="78" w:name="_Hlk192434516"/>
      <w:r w:rsidRPr="00DF68C6">
        <w:rPr>
          <w:sz w:val="22"/>
          <w:szCs w:val="22"/>
        </w:rPr>
        <w:t xml:space="preserve">Can disease subtype and prognosis </w:t>
      </w:r>
      <w:r w:rsidRPr="00DF68C6" w:rsidDel="00CD6F6B">
        <w:rPr>
          <w:sz w:val="22"/>
          <w:szCs w:val="22"/>
        </w:rPr>
        <w:t>(with consideration of expressivity and penetrance)</w:t>
      </w:r>
      <w:r>
        <w:rPr>
          <w:sz w:val="22"/>
          <w:szCs w:val="22"/>
        </w:rPr>
        <w:t xml:space="preserve"> </w:t>
      </w:r>
      <w:r w:rsidRPr="00DF68C6">
        <w:rPr>
          <w:sz w:val="22"/>
          <w:szCs w:val="22"/>
        </w:rPr>
        <w:t xml:space="preserve">be determined from the screening and confirmatory tests </w:t>
      </w:r>
      <w:r>
        <w:rPr>
          <w:sz w:val="22"/>
          <w:szCs w:val="22"/>
        </w:rPr>
        <w:t>and</w:t>
      </w:r>
      <w:r w:rsidRPr="00DF68C6">
        <w:rPr>
          <w:sz w:val="22"/>
          <w:szCs w:val="22"/>
        </w:rPr>
        <w:t xml:space="preserve"> clinical assessment </w:t>
      </w:r>
      <w:r>
        <w:rPr>
          <w:sz w:val="22"/>
          <w:szCs w:val="22"/>
        </w:rPr>
        <w:t xml:space="preserve">to </w:t>
      </w:r>
      <w:r w:rsidRPr="00DF68C6">
        <w:rPr>
          <w:sz w:val="22"/>
          <w:szCs w:val="22"/>
        </w:rPr>
        <w:t xml:space="preserve">determine </w:t>
      </w:r>
      <w:r>
        <w:rPr>
          <w:sz w:val="22"/>
          <w:szCs w:val="22"/>
        </w:rPr>
        <w:t xml:space="preserve">the </w:t>
      </w:r>
      <w:r w:rsidRPr="00DF68C6">
        <w:rPr>
          <w:sz w:val="22"/>
          <w:szCs w:val="22"/>
        </w:rPr>
        <w:t xml:space="preserve">need for </w:t>
      </w:r>
      <w:r>
        <w:rPr>
          <w:sz w:val="22"/>
          <w:szCs w:val="22"/>
        </w:rPr>
        <w:t xml:space="preserve">monitoring and/or </w:t>
      </w:r>
      <w:r w:rsidRPr="00DF68C6">
        <w:rPr>
          <w:sz w:val="22"/>
          <w:szCs w:val="22"/>
        </w:rPr>
        <w:t xml:space="preserve">earlier treatment?  </w:t>
      </w:r>
      <w:bookmarkEnd w:id="78"/>
    </w:p>
    <w:p w14:paraId="22C20B62" w14:textId="77777777" w:rsidR="00ED5CB7" w:rsidRPr="003201E7" w:rsidRDefault="00ED5CB7" w:rsidP="003A63D1">
      <w:pPr>
        <w:pStyle w:val="BoxName0"/>
        <w:pBdr>
          <w:top w:val="single" w:sz="4" w:space="7" w:color="000000"/>
        </w:pBdr>
        <w:ind w:left="284" w:hanging="284"/>
        <w:rPr>
          <w:b w:val="0"/>
          <w:sz w:val="22"/>
          <w:szCs w:val="22"/>
        </w:rPr>
      </w:pPr>
      <w:r>
        <w:rPr>
          <w:b w:val="0"/>
          <w:sz w:val="22"/>
          <w:szCs w:val="22"/>
        </w:rPr>
        <w:t xml:space="preserve">      </w:t>
      </w:r>
      <w:r w:rsidRPr="3C67F618">
        <w:rPr>
          <w:b w:val="0"/>
          <w:sz w:val="22"/>
          <w:szCs w:val="22"/>
        </w:rPr>
        <w:t xml:space="preserve">Screening will identify children at risk for GSD II, </w:t>
      </w:r>
      <w:r>
        <w:rPr>
          <w:b w:val="0"/>
          <w:sz w:val="22"/>
          <w:szCs w:val="22"/>
        </w:rPr>
        <w:t xml:space="preserve">including </w:t>
      </w:r>
      <w:r w:rsidRPr="3C67F618">
        <w:rPr>
          <w:b w:val="0"/>
          <w:sz w:val="22"/>
          <w:szCs w:val="22"/>
        </w:rPr>
        <w:t xml:space="preserve">those with one or two common </w:t>
      </w:r>
      <w:r>
        <w:rPr>
          <w:b w:val="0"/>
          <w:sz w:val="22"/>
          <w:szCs w:val="22"/>
        </w:rPr>
        <w:t>variants</w:t>
      </w:r>
      <w:r w:rsidRPr="3C67F618">
        <w:rPr>
          <w:b w:val="0"/>
          <w:sz w:val="22"/>
          <w:szCs w:val="22"/>
        </w:rPr>
        <w:t>,</w:t>
      </w:r>
      <w:r>
        <w:rPr>
          <w:b w:val="0"/>
          <w:sz w:val="22"/>
          <w:szCs w:val="22"/>
        </w:rPr>
        <w:t xml:space="preserve"> and</w:t>
      </w:r>
      <w:r w:rsidRPr="3C67F618">
        <w:rPr>
          <w:b w:val="0"/>
          <w:sz w:val="22"/>
          <w:szCs w:val="22"/>
        </w:rPr>
        <w:t xml:space="preserve"> false positives.</w:t>
      </w:r>
      <w:r>
        <w:rPr>
          <w:b w:val="0"/>
          <w:sz w:val="22"/>
          <w:szCs w:val="22"/>
        </w:rPr>
        <w:t xml:space="preserve"> </w:t>
      </w:r>
      <w:r w:rsidRPr="3C67F618">
        <w:rPr>
          <w:b w:val="0"/>
          <w:sz w:val="22"/>
          <w:szCs w:val="22"/>
        </w:rPr>
        <w:t xml:space="preserve">Diagnostic testing may predict the subtype of disease </w:t>
      </w:r>
      <w:r>
        <w:rPr>
          <w:b w:val="0"/>
          <w:sz w:val="22"/>
          <w:szCs w:val="22"/>
        </w:rPr>
        <w:t>for</w:t>
      </w:r>
      <w:r w:rsidRPr="3C67F618">
        <w:rPr>
          <w:b w:val="0"/>
          <w:sz w:val="22"/>
          <w:szCs w:val="22"/>
        </w:rPr>
        <w:t xml:space="preserve"> variants </w:t>
      </w:r>
      <w:r>
        <w:rPr>
          <w:b w:val="0"/>
          <w:sz w:val="22"/>
          <w:szCs w:val="22"/>
        </w:rPr>
        <w:t xml:space="preserve">that </w:t>
      </w:r>
      <w:r w:rsidRPr="3C67F618">
        <w:rPr>
          <w:b w:val="0"/>
          <w:sz w:val="22"/>
          <w:szCs w:val="22"/>
        </w:rPr>
        <w:t xml:space="preserve">have a reported </w:t>
      </w:r>
      <w:proofErr w:type="spellStart"/>
      <w:proofErr w:type="gramStart"/>
      <w:r w:rsidRPr="3C67F618">
        <w:rPr>
          <w:b w:val="0"/>
          <w:sz w:val="22"/>
          <w:szCs w:val="22"/>
        </w:rPr>
        <w:t>genotype:phenotype</w:t>
      </w:r>
      <w:proofErr w:type="spellEnd"/>
      <w:proofErr w:type="gramEnd"/>
      <w:r w:rsidRPr="3C67F618">
        <w:rPr>
          <w:b w:val="0"/>
          <w:sz w:val="22"/>
          <w:szCs w:val="22"/>
        </w:rPr>
        <w:t xml:space="preserve"> relationship. For</w:t>
      </w:r>
      <w:r w:rsidRPr="3C67F618">
        <w:rPr>
          <w:b w:val="0"/>
          <w:bCs w:val="0"/>
          <w:sz w:val="22"/>
          <w:szCs w:val="22"/>
        </w:rPr>
        <w:t xml:space="preserve"> </w:t>
      </w:r>
      <w:r w:rsidRPr="1D160102">
        <w:rPr>
          <w:b w:val="0"/>
          <w:bCs w:val="0"/>
          <w:sz w:val="22"/>
          <w:szCs w:val="22"/>
        </w:rPr>
        <w:t>a proportion of</w:t>
      </w:r>
      <w:r w:rsidRPr="3C67F618">
        <w:rPr>
          <w:b w:val="0"/>
          <w:sz w:val="22"/>
          <w:szCs w:val="22"/>
        </w:rPr>
        <w:t xml:space="preserve"> children at risk for LOGSD</w:t>
      </w:r>
      <w:r>
        <w:rPr>
          <w:b w:val="0"/>
          <w:sz w:val="22"/>
          <w:szCs w:val="22"/>
        </w:rPr>
        <w:t xml:space="preserve"> </w:t>
      </w:r>
      <w:r w:rsidRPr="3C67F618">
        <w:rPr>
          <w:b w:val="0"/>
          <w:sz w:val="22"/>
          <w:szCs w:val="22"/>
        </w:rPr>
        <w:t>II, diagnostic testing cannot predict if clinically apparent disease will occur, or if it does</w:t>
      </w:r>
      <w:r>
        <w:rPr>
          <w:b w:val="0"/>
          <w:sz w:val="22"/>
          <w:szCs w:val="22"/>
        </w:rPr>
        <w:t>,</w:t>
      </w:r>
      <w:r w:rsidRPr="3C67F618">
        <w:rPr>
          <w:b w:val="0"/>
          <w:sz w:val="22"/>
          <w:szCs w:val="22"/>
        </w:rPr>
        <w:t xml:space="preserve"> its likely severity or time of onset – this can only be ascertained through </w:t>
      </w:r>
      <w:r>
        <w:rPr>
          <w:b w:val="0"/>
          <w:sz w:val="22"/>
          <w:szCs w:val="22"/>
        </w:rPr>
        <w:t xml:space="preserve">subsequent </w:t>
      </w:r>
      <w:r w:rsidRPr="3C67F618">
        <w:rPr>
          <w:b w:val="0"/>
          <w:sz w:val="22"/>
          <w:szCs w:val="22"/>
        </w:rPr>
        <w:t>long-term clinical follow-up.</w:t>
      </w:r>
    </w:p>
    <w:p w14:paraId="093B7809" w14:textId="77777777" w:rsidR="00ED5CB7" w:rsidRPr="002644BC" w:rsidRDefault="00ED5CB7" w:rsidP="003A63D1">
      <w:pPr>
        <w:pStyle w:val="BoxName0"/>
        <w:pBdr>
          <w:top w:val="single" w:sz="4" w:space="7" w:color="000000"/>
        </w:pBdr>
        <w:ind w:left="284" w:hanging="284"/>
        <w:rPr>
          <w:b w:val="0"/>
          <w:sz w:val="22"/>
          <w:szCs w:val="22"/>
        </w:rPr>
      </w:pPr>
      <w:r>
        <w:rPr>
          <w:b w:val="0"/>
          <w:sz w:val="22"/>
          <w:szCs w:val="22"/>
        </w:rPr>
        <w:tab/>
      </w:r>
      <w:r w:rsidRPr="3C67F618">
        <w:rPr>
          <w:b w:val="0"/>
          <w:sz w:val="22"/>
          <w:szCs w:val="22"/>
        </w:rPr>
        <w:t xml:space="preserve"> </w:t>
      </w:r>
      <w:r>
        <w:rPr>
          <w:b w:val="0"/>
          <w:sz w:val="22"/>
          <w:szCs w:val="22"/>
        </w:rPr>
        <w:t xml:space="preserve">All </w:t>
      </w:r>
      <w:r w:rsidRPr="3C67F618">
        <w:rPr>
          <w:b w:val="0"/>
          <w:sz w:val="22"/>
          <w:szCs w:val="22"/>
        </w:rPr>
        <w:t xml:space="preserve">children recalled for diagnostic testing </w:t>
      </w:r>
      <w:r>
        <w:rPr>
          <w:b w:val="0"/>
          <w:sz w:val="22"/>
          <w:szCs w:val="22"/>
        </w:rPr>
        <w:t xml:space="preserve">after a screen positive result </w:t>
      </w:r>
      <w:r w:rsidRPr="3C67F618">
        <w:rPr>
          <w:b w:val="0"/>
          <w:sz w:val="22"/>
          <w:szCs w:val="22"/>
        </w:rPr>
        <w:t xml:space="preserve">will </w:t>
      </w:r>
      <w:r>
        <w:rPr>
          <w:b w:val="0"/>
          <w:sz w:val="22"/>
          <w:szCs w:val="22"/>
        </w:rPr>
        <w:t xml:space="preserve">be </w:t>
      </w:r>
      <w:r w:rsidRPr="3C67F618">
        <w:rPr>
          <w:b w:val="0"/>
          <w:sz w:val="22"/>
          <w:szCs w:val="22"/>
        </w:rPr>
        <w:t xml:space="preserve">assessed for clinically apparent symptoms </w:t>
      </w:r>
      <w:r>
        <w:rPr>
          <w:b w:val="0"/>
          <w:sz w:val="22"/>
          <w:szCs w:val="22"/>
        </w:rPr>
        <w:t xml:space="preserve">and </w:t>
      </w:r>
      <w:r w:rsidRPr="3C67F618">
        <w:rPr>
          <w:b w:val="0"/>
          <w:sz w:val="22"/>
          <w:szCs w:val="22"/>
        </w:rPr>
        <w:t xml:space="preserve">signs, including </w:t>
      </w:r>
      <w:r>
        <w:rPr>
          <w:b w:val="0"/>
          <w:sz w:val="22"/>
          <w:szCs w:val="22"/>
        </w:rPr>
        <w:t xml:space="preserve">the </w:t>
      </w:r>
      <w:r w:rsidRPr="3C67F618">
        <w:rPr>
          <w:b w:val="0"/>
          <w:sz w:val="22"/>
          <w:szCs w:val="22"/>
        </w:rPr>
        <w:t xml:space="preserve">presence of cardiomyopathy which </w:t>
      </w:r>
      <w:r>
        <w:rPr>
          <w:b w:val="0"/>
          <w:sz w:val="22"/>
          <w:szCs w:val="22"/>
        </w:rPr>
        <w:t xml:space="preserve">confirms IOGSD II. For other </w:t>
      </w:r>
      <w:r w:rsidRPr="0F4ACA85">
        <w:rPr>
          <w:b w:val="0"/>
          <w:sz w:val="22"/>
          <w:szCs w:val="22"/>
        </w:rPr>
        <w:t>children identified as at-risk for GSD</w:t>
      </w:r>
      <w:r>
        <w:rPr>
          <w:b w:val="0"/>
          <w:sz w:val="22"/>
          <w:szCs w:val="22"/>
        </w:rPr>
        <w:t xml:space="preserve"> </w:t>
      </w:r>
      <w:r w:rsidRPr="0F4ACA85">
        <w:rPr>
          <w:b w:val="0"/>
          <w:sz w:val="22"/>
          <w:szCs w:val="22"/>
        </w:rPr>
        <w:t xml:space="preserve">II, </w:t>
      </w:r>
      <w:r w:rsidRPr="00C8EAB8">
        <w:rPr>
          <w:b w:val="0"/>
          <w:sz w:val="22"/>
          <w:szCs w:val="22"/>
        </w:rPr>
        <w:t xml:space="preserve">there </w:t>
      </w:r>
      <w:r>
        <w:rPr>
          <w:b w:val="0"/>
          <w:sz w:val="22"/>
          <w:szCs w:val="22"/>
        </w:rPr>
        <w:t xml:space="preserve">will </w:t>
      </w:r>
      <w:r w:rsidRPr="00C8EAB8">
        <w:rPr>
          <w:b w:val="0"/>
          <w:sz w:val="22"/>
          <w:szCs w:val="22"/>
        </w:rPr>
        <w:t>be individuals</w:t>
      </w:r>
      <w:r w:rsidRPr="0F4ACA85">
        <w:rPr>
          <w:b w:val="0"/>
          <w:sz w:val="22"/>
          <w:szCs w:val="22"/>
        </w:rPr>
        <w:t xml:space="preserve"> who ultimately </w:t>
      </w:r>
      <w:r w:rsidRPr="00C8EAB8">
        <w:rPr>
          <w:b w:val="0"/>
          <w:sz w:val="22"/>
          <w:szCs w:val="22"/>
        </w:rPr>
        <w:t>remain disease-free</w:t>
      </w:r>
      <w:r>
        <w:rPr>
          <w:b w:val="0"/>
          <w:sz w:val="22"/>
          <w:szCs w:val="22"/>
        </w:rPr>
        <w:t xml:space="preserve">. These individuals may be considered </w:t>
      </w:r>
      <w:proofErr w:type="spellStart"/>
      <w:r>
        <w:rPr>
          <w:b w:val="0"/>
          <w:sz w:val="22"/>
          <w:szCs w:val="22"/>
        </w:rPr>
        <w:t>overdiagnosed</w:t>
      </w:r>
      <w:proofErr w:type="spellEnd"/>
      <w:r>
        <w:rPr>
          <w:b w:val="0"/>
          <w:sz w:val="22"/>
          <w:szCs w:val="22"/>
        </w:rPr>
        <w:t xml:space="preserve"> (i.e. there is no prognostic or clinical utility associated with the genetic diagnosis)</w:t>
      </w:r>
      <w:r w:rsidRPr="0F4ACA85">
        <w:rPr>
          <w:b w:val="0"/>
          <w:sz w:val="22"/>
          <w:szCs w:val="22"/>
        </w:rPr>
        <w:t>.</w:t>
      </w:r>
    </w:p>
    <w:p w14:paraId="4978A50B" w14:textId="77777777" w:rsidR="00ED5CB7" w:rsidRPr="002644BC" w:rsidRDefault="00ED5CB7" w:rsidP="003A63D1">
      <w:pPr>
        <w:pStyle w:val="BoxName0"/>
        <w:pBdr>
          <w:top w:val="single" w:sz="4" w:space="7" w:color="000000"/>
        </w:pBdr>
        <w:ind w:left="284" w:hanging="284"/>
        <w:jc w:val="both"/>
        <w:rPr>
          <w:b w:val="0"/>
          <w:sz w:val="22"/>
          <w:szCs w:val="22"/>
        </w:rPr>
      </w:pPr>
      <w:r>
        <w:rPr>
          <w:b w:val="0"/>
          <w:sz w:val="22"/>
          <w:szCs w:val="22"/>
        </w:rPr>
        <w:t xml:space="preserve">     Given these unknowns,</w:t>
      </w:r>
      <w:r w:rsidRPr="002A2D90" w:rsidDel="002A2D90">
        <w:rPr>
          <w:b w:val="0"/>
          <w:sz w:val="22"/>
          <w:szCs w:val="22"/>
        </w:rPr>
        <w:t xml:space="preserve"> </w:t>
      </w:r>
      <w:r>
        <w:rPr>
          <w:b w:val="0"/>
          <w:sz w:val="22"/>
          <w:szCs w:val="22"/>
        </w:rPr>
        <w:t xml:space="preserve">ESC considered that there was a need for further </w:t>
      </w:r>
      <w:r w:rsidRPr="007A1B17">
        <w:rPr>
          <w:b w:val="0"/>
          <w:sz w:val="22"/>
          <w:szCs w:val="22"/>
        </w:rPr>
        <w:t xml:space="preserve">expert clinical advice on how </w:t>
      </w:r>
      <w:r>
        <w:rPr>
          <w:b w:val="0"/>
          <w:sz w:val="22"/>
          <w:szCs w:val="22"/>
        </w:rPr>
        <w:t xml:space="preserve">all individuals with a </w:t>
      </w:r>
      <w:r w:rsidRPr="007A1B17">
        <w:rPr>
          <w:b w:val="0"/>
          <w:sz w:val="22"/>
          <w:szCs w:val="22"/>
        </w:rPr>
        <w:t>positive result</w:t>
      </w:r>
      <w:r>
        <w:rPr>
          <w:b w:val="0"/>
          <w:sz w:val="22"/>
          <w:szCs w:val="22"/>
        </w:rPr>
        <w:t xml:space="preserve"> at the end of all the diagnostic steps</w:t>
      </w:r>
      <w:r w:rsidRPr="007A1B17">
        <w:rPr>
          <w:b w:val="0"/>
          <w:sz w:val="22"/>
          <w:szCs w:val="22"/>
        </w:rPr>
        <w:t xml:space="preserve"> would be managed</w:t>
      </w:r>
      <w:r>
        <w:rPr>
          <w:b w:val="0"/>
          <w:sz w:val="22"/>
          <w:szCs w:val="22"/>
        </w:rPr>
        <w:t>,</w:t>
      </w:r>
      <w:r>
        <w:rPr>
          <w:rFonts w:eastAsiaTheme="minorHAnsi"/>
          <w:b w:val="0"/>
          <w:sz w:val="22"/>
          <w:szCs w:val="22"/>
        </w:rPr>
        <w:t xml:space="preserve"> </w:t>
      </w:r>
      <w:r>
        <w:rPr>
          <w:b w:val="0"/>
          <w:sz w:val="22"/>
          <w:szCs w:val="22"/>
        </w:rPr>
        <w:t>including how many (if any) at risk of future disease might be ruled out of ongoing clinical surveillance.</w:t>
      </w:r>
    </w:p>
    <w:p w14:paraId="3460848B" w14:textId="77777777" w:rsidR="00ED5CB7" w:rsidRPr="00DF68C6" w:rsidRDefault="00ED5CB7" w:rsidP="003A63D1">
      <w:pPr>
        <w:pStyle w:val="BoxName0"/>
        <w:pBdr>
          <w:top w:val="single" w:sz="4" w:space="7" w:color="000000"/>
        </w:pBdr>
        <w:ind w:left="284" w:hanging="284"/>
        <w:rPr>
          <w:sz w:val="22"/>
          <w:szCs w:val="18"/>
        </w:rPr>
      </w:pPr>
      <w:r w:rsidRPr="003201E7">
        <w:rPr>
          <w:b w:val="0"/>
          <w:bCs w:val="0"/>
          <w:sz w:val="22"/>
          <w:szCs w:val="18"/>
        </w:rPr>
        <w:t>3.</w:t>
      </w:r>
      <w:r w:rsidRPr="00C756FA">
        <w:rPr>
          <w:b w:val="0"/>
          <w:sz w:val="22"/>
        </w:rPr>
        <w:tab/>
      </w:r>
      <w:r w:rsidRPr="00DF68C6">
        <w:rPr>
          <w:sz w:val="22"/>
          <w:szCs w:val="18"/>
        </w:rPr>
        <w:t>Is there is an effective treatment (or treatments) available in Australia for at-risk newborns? If the disease has subtypes</w:t>
      </w:r>
      <w:r>
        <w:rPr>
          <w:sz w:val="22"/>
          <w:szCs w:val="18"/>
        </w:rPr>
        <w:t>,</w:t>
      </w:r>
      <w:r w:rsidRPr="00DF68C6">
        <w:rPr>
          <w:sz w:val="22"/>
          <w:szCs w:val="18"/>
        </w:rPr>
        <w:t xml:space="preserve"> are treatments available for each subtype?</w:t>
      </w:r>
    </w:p>
    <w:p w14:paraId="75C99166" w14:textId="77777777" w:rsidR="00ED5CB7" w:rsidRDefault="00ED5CB7" w:rsidP="003A63D1">
      <w:pPr>
        <w:pStyle w:val="BoxName0"/>
        <w:pBdr>
          <w:top w:val="single" w:sz="4" w:space="7" w:color="000000"/>
        </w:pBdr>
        <w:ind w:left="284" w:hanging="284"/>
        <w:rPr>
          <w:b w:val="0"/>
          <w:bCs w:val="0"/>
          <w:sz w:val="22"/>
          <w:szCs w:val="18"/>
        </w:rPr>
      </w:pPr>
      <w:r>
        <w:rPr>
          <w:b w:val="0"/>
          <w:bCs w:val="0"/>
          <w:sz w:val="22"/>
          <w:szCs w:val="18"/>
        </w:rPr>
        <w:tab/>
      </w:r>
      <w:r w:rsidRPr="003201E7">
        <w:rPr>
          <w:b w:val="0"/>
          <w:bCs w:val="0"/>
          <w:sz w:val="22"/>
          <w:szCs w:val="18"/>
        </w:rPr>
        <w:t xml:space="preserve">Enzyme replacement therapy </w:t>
      </w:r>
      <w:r>
        <w:rPr>
          <w:b w:val="0"/>
          <w:bCs w:val="0"/>
          <w:sz w:val="22"/>
          <w:szCs w:val="18"/>
        </w:rPr>
        <w:t>(ERT) for management of I</w:t>
      </w:r>
      <w:r w:rsidRPr="003201E7">
        <w:rPr>
          <w:b w:val="0"/>
          <w:bCs w:val="0"/>
          <w:sz w:val="22"/>
          <w:szCs w:val="18"/>
        </w:rPr>
        <w:t>OGSD II and LOGSD</w:t>
      </w:r>
      <w:r>
        <w:rPr>
          <w:b w:val="0"/>
          <w:bCs w:val="0"/>
          <w:sz w:val="22"/>
          <w:szCs w:val="18"/>
        </w:rPr>
        <w:t xml:space="preserve"> </w:t>
      </w:r>
      <w:r w:rsidRPr="003201E7">
        <w:rPr>
          <w:b w:val="0"/>
          <w:bCs w:val="0"/>
          <w:sz w:val="22"/>
          <w:szCs w:val="18"/>
        </w:rPr>
        <w:t>II</w:t>
      </w:r>
      <w:r>
        <w:rPr>
          <w:b w:val="0"/>
          <w:bCs w:val="0"/>
          <w:sz w:val="22"/>
          <w:szCs w:val="18"/>
        </w:rPr>
        <w:t xml:space="preserve"> </w:t>
      </w:r>
      <w:r w:rsidRPr="003201E7">
        <w:rPr>
          <w:b w:val="0"/>
          <w:bCs w:val="0"/>
          <w:sz w:val="22"/>
          <w:szCs w:val="18"/>
        </w:rPr>
        <w:t>is funded</w:t>
      </w:r>
      <w:r>
        <w:rPr>
          <w:b w:val="0"/>
          <w:bCs w:val="0"/>
          <w:sz w:val="22"/>
          <w:szCs w:val="18"/>
        </w:rPr>
        <w:t xml:space="preserve"> by the</w:t>
      </w:r>
      <w:r w:rsidRPr="007B0F7D">
        <w:rPr>
          <w:b w:val="0"/>
          <w:bCs w:val="0"/>
          <w:sz w:val="22"/>
          <w:szCs w:val="18"/>
        </w:rPr>
        <w:t> Australian Government through the Life Saving Drug. Program (LSDP)</w:t>
      </w:r>
      <w:r>
        <w:rPr>
          <w:b w:val="0"/>
          <w:bCs w:val="0"/>
          <w:sz w:val="22"/>
          <w:szCs w:val="18"/>
        </w:rPr>
        <w:t>.</w:t>
      </w:r>
      <w:r w:rsidRPr="003201E7">
        <w:rPr>
          <w:b w:val="0"/>
          <w:bCs w:val="0"/>
          <w:sz w:val="22"/>
          <w:szCs w:val="18"/>
        </w:rPr>
        <w:t xml:space="preserve"> For </w:t>
      </w:r>
      <w:r>
        <w:rPr>
          <w:b w:val="0"/>
          <w:bCs w:val="0"/>
          <w:sz w:val="22"/>
          <w:szCs w:val="18"/>
        </w:rPr>
        <w:t>IOGSD II</w:t>
      </w:r>
      <w:r w:rsidRPr="003201E7">
        <w:rPr>
          <w:b w:val="0"/>
          <w:bCs w:val="0"/>
          <w:sz w:val="22"/>
          <w:szCs w:val="18"/>
        </w:rPr>
        <w:t xml:space="preserve">, the </w:t>
      </w:r>
      <w:r>
        <w:rPr>
          <w:b w:val="0"/>
          <w:bCs w:val="0"/>
          <w:sz w:val="22"/>
          <w:szCs w:val="18"/>
        </w:rPr>
        <w:t xml:space="preserve">eligibility </w:t>
      </w:r>
      <w:r w:rsidRPr="003201E7">
        <w:rPr>
          <w:b w:val="0"/>
          <w:bCs w:val="0"/>
          <w:sz w:val="22"/>
          <w:szCs w:val="18"/>
        </w:rPr>
        <w:t xml:space="preserve">criteria permit use based on a </w:t>
      </w:r>
      <w:r>
        <w:rPr>
          <w:b w:val="0"/>
          <w:bCs w:val="0"/>
          <w:sz w:val="22"/>
          <w:szCs w:val="18"/>
        </w:rPr>
        <w:t>“</w:t>
      </w:r>
      <w:r w:rsidRPr="003201E7">
        <w:rPr>
          <w:b w:val="0"/>
          <w:bCs w:val="0"/>
          <w:sz w:val="22"/>
          <w:szCs w:val="18"/>
        </w:rPr>
        <w:t>diagnosis</w:t>
      </w:r>
      <w:r>
        <w:rPr>
          <w:b w:val="0"/>
          <w:bCs w:val="0"/>
          <w:sz w:val="22"/>
          <w:szCs w:val="18"/>
        </w:rPr>
        <w:t>”</w:t>
      </w:r>
      <w:r w:rsidRPr="003201E7">
        <w:rPr>
          <w:b w:val="0"/>
          <w:bCs w:val="0"/>
          <w:sz w:val="22"/>
          <w:szCs w:val="18"/>
        </w:rPr>
        <w:t xml:space="preserve"> in children</w:t>
      </w:r>
      <w:r>
        <w:rPr>
          <w:b w:val="0"/>
          <w:bCs w:val="0"/>
          <w:sz w:val="22"/>
          <w:szCs w:val="18"/>
        </w:rPr>
        <w:t xml:space="preserve"> under 2 years of age</w:t>
      </w:r>
      <w:r w:rsidRPr="00F330FB">
        <w:rPr>
          <w:b w:val="0"/>
          <w:bCs w:val="0"/>
          <w:sz w:val="22"/>
          <w:szCs w:val="18"/>
        </w:rPr>
        <w:t>.</w:t>
      </w:r>
      <w:r w:rsidRPr="003201E7">
        <w:rPr>
          <w:b w:val="0"/>
          <w:bCs w:val="0"/>
          <w:sz w:val="22"/>
          <w:szCs w:val="18"/>
        </w:rPr>
        <w:t xml:space="preserve"> </w:t>
      </w:r>
    </w:p>
    <w:p w14:paraId="50DBEC24" w14:textId="77777777" w:rsidR="00ED5CB7" w:rsidRDefault="00ED5CB7" w:rsidP="003A63D1">
      <w:pPr>
        <w:pStyle w:val="BoxName0"/>
        <w:pBdr>
          <w:top w:val="single" w:sz="4" w:space="7" w:color="000000"/>
        </w:pBdr>
        <w:ind w:left="284" w:hanging="284"/>
        <w:rPr>
          <w:b w:val="0"/>
          <w:sz w:val="22"/>
          <w:szCs w:val="22"/>
        </w:rPr>
      </w:pPr>
      <w:r>
        <w:rPr>
          <w:b w:val="0"/>
          <w:sz w:val="22"/>
          <w:szCs w:val="22"/>
        </w:rPr>
        <w:t xml:space="preserve">    T</w:t>
      </w:r>
      <w:r w:rsidRPr="3C67F618">
        <w:rPr>
          <w:b w:val="0"/>
          <w:sz w:val="22"/>
          <w:szCs w:val="22"/>
        </w:rPr>
        <w:t xml:space="preserve">he LSDP </w:t>
      </w:r>
      <w:r>
        <w:rPr>
          <w:b w:val="0"/>
          <w:sz w:val="22"/>
          <w:szCs w:val="22"/>
        </w:rPr>
        <w:t xml:space="preserve">eligibility </w:t>
      </w:r>
      <w:r w:rsidRPr="3C67F618">
        <w:rPr>
          <w:b w:val="0"/>
          <w:sz w:val="22"/>
          <w:szCs w:val="22"/>
        </w:rPr>
        <w:t>criteria for LOGSD</w:t>
      </w:r>
      <w:r>
        <w:rPr>
          <w:b w:val="0"/>
          <w:sz w:val="22"/>
          <w:szCs w:val="22"/>
        </w:rPr>
        <w:t xml:space="preserve"> </w:t>
      </w:r>
      <w:r w:rsidRPr="3C67F618">
        <w:rPr>
          <w:b w:val="0"/>
          <w:sz w:val="22"/>
          <w:szCs w:val="22"/>
        </w:rPr>
        <w:t>II permit ERT use in</w:t>
      </w:r>
      <w:r>
        <w:rPr>
          <w:b w:val="0"/>
          <w:sz w:val="22"/>
          <w:szCs w:val="22"/>
        </w:rPr>
        <w:t xml:space="preserve"> </w:t>
      </w:r>
      <w:r w:rsidRPr="3C67F618">
        <w:rPr>
          <w:b w:val="0"/>
          <w:sz w:val="22"/>
          <w:szCs w:val="22"/>
        </w:rPr>
        <w:t xml:space="preserve">presymptomatic children aged 2-18 years of age with a “diagnosis” </w:t>
      </w:r>
      <w:r>
        <w:rPr>
          <w:b w:val="0"/>
          <w:sz w:val="22"/>
          <w:szCs w:val="22"/>
        </w:rPr>
        <w:t>(</w:t>
      </w:r>
      <w:r w:rsidRPr="3C67F618">
        <w:rPr>
          <w:b w:val="0"/>
          <w:sz w:val="22"/>
          <w:szCs w:val="22"/>
        </w:rPr>
        <w:t>meaning laboratory diagnosis only</w:t>
      </w:r>
      <w:r>
        <w:rPr>
          <w:b w:val="0"/>
          <w:sz w:val="22"/>
          <w:szCs w:val="22"/>
        </w:rPr>
        <w:t>)</w:t>
      </w:r>
      <w:r w:rsidRPr="3C67F618">
        <w:rPr>
          <w:b w:val="0"/>
          <w:sz w:val="22"/>
          <w:szCs w:val="22"/>
        </w:rPr>
        <w:t xml:space="preserve">, and without a need to have predicted the </w:t>
      </w:r>
      <w:r>
        <w:rPr>
          <w:b w:val="0"/>
          <w:sz w:val="22"/>
          <w:szCs w:val="22"/>
        </w:rPr>
        <w:t xml:space="preserve">severity of </w:t>
      </w:r>
      <w:r w:rsidRPr="3C67F618">
        <w:rPr>
          <w:b w:val="0"/>
          <w:sz w:val="22"/>
          <w:szCs w:val="22"/>
        </w:rPr>
        <w:t xml:space="preserve">disease phenotype. </w:t>
      </w:r>
      <w:r>
        <w:rPr>
          <w:b w:val="0"/>
          <w:sz w:val="22"/>
          <w:szCs w:val="22"/>
        </w:rPr>
        <w:t xml:space="preserve">Application of these criteria in the context of NBS for GSD II is associated with the possibility of </w:t>
      </w:r>
      <w:r w:rsidRPr="3C67F618">
        <w:rPr>
          <w:b w:val="0"/>
          <w:sz w:val="22"/>
          <w:szCs w:val="22"/>
        </w:rPr>
        <w:t xml:space="preserve">overtreatment of children </w:t>
      </w:r>
      <w:r>
        <w:rPr>
          <w:b w:val="0"/>
          <w:sz w:val="22"/>
          <w:szCs w:val="22"/>
        </w:rPr>
        <w:t xml:space="preserve">identified </w:t>
      </w:r>
      <w:r w:rsidRPr="3C67F618">
        <w:rPr>
          <w:b w:val="0"/>
          <w:sz w:val="22"/>
          <w:szCs w:val="22"/>
        </w:rPr>
        <w:t xml:space="preserve">at-risk </w:t>
      </w:r>
      <w:r>
        <w:rPr>
          <w:b w:val="0"/>
          <w:sz w:val="22"/>
          <w:szCs w:val="22"/>
        </w:rPr>
        <w:t>of</w:t>
      </w:r>
      <w:r w:rsidRPr="3C67F618">
        <w:rPr>
          <w:b w:val="0"/>
          <w:sz w:val="22"/>
          <w:szCs w:val="22"/>
        </w:rPr>
        <w:t xml:space="preserve"> LOGSD</w:t>
      </w:r>
      <w:r>
        <w:rPr>
          <w:b w:val="0"/>
          <w:sz w:val="22"/>
          <w:szCs w:val="22"/>
        </w:rPr>
        <w:t xml:space="preserve"> </w:t>
      </w:r>
      <w:r w:rsidRPr="3C67F618">
        <w:rPr>
          <w:b w:val="0"/>
          <w:sz w:val="22"/>
          <w:szCs w:val="22"/>
        </w:rPr>
        <w:t xml:space="preserve">II </w:t>
      </w:r>
      <w:r>
        <w:rPr>
          <w:b w:val="0"/>
          <w:sz w:val="22"/>
          <w:szCs w:val="22"/>
        </w:rPr>
        <w:t xml:space="preserve">who would never develop clinical </w:t>
      </w:r>
      <w:proofErr w:type="gramStart"/>
      <w:r>
        <w:rPr>
          <w:b w:val="0"/>
          <w:sz w:val="22"/>
          <w:szCs w:val="22"/>
        </w:rPr>
        <w:t>disease, or</w:t>
      </w:r>
      <w:proofErr w:type="gramEnd"/>
      <w:r>
        <w:rPr>
          <w:b w:val="0"/>
          <w:sz w:val="22"/>
          <w:szCs w:val="22"/>
        </w:rPr>
        <w:t xml:space="preserve"> would only develop mild symptoms (i.e. </w:t>
      </w:r>
      <w:r w:rsidRPr="3C67F618">
        <w:rPr>
          <w:b w:val="0"/>
          <w:sz w:val="22"/>
          <w:szCs w:val="22"/>
        </w:rPr>
        <w:t>th</w:t>
      </w:r>
      <w:r>
        <w:rPr>
          <w:b w:val="0"/>
          <w:sz w:val="22"/>
          <w:szCs w:val="22"/>
        </w:rPr>
        <w:t>ese children</w:t>
      </w:r>
      <w:r w:rsidRPr="3C67F618">
        <w:rPr>
          <w:b w:val="0"/>
          <w:sz w:val="22"/>
          <w:szCs w:val="22"/>
        </w:rPr>
        <w:t xml:space="preserve"> would not have presented in the absence of </w:t>
      </w:r>
      <w:r>
        <w:rPr>
          <w:b w:val="0"/>
          <w:sz w:val="22"/>
          <w:szCs w:val="22"/>
        </w:rPr>
        <w:t>screening)</w:t>
      </w:r>
      <w:r w:rsidRPr="3C67F618">
        <w:rPr>
          <w:b w:val="0"/>
          <w:sz w:val="22"/>
          <w:szCs w:val="22"/>
        </w:rPr>
        <w:t>.</w:t>
      </w:r>
    </w:p>
    <w:p w14:paraId="1FFF051C" w14:textId="06B4153D" w:rsidR="00ED5CB7" w:rsidRDefault="00ED5CB7" w:rsidP="003A63D1">
      <w:pPr>
        <w:pStyle w:val="BoxName0"/>
        <w:pBdr>
          <w:top w:val="single" w:sz="4" w:space="7" w:color="000000"/>
        </w:pBdr>
        <w:ind w:left="284" w:hanging="284"/>
        <w:rPr>
          <w:b w:val="0"/>
          <w:sz w:val="22"/>
          <w:szCs w:val="22"/>
        </w:rPr>
      </w:pPr>
      <w:r>
        <w:rPr>
          <w:b w:val="0"/>
          <w:sz w:val="22"/>
          <w:szCs w:val="22"/>
        </w:rPr>
        <w:tab/>
      </w:r>
      <w:r w:rsidRPr="3C67F618">
        <w:rPr>
          <w:b w:val="0"/>
          <w:sz w:val="22"/>
          <w:szCs w:val="22"/>
        </w:rPr>
        <w:t xml:space="preserve">Newborn screening, diagnosis and clinical assessment will likely lead to earlier diagnosis and avoidance of the diagnostic </w:t>
      </w:r>
      <w:r w:rsidR="00931D42">
        <w:rPr>
          <w:b w:val="0"/>
          <w:sz w:val="22"/>
          <w:szCs w:val="22"/>
        </w:rPr>
        <w:t>delay</w:t>
      </w:r>
      <w:r w:rsidR="00931D42" w:rsidRPr="3C67F618">
        <w:rPr>
          <w:b w:val="0"/>
          <w:sz w:val="22"/>
          <w:szCs w:val="22"/>
        </w:rPr>
        <w:t xml:space="preserve"> </w:t>
      </w:r>
      <w:r>
        <w:rPr>
          <w:b w:val="0"/>
          <w:sz w:val="22"/>
          <w:szCs w:val="22"/>
        </w:rPr>
        <w:t>for some of those individuals who would go onto develop clinical LOGSD II</w:t>
      </w:r>
      <w:r w:rsidRPr="3C67F618">
        <w:rPr>
          <w:b w:val="0"/>
          <w:sz w:val="22"/>
          <w:szCs w:val="22"/>
        </w:rPr>
        <w:t>.</w:t>
      </w:r>
    </w:p>
    <w:p w14:paraId="1573C975" w14:textId="77777777" w:rsidR="00ED5CB7" w:rsidRPr="003201E7" w:rsidRDefault="00ED5CB7" w:rsidP="003A63D1">
      <w:pPr>
        <w:pStyle w:val="BoxName0"/>
        <w:pBdr>
          <w:top w:val="single" w:sz="4" w:space="7" w:color="000000"/>
        </w:pBdr>
        <w:ind w:left="284" w:hanging="284"/>
        <w:rPr>
          <w:b w:val="0"/>
          <w:sz w:val="22"/>
          <w:szCs w:val="22"/>
        </w:rPr>
      </w:pPr>
      <w:r>
        <w:rPr>
          <w:b w:val="0"/>
          <w:sz w:val="22"/>
          <w:szCs w:val="22"/>
        </w:rPr>
        <w:t xml:space="preserve">     </w:t>
      </w:r>
      <w:r w:rsidRPr="3C67F618">
        <w:rPr>
          <w:b w:val="0"/>
          <w:sz w:val="22"/>
          <w:szCs w:val="22"/>
        </w:rPr>
        <w:t xml:space="preserve">There are no national clinical </w:t>
      </w:r>
      <w:r>
        <w:rPr>
          <w:b w:val="0"/>
          <w:sz w:val="22"/>
          <w:szCs w:val="22"/>
        </w:rPr>
        <w:t>practice</w:t>
      </w:r>
      <w:r w:rsidRPr="3C67F618">
        <w:rPr>
          <w:b w:val="0"/>
          <w:sz w:val="22"/>
          <w:szCs w:val="22"/>
        </w:rPr>
        <w:t xml:space="preserve"> guidelines for </w:t>
      </w:r>
      <w:r>
        <w:rPr>
          <w:b w:val="0"/>
          <w:sz w:val="22"/>
          <w:szCs w:val="22"/>
        </w:rPr>
        <w:t xml:space="preserve">the </w:t>
      </w:r>
      <w:r w:rsidRPr="3C67F618">
        <w:rPr>
          <w:b w:val="0"/>
          <w:sz w:val="22"/>
          <w:szCs w:val="22"/>
        </w:rPr>
        <w:t xml:space="preserve">management of presymptomatic children </w:t>
      </w:r>
      <w:r>
        <w:rPr>
          <w:b w:val="0"/>
          <w:sz w:val="22"/>
          <w:szCs w:val="22"/>
        </w:rPr>
        <w:t>at-risk of LOGSD II</w:t>
      </w:r>
      <w:r w:rsidRPr="3C67F618">
        <w:rPr>
          <w:b w:val="0"/>
          <w:sz w:val="22"/>
          <w:szCs w:val="22"/>
        </w:rPr>
        <w:t xml:space="preserve"> identified through </w:t>
      </w:r>
      <w:r>
        <w:rPr>
          <w:b w:val="0"/>
          <w:sz w:val="22"/>
          <w:szCs w:val="22"/>
        </w:rPr>
        <w:t xml:space="preserve">newborn </w:t>
      </w:r>
      <w:r w:rsidRPr="3C67F618">
        <w:rPr>
          <w:b w:val="0"/>
          <w:sz w:val="22"/>
          <w:szCs w:val="22"/>
        </w:rPr>
        <w:t>screening, but advice</w:t>
      </w:r>
      <w:r>
        <w:rPr>
          <w:b w:val="0"/>
          <w:sz w:val="22"/>
          <w:szCs w:val="22"/>
        </w:rPr>
        <w:t xml:space="preserve"> </w:t>
      </w:r>
      <w:r w:rsidRPr="3C67F618">
        <w:rPr>
          <w:b w:val="0"/>
          <w:sz w:val="22"/>
          <w:szCs w:val="22"/>
        </w:rPr>
        <w:t xml:space="preserve">from </w:t>
      </w:r>
      <w:r w:rsidRPr="55C0617A">
        <w:rPr>
          <w:b w:val="0"/>
          <w:bCs w:val="0"/>
          <w:sz w:val="22"/>
          <w:szCs w:val="22"/>
        </w:rPr>
        <w:t>the clinical experts supporting this application</w:t>
      </w:r>
      <w:r w:rsidRPr="3C67F618">
        <w:rPr>
          <w:b w:val="0"/>
          <w:sz w:val="22"/>
          <w:szCs w:val="22"/>
        </w:rPr>
        <w:t xml:space="preserve"> is that in practice ERT would only be commenced when symptoms </w:t>
      </w:r>
      <w:r>
        <w:rPr>
          <w:b w:val="0"/>
          <w:sz w:val="22"/>
          <w:szCs w:val="22"/>
        </w:rPr>
        <w:t xml:space="preserve">and </w:t>
      </w:r>
      <w:r w:rsidRPr="3C67F618">
        <w:rPr>
          <w:b w:val="0"/>
          <w:sz w:val="22"/>
          <w:szCs w:val="22"/>
        </w:rPr>
        <w:t xml:space="preserve">signs of </w:t>
      </w:r>
      <w:r>
        <w:rPr>
          <w:b w:val="0"/>
          <w:sz w:val="22"/>
          <w:szCs w:val="22"/>
        </w:rPr>
        <w:t xml:space="preserve">the </w:t>
      </w:r>
      <w:r w:rsidRPr="3C67F618">
        <w:rPr>
          <w:b w:val="0"/>
          <w:sz w:val="22"/>
          <w:szCs w:val="22"/>
        </w:rPr>
        <w:t>disease become apparent</w:t>
      </w:r>
      <w:r>
        <w:rPr>
          <w:b w:val="0"/>
          <w:sz w:val="22"/>
          <w:szCs w:val="22"/>
        </w:rPr>
        <w:t>,</w:t>
      </w:r>
      <w:r w:rsidRPr="55C0617A">
        <w:rPr>
          <w:b w:val="0"/>
          <w:bCs w:val="0"/>
          <w:sz w:val="22"/>
          <w:szCs w:val="22"/>
        </w:rPr>
        <w:t xml:space="preserve"> in alignment with international guidelines</w:t>
      </w:r>
      <w:r w:rsidRPr="3C67F618">
        <w:rPr>
          <w:b w:val="0"/>
          <w:sz w:val="22"/>
          <w:szCs w:val="22"/>
        </w:rPr>
        <w:t xml:space="preserve">. </w:t>
      </w:r>
      <w:r>
        <w:rPr>
          <w:b w:val="0"/>
          <w:sz w:val="22"/>
          <w:szCs w:val="22"/>
        </w:rPr>
        <w:t>If so, further clinical expert advice is needed on whether this means an additional 57 individuals per year will need to undergo long term monitoring for symptoms and signs of possible disease, potentially for the rest of their lives.</w:t>
      </w:r>
    </w:p>
    <w:p w14:paraId="16044F85" w14:textId="77777777" w:rsidR="00ED5CB7" w:rsidRPr="003201E7" w:rsidRDefault="00ED5CB7" w:rsidP="003A63D1">
      <w:pPr>
        <w:pStyle w:val="BoxName0"/>
        <w:pBdr>
          <w:top w:val="single" w:sz="4" w:space="7" w:color="000000"/>
        </w:pBdr>
        <w:ind w:left="284" w:hanging="284"/>
        <w:rPr>
          <w:b w:val="0"/>
          <w:bCs w:val="0"/>
          <w:sz w:val="22"/>
          <w:szCs w:val="18"/>
        </w:rPr>
      </w:pPr>
      <w:r w:rsidRPr="003201E7">
        <w:rPr>
          <w:b w:val="0"/>
          <w:bCs w:val="0"/>
          <w:sz w:val="22"/>
          <w:szCs w:val="18"/>
        </w:rPr>
        <w:t>4.</w:t>
      </w:r>
      <w:r w:rsidRPr="003201E7">
        <w:rPr>
          <w:b w:val="0"/>
          <w:bCs w:val="0"/>
          <w:sz w:val="22"/>
          <w:szCs w:val="18"/>
        </w:rPr>
        <w:tab/>
      </w:r>
      <w:r w:rsidRPr="00244070">
        <w:rPr>
          <w:sz w:val="22"/>
          <w:szCs w:val="18"/>
        </w:rPr>
        <w:t>Is the available treatment effective from the proposed earlier age of initiation following NBS screening and diagnosis compared to symptomatic presentation?</w:t>
      </w:r>
    </w:p>
    <w:p w14:paraId="3E6B55C4" w14:textId="77777777" w:rsidR="00ED5CB7" w:rsidRPr="00244070" w:rsidRDefault="00ED5CB7" w:rsidP="003A63D1">
      <w:pPr>
        <w:pStyle w:val="BoxName0"/>
        <w:pBdr>
          <w:top w:val="single" w:sz="4" w:space="7" w:color="000000"/>
        </w:pBdr>
        <w:ind w:left="284" w:hanging="284"/>
        <w:rPr>
          <w:b w:val="0"/>
          <w:bCs w:val="0"/>
          <w:sz w:val="22"/>
          <w:szCs w:val="18"/>
          <w:u w:val="single"/>
        </w:rPr>
      </w:pPr>
      <w:r w:rsidRPr="00244070">
        <w:rPr>
          <w:b w:val="0"/>
          <w:bCs w:val="0"/>
          <w:sz w:val="22"/>
          <w:szCs w:val="18"/>
          <w:u w:val="single"/>
        </w:rPr>
        <w:t>Comparative effectiveness and safety of ERT in IOGSD II following NBS:</w:t>
      </w:r>
    </w:p>
    <w:p w14:paraId="36C61FBD" w14:textId="77777777" w:rsidR="00ED5CB7" w:rsidRDefault="00ED5CB7" w:rsidP="003A63D1">
      <w:pPr>
        <w:pStyle w:val="BoxName0"/>
        <w:pBdr>
          <w:top w:val="single" w:sz="4" w:space="7" w:color="000000"/>
        </w:pBdr>
        <w:ind w:left="284" w:hanging="284"/>
        <w:rPr>
          <w:b w:val="0"/>
          <w:sz w:val="22"/>
          <w:szCs w:val="22"/>
        </w:rPr>
      </w:pPr>
      <w:r>
        <w:rPr>
          <w:b w:val="0"/>
          <w:sz w:val="22"/>
          <w:szCs w:val="22"/>
        </w:rPr>
        <w:t xml:space="preserve">     </w:t>
      </w:r>
      <w:r w:rsidRPr="6C8EC8B3">
        <w:rPr>
          <w:b w:val="0"/>
          <w:sz w:val="22"/>
          <w:szCs w:val="22"/>
        </w:rPr>
        <w:t xml:space="preserve">There is </w:t>
      </w:r>
      <w:r>
        <w:rPr>
          <w:b w:val="0"/>
          <w:sz w:val="22"/>
          <w:szCs w:val="22"/>
        </w:rPr>
        <w:t xml:space="preserve">observational </w:t>
      </w:r>
      <w:r w:rsidRPr="6C8EC8B3">
        <w:rPr>
          <w:b w:val="0"/>
          <w:sz w:val="22"/>
          <w:szCs w:val="22"/>
        </w:rPr>
        <w:t xml:space="preserve">evidence of likely </w:t>
      </w:r>
      <w:r>
        <w:rPr>
          <w:b w:val="0"/>
          <w:sz w:val="22"/>
          <w:szCs w:val="22"/>
        </w:rPr>
        <w:t xml:space="preserve">greater effectiveness </w:t>
      </w:r>
      <w:r w:rsidRPr="6C8EC8B3">
        <w:rPr>
          <w:b w:val="0"/>
          <w:sz w:val="22"/>
          <w:szCs w:val="22"/>
        </w:rPr>
        <w:t xml:space="preserve">(before irreversible signs and symptoms develop) from starting </w:t>
      </w:r>
      <w:r>
        <w:rPr>
          <w:b w:val="0"/>
          <w:sz w:val="22"/>
          <w:szCs w:val="22"/>
        </w:rPr>
        <w:t xml:space="preserve">ERT </w:t>
      </w:r>
      <w:r w:rsidRPr="6C8EC8B3">
        <w:rPr>
          <w:b w:val="0"/>
          <w:sz w:val="22"/>
          <w:szCs w:val="22"/>
        </w:rPr>
        <w:t xml:space="preserve">earlier for IOGSD II cases </w:t>
      </w:r>
      <w:r>
        <w:rPr>
          <w:b w:val="0"/>
          <w:sz w:val="22"/>
          <w:szCs w:val="22"/>
        </w:rPr>
        <w:t>where</w:t>
      </w:r>
      <w:r w:rsidRPr="6C8EC8B3">
        <w:rPr>
          <w:b w:val="0"/>
          <w:sz w:val="22"/>
          <w:szCs w:val="22"/>
        </w:rPr>
        <w:t xml:space="preserve"> current LSDP </w:t>
      </w:r>
      <w:r>
        <w:rPr>
          <w:b w:val="0"/>
          <w:sz w:val="22"/>
          <w:szCs w:val="22"/>
        </w:rPr>
        <w:t xml:space="preserve">eligibility </w:t>
      </w:r>
      <w:r w:rsidRPr="6C8EC8B3">
        <w:rPr>
          <w:b w:val="0"/>
          <w:sz w:val="22"/>
          <w:szCs w:val="22"/>
        </w:rPr>
        <w:t xml:space="preserve">criteria are met. </w:t>
      </w:r>
    </w:p>
    <w:p w14:paraId="69BC5FD6" w14:textId="77777777" w:rsidR="00ED5CB7" w:rsidRDefault="00ED5CB7" w:rsidP="003A63D1">
      <w:pPr>
        <w:pStyle w:val="BoxName0"/>
        <w:pBdr>
          <w:top w:val="single" w:sz="4" w:space="7" w:color="000000"/>
        </w:pBdr>
        <w:ind w:left="284" w:hanging="284"/>
        <w:rPr>
          <w:b w:val="0"/>
          <w:sz w:val="22"/>
          <w:szCs w:val="22"/>
        </w:rPr>
      </w:pPr>
      <w:r>
        <w:rPr>
          <w:b w:val="0"/>
          <w:sz w:val="22"/>
          <w:szCs w:val="22"/>
        </w:rPr>
        <w:t xml:space="preserve">     </w:t>
      </w:r>
      <w:r w:rsidRPr="03611FD7">
        <w:rPr>
          <w:b w:val="0"/>
          <w:sz w:val="22"/>
          <w:szCs w:val="22"/>
        </w:rPr>
        <w:t xml:space="preserve">There is </w:t>
      </w:r>
      <w:r>
        <w:rPr>
          <w:b w:val="0"/>
          <w:sz w:val="22"/>
          <w:szCs w:val="22"/>
        </w:rPr>
        <w:t xml:space="preserve">a </w:t>
      </w:r>
      <w:r w:rsidRPr="03611FD7">
        <w:rPr>
          <w:b w:val="0"/>
          <w:sz w:val="22"/>
          <w:szCs w:val="22"/>
        </w:rPr>
        <w:t xml:space="preserve">lack of direct evidence </w:t>
      </w:r>
      <w:r>
        <w:rPr>
          <w:b w:val="0"/>
          <w:sz w:val="22"/>
          <w:szCs w:val="22"/>
        </w:rPr>
        <w:t>on the</w:t>
      </w:r>
      <w:r w:rsidRPr="03611FD7">
        <w:rPr>
          <w:b w:val="0"/>
          <w:sz w:val="22"/>
          <w:szCs w:val="22"/>
        </w:rPr>
        <w:t xml:space="preserve"> </w:t>
      </w:r>
      <w:r>
        <w:rPr>
          <w:b w:val="0"/>
          <w:sz w:val="22"/>
          <w:szCs w:val="22"/>
        </w:rPr>
        <w:t xml:space="preserve">comparative </w:t>
      </w:r>
      <w:r w:rsidRPr="03611FD7">
        <w:rPr>
          <w:b w:val="0"/>
          <w:sz w:val="22"/>
          <w:szCs w:val="22"/>
        </w:rPr>
        <w:t>risk of develo</w:t>
      </w:r>
      <w:r>
        <w:rPr>
          <w:b w:val="0"/>
          <w:sz w:val="22"/>
          <w:szCs w:val="22"/>
        </w:rPr>
        <w:t xml:space="preserve">ping </w:t>
      </w:r>
      <w:r w:rsidRPr="03611FD7">
        <w:rPr>
          <w:b w:val="0"/>
          <w:sz w:val="22"/>
          <w:szCs w:val="22"/>
        </w:rPr>
        <w:t>ERT related adverse events (AEs)</w:t>
      </w:r>
      <w:r>
        <w:rPr>
          <w:b w:val="0"/>
          <w:sz w:val="22"/>
          <w:szCs w:val="22"/>
        </w:rPr>
        <w:t xml:space="preserve"> and</w:t>
      </w:r>
      <w:r w:rsidRPr="03611FD7">
        <w:rPr>
          <w:rFonts w:eastAsiaTheme="minorEastAsia" w:cstheme="minorBidi"/>
          <w:b w:val="0"/>
          <w:color w:val="auto"/>
          <w:sz w:val="22"/>
          <w:szCs w:val="22"/>
          <w:lang w:eastAsia="en-US"/>
        </w:rPr>
        <w:t xml:space="preserve"> </w:t>
      </w:r>
      <w:r w:rsidRPr="03611FD7">
        <w:rPr>
          <w:b w:val="0"/>
          <w:sz w:val="22"/>
          <w:szCs w:val="22"/>
        </w:rPr>
        <w:t xml:space="preserve">neutralising antibodies (especially in </w:t>
      </w:r>
      <w:r w:rsidRPr="00143F05">
        <w:rPr>
          <w:b w:val="0"/>
          <w:sz w:val="22"/>
          <w:szCs w:val="22"/>
        </w:rPr>
        <w:t xml:space="preserve">Cross-reactive immunological material (CRIM) </w:t>
      </w:r>
      <w:r>
        <w:rPr>
          <w:b w:val="0"/>
          <w:sz w:val="22"/>
          <w:szCs w:val="22"/>
        </w:rPr>
        <w:t xml:space="preserve">positive </w:t>
      </w:r>
      <w:r w:rsidRPr="03611FD7">
        <w:rPr>
          <w:b w:val="0"/>
          <w:sz w:val="22"/>
          <w:szCs w:val="22"/>
        </w:rPr>
        <w:t>patients)</w:t>
      </w:r>
      <w:r>
        <w:rPr>
          <w:b w:val="0"/>
          <w:sz w:val="22"/>
          <w:szCs w:val="22"/>
        </w:rPr>
        <w:t xml:space="preserve"> from starting ERT earlier. ESC noted the clinical advice that initiation of </w:t>
      </w:r>
      <w:r w:rsidRPr="00280C28">
        <w:rPr>
          <w:b w:val="0"/>
          <w:sz w:val="22"/>
          <w:szCs w:val="22"/>
        </w:rPr>
        <w:t>immunomodulation</w:t>
      </w:r>
      <w:r>
        <w:rPr>
          <w:b w:val="0"/>
          <w:sz w:val="22"/>
          <w:szCs w:val="22"/>
        </w:rPr>
        <w:t xml:space="preserve"> therapy prior to</w:t>
      </w:r>
      <w:r w:rsidRPr="00280C28">
        <w:rPr>
          <w:b w:val="0"/>
          <w:sz w:val="22"/>
          <w:szCs w:val="22"/>
        </w:rPr>
        <w:t xml:space="preserve"> ERT</w:t>
      </w:r>
      <w:r>
        <w:rPr>
          <w:b w:val="0"/>
          <w:sz w:val="22"/>
          <w:szCs w:val="22"/>
        </w:rPr>
        <w:t xml:space="preserve"> reduces </w:t>
      </w:r>
      <w:r w:rsidRPr="00280C28">
        <w:rPr>
          <w:b w:val="0"/>
          <w:sz w:val="22"/>
          <w:szCs w:val="22"/>
        </w:rPr>
        <w:t>the potential for developing neutralising autoantibodies</w:t>
      </w:r>
      <w:r>
        <w:rPr>
          <w:b w:val="0"/>
          <w:sz w:val="22"/>
          <w:szCs w:val="22"/>
        </w:rPr>
        <w:t xml:space="preserve"> to ERT.</w:t>
      </w:r>
    </w:p>
    <w:p w14:paraId="7AB58E33" w14:textId="77777777" w:rsidR="00ED5CB7" w:rsidRPr="00244070" w:rsidRDefault="00ED5CB7" w:rsidP="003A63D1">
      <w:pPr>
        <w:pStyle w:val="BoxName0"/>
        <w:pBdr>
          <w:top w:val="single" w:sz="4" w:space="7" w:color="000000"/>
        </w:pBdr>
        <w:ind w:left="284" w:hanging="284"/>
        <w:rPr>
          <w:b w:val="0"/>
          <w:bCs w:val="0"/>
          <w:sz w:val="22"/>
          <w:szCs w:val="18"/>
          <w:u w:val="single"/>
        </w:rPr>
      </w:pPr>
      <w:r w:rsidRPr="00244070">
        <w:rPr>
          <w:b w:val="0"/>
          <w:bCs w:val="0"/>
          <w:sz w:val="22"/>
          <w:szCs w:val="18"/>
          <w:u w:val="single"/>
        </w:rPr>
        <w:t>Comparative effectiveness and safety of ERT in LOGSD II following NBS:</w:t>
      </w:r>
    </w:p>
    <w:p w14:paraId="221D253A" w14:textId="459F7723" w:rsidR="00ED5CB7" w:rsidRPr="003201E7" w:rsidRDefault="00ED5CB7" w:rsidP="003A63D1">
      <w:pPr>
        <w:pStyle w:val="BoxName0"/>
        <w:pBdr>
          <w:top w:val="single" w:sz="4" w:space="7" w:color="000000"/>
        </w:pBdr>
        <w:tabs>
          <w:tab w:val="left" w:pos="284"/>
        </w:tabs>
        <w:ind w:left="284" w:hanging="284"/>
        <w:rPr>
          <w:b w:val="0"/>
          <w:bCs w:val="0"/>
          <w:sz w:val="22"/>
          <w:szCs w:val="18"/>
        </w:rPr>
      </w:pPr>
      <w:r>
        <w:rPr>
          <w:b w:val="0"/>
          <w:bCs w:val="0"/>
          <w:sz w:val="22"/>
          <w:szCs w:val="18"/>
        </w:rPr>
        <w:tab/>
        <w:t xml:space="preserve">There is observational </w:t>
      </w:r>
      <w:r w:rsidRPr="009A026F">
        <w:rPr>
          <w:b w:val="0"/>
          <w:bCs w:val="0"/>
          <w:sz w:val="22"/>
          <w:szCs w:val="18"/>
        </w:rPr>
        <w:t xml:space="preserve">evidence of </w:t>
      </w:r>
      <w:r>
        <w:rPr>
          <w:b w:val="0"/>
          <w:bCs w:val="0"/>
          <w:sz w:val="22"/>
          <w:szCs w:val="18"/>
        </w:rPr>
        <w:t xml:space="preserve">likely greater </w:t>
      </w:r>
      <w:r w:rsidRPr="009A026F">
        <w:rPr>
          <w:b w:val="0"/>
          <w:bCs w:val="0"/>
          <w:sz w:val="22"/>
          <w:szCs w:val="18"/>
        </w:rPr>
        <w:t xml:space="preserve">effectiveness in </w:t>
      </w:r>
      <w:r>
        <w:rPr>
          <w:b w:val="0"/>
          <w:bCs w:val="0"/>
          <w:sz w:val="22"/>
          <w:szCs w:val="18"/>
        </w:rPr>
        <w:t xml:space="preserve">patients with symptomatic </w:t>
      </w:r>
      <w:r w:rsidRPr="009A026F">
        <w:rPr>
          <w:b w:val="0"/>
          <w:bCs w:val="0"/>
          <w:sz w:val="22"/>
          <w:szCs w:val="18"/>
        </w:rPr>
        <w:t>LOGSD II</w:t>
      </w:r>
      <w:r>
        <w:rPr>
          <w:b w:val="0"/>
          <w:bCs w:val="0"/>
          <w:sz w:val="22"/>
          <w:szCs w:val="18"/>
        </w:rPr>
        <w:t xml:space="preserve"> from starting ERT earlier. However, there are no direct data to support presymptomatic use of ERT in children identified as at risk of LOGSDII, and there are likely harms associated with such use. ESC noted that LSDP-funded ERT is permitted for these children after 24 months of age. Monitored individuals who develop clinical LOGSD II may also benefit by potentially avoiding a diagnostic </w:t>
      </w:r>
      <w:r w:rsidR="00931D42">
        <w:rPr>
          <w:b w:val="0"/>
          <w:bCs w:val="0"/>
          <w:sz w:val="22"/>
          <w:szCs w:val="18"/>
        </w:rPr>
        <w:t>delay</w:t>
      </w:r>
      <w:r>
        <w:rPr>
          <w:b w:val="0"/>
          <w:bCs w:val="0"/>
          <w:sz w:val="22"/>
          <w:szCs w:val="18"/>
        </w:rPr>
        <w:t xml:space="preserve">. </w:t>
      </w:r>
    </w:p>
    <w:p w14:paraId="5329EEB9" w14:textId="77777777" w:rsidR="00ED5CB7" w:rsidRPr="003201E7" w:rsidRDefault="00ED5CB7" w:rsidP="003A63D1">
      <w:pPr>
        <w:pStyle w:val="BoxName0"/>
        <w:keepNext w:val="0"/>
        <w:pBdr>
          <w:top w:val="single" w:sz="4" w:space="7" w:color="000000"/>
        </w:pBdr>
        <w:ind w:left="284" w:hanging="284"/>
        <w:rPr>
          <w:b w:val="0"/>
          <w:sz w:val="22"/>
          <w:szCs w:val="22"/>
        </w:rPr>
      </w:pPr>
      <w:r>
        <w:rPr>
          <w:b w:val="0"/>
          <w:sz w:val="22"/>
          <w:szCs w:val="22"/>
        </w:rPr>
        <w:t xml:space="preserve">     </w:t>
      </w:r>
      <w:r w:rsidRPr="00C8EAB8">
        <w:rPr>
          <w:b w:val="0"/>
          <w:sz w:val="22"/>
          <w:szCs w:val="22"/>
        </w:rPr>
        <w:t xml:space="preserve">There is emergent evidence for use of ERT at doses higher than </w:t>
      </w:r>
      <w:r>
        <w:rPr>
          <w:b w:val="0"/>
          <w:sz w:val="22"/>
          <w:szCs w:val="22"/>
        </w:rPr>
        <w:t xml:space="preserve">is </w:t>
      </w:r>
      <w:r w:rsidRPr="00C8EAB8">
        <w:rPr>
          <w:b w:val="0"/>
          <w:sz w:val="22"/>
          <w:szCs w:val="22"/>
        </w:rPr>
        <w:t>currently</w:t>
      </w:r>
      <w:r>
        <w:rPr>
          <w:b w:val="0"/>
          <w:sz w:val="22"/>
          <w:szCs w:val="22"/>
        </w:rPr>
        <w:t xml:space="preserve"> </w:t>
      </w:r>
      <w:r w:rsidRPr="00C8EAB8">
        <w:rPr>
          <w:b w:val="0"/>
          <w:sz w:val="22"/>
          <w:szCs w:val="22"/>
        </w:rPr>
        <w:t>funde</w:t>
      </w:r>
      <w:r>
        <w:rPr>
          <w:b w:val="0"/>
          <w:sz w:val="22"/>
          <w:szCs w:val="22"/>
        </w:rPr>
        <w:t>d via the</w:t>
      </w:r>
      <w:r w:rsidRPr="00C8EAB8">
        <w:rPr>
          <w:b w:val="0"/>
          <w:sz w:val="22"/>
          <w:szCs w:val="22"/>
        </w:rPr>
        <w:t xml:space="preserve"> LSDP </w:t>
      </w:r>
      <w:r>
        <w:rPr>
          <w:b w:val="0"/>
          <w:sz w:val="22"/>
          <w:szCs w:val="22"/>
        </w:rPr>
        <w:t xml:space="preserve">for individuals </w:t>
      </w:r>
      <w:r w:rsidRPr="002E6C32">
        <w:rPr>
          <w:b w:val="0"/>
          <w:sz w:val="22"/>
          <w:szCs w:val="22"/>
        </w:rPr>
        <w:t xml:space="preserve">who experience insufficient </w:t>
      </w:r>
      <w:r>
        <w:rPr>
          <w:b w:val="0"/>
          <w:sz w:val="22"/>
          <w:szCs w:val="22"/>
        </w:rPr>
        <w:t xml:space="preserve">disease </w:t>
      </w:r>
      <w:r w:rsidRPr="002E6C32">
        <w:rPr>
          <w:b w:val="0"/>
          <w:sz w:val="22"/>
          <w:szCs w:val="22"/>
        </w:rPr>
        <w:t>control</w:t>
      </w:r>
      <w:r>
        <w:rPr>
          <w:b w:val="0"/>
          <w:sz w:val="22"/>
          <w:szCs w:val="22"/>
        </w:rPr>
        <w:t xml:space="preserve"> with the recommended dose</w:t>
      </w:r>
      <w:r w:rsidRPr="00C8EAB8">
        <w:rPr>
          <w:b w:val="0"/>
          <w:sz w:val="22"/>
          <w:szCs w:val="22"/>
        </w:rPr>
        <w:t xml:space="preserve">. </w:t>
      </w:r>
      <w:r>
        <w:rPr>
          <w:b w:val="0"/>
          <w:sz w:val="22"/>
          <w:szCs w:val="22"/>
        </w:rPr>
        <w:t>However, ESC considered that t</w:t>
      </w:r>
      <w:r w:rsidRPr="00C8EAB8">
        <w:rPr>
          <w:b w:val="0"/>
          <w:sz w:val="22"/>
          <w:szCs w:val="22"/>
        </w:rPr>
        <w:t xml:space="preserve">he safety, effectiveness, cost-effectiveness and financial impact of </w:t>
      </w:r>
      <w:r>
        <w:rPr>
          <w:b w:val="0"/>
          <w:sz w:val="22"/>
          <w:szCs w:val="22"/>
        </w:rPr>
        <w:t>such</w:t>
      </w:r>
      <w:r w:rsidRPr="00C8EAB8">
        <w:rPr>
          <w:b w:val="0"/>
          <w:sz w:val="22"/>
          <w:szCs w:val="22"/>
        </w:rPr>
        <w:t xml:space="preserve"> </w:t>
      </w:r>
      <w:r>
        <w:rPr>
          <w:b w:val="0"/>
          <w:sz w:val="22"/>
          <w:szCs w:val="22"/>
        </w:rPr>
        <w:t>use</w:t>
      </w:r>
      <w:r w:rsidRPr="00C8EAB8">
        <w:rPr>
          <w:b w:val="0"/>
          <w:sz w:val="22"/>
          <w:szCs w:val="22"/>
        </w:rPr>
        <w:t xml:space="preserve"> is out of scope </w:t>
      </w:r>
      <w:r>
        <w:rPr>
          <w:b w:val="0"/>
          <w:sz w:val="22"/>
          <w:szCs w:val="22"/>
        </w:rPr>
        <w:t>for the current MSAC</w:t>
      </w:r>
      <w:r w:rsidRPr="00C8EAB8">
        <w:rPr>
          <w:b w:val="0"/>
          <w:sz w:val="22"/>
          <w:szCs w:val="22"/>
        </w:rPr>
        <w:t xml:space="preserve"> application.</w:t>
      </w:r>
    </w:p>
    <w:p w14:paraId="0AB80215" w14:textId="77777777" w:rsidR="00ED5CB7" w:rsidRPr="00DF68C6" w:rsidRDefault="00ED5CB7" w:rsidP="003A63D1">
      <w:pPr>
        <w:pStyle w:val="BoxName0"/>
        <w:pBdr>
          <w:top w:val="single" w:sz="4" w:space="7" w:color="000000"/>
        </w:pBdr>
        <w:ind w:left="426" w:hanging="426"/>
        <w:rPr>
          <w:sz w:val="22"/>
          <w:szCs w:val="18"/>
        </w:rPr>
      </w:pPr>
      <w:r w:rsidRPr="003201E7">
        <w:rPr>
          <w:b w:val="0"/>
          <w:bCs w:val="0"/>
          <w:sz w:val="22"/>
          <w:szCs w:val="18"/>
        </w:rPr>
        <w:t>5.</w:t>
      </w:r>
      <w:r w:rsidRPr="003201E7">
        <w:rPr>
          <w:b w:val="0"/>
          <w:bCs w:val="0"/>
          <w:sz w:val="22"/>
          <w:szCs w:val="18"/>
        </w:rPr>
        <w:tab/>
      </w:r>
      <w:r w:rsidRPr="00DF68C6">
        <w:rPr>
          <w:sz w:val="22"/>
          <w:szCs w:val="18"/>
        </w:rPr>
        <w:t>Is the available treatment cost-effective from the proposed earlier age of initiation following NBS screening and diagnosis compared to symptomatic presentation?</w:t>
      </w:r>
    </w:p>
    <w:p w14:paraId="50348F0F" w14:textId="77777777" w:rsidR="00ED5CB7" w:rsidRPr="00244070" w:rsidRDefault="00ED5CB7" w:rsidP="003A63D1">
      <w:pPr>
        <w:pStyle w:val="BoxName0"/>
        <w:pBdr>
          <w:top w:val="single" w:sz="4" w:space="7" w:color="000000"/>
        </w:pBdr>
        <w:rPr>
          <w:b w:val="0"/>
          <w:bCs w:val="0"/>
          <w:sz w:val="22"/>
          <w:szCs w:val="18"/>
          <w:u w:val="single"/>
        </w:rPr>
      </w:pPr>
      <w:r w:rsidRPr="00244070">
        <w:rPr>
          <w:b w:val="0"/>
          <w:bCs w:val="0"/>
          <w:sz w:val="22"/>
          <w:szCs w:val="18"/>
          <w:u w:val="single"/>
        </w:rPr>
        <w:t>Cost-effectiveness of ERT in GSD II following NBS:</w:t>
      </w:r>
    </w:p>
    <w:p w14:paraId="0B610B78" w14:textId="33AC07A9" w:rsidR="00ED5CB7" w:rsidRPr="00996AAB" w:rsidRDefault="00ED5CB7" w:rsidP="003A63D1">
      <w:pPr>
        <w:pStyle w:val="BoxName0"/>
        <w:pBdr>
          <w:top w:val="single" w:sz="4" w:space="7" w:color="000000"/>
        </w:pBdr>
        <w:ind w:left="284" w:hanging="284"/>
        <w:rPr>
          <w:b w:val="0"/>
          <w:bCs w:val="0"/>
          <w:sz w:val="22"/>
          <w:szCs w:val="18"/>
        </w:rPr>
      </w:pPr>
      <w:r>
        <w:rPr>
          <w:b w:val="0"/>
          <w:bCs w:val="0"/>
          <w:sz w:val="22"/>
          <w:szCs w:val="18"/>
        </w:rPr>
        <w:tab/>
      </w:r>
      <w:r>
        <w:rPr>
          <w:b w:val="0"/>
          <w:sz w:val="22"/>
          <w:szCs w:val="22"/>
        </w:rPr>
        <w:t>ESC noted that t</w:t>
      </w:r>
      <w:r w:rsidRPr="6C8EC8B3">
        <w:rPr>
          <w:b w:val="0"/>
          <w:sz w:val="22"/>
          <w:szCs w:val="22"/>
        </w:rPr>
        <w:t xml:space="preserve">he cost-effectiveness analysis is relatively robust (given the paucity in evidence). </w:t>
      </w:r>
      <w:r>
        <w:rPr>
          <w:b w:val="0"/>
          <w:sz w:val="22"/>
          <w:szCs w:val="22"/>
        </w:rPr>
        <w:t xml:space="preserve">ESC noted that </w:t>
      </w:r>
      <w:r w:rsidRPr="6C8EC8B3">
        <w:rPr>
          <w:b w:val="0"/>
          <w:sz w:val="22"/>
          <w:szCs w:val="22"/>
        </w:rPr>
        <w:t>the incremental cost-effectiveness ratio (ICER) (base case ICER $</w:t>
      </w:r>
      <w:r w:rsidR="00E025B8" w:rsidRPr="00E025B8">
        <w:rPr>
          <w:sz w:val="22"/>
          <w:szCs w:val="22"/>
        </w:rPr>
        <w:t>REDACTED</w:t>
      </w:r>
      <w:r w:rsidRPr="6C8EC8B3">
        <w:rPr>
          <w:b w:val="0"/>
          <w:sz w:val="22"/>
          <w:szCs w:val="22"/>
        </w:rPr>
        <w:t xml:space="preserve"> per additional GSD</w:t>
      </w:r>
      <w:r w:rsidRPr="6C8EC8B3">
        <w:rPr>
          <w:rFonts w:ascii="Arial" w:hAnsi="Arial" w:cs="Arial"/>
          <w:b w:val="0"/>
          <w:sz w:val="22"/>
          <w:szCs w:val="22"/>
        </w:rPr>
        <w:t> </w:t>
      </w:r>
      <w:r w:rsidRPr="6C8EC8B3">
        <w:rPr>
          <w:b w:val="0"/>
          <w:sz w:val="22"/>
          <w:szCs w:val="22"/>
        </w:rPr>
        <w:t xml:space="preserve">II diagnosis) is very high </w:t>
      </w:r>
      <w:r>
        <w:rPr>
          <w:b w:val="0"/>
          <w:sz w:val="22"/>
          <w:szCs w:val="22"/>
        </w:rPr>
        <w:t>c</w:t>
      </w:r>
      <w:r w:rsidRPr="6C8EC8B3">
        <w:rPr>
          <w:b w:val="0"/>
          <w:sz w:val="22"/>
          <w:szCs w:val="22"/>
        </w:rPr>
        <w:t xml:space="preserve">ompared </w:t>
      </w:r>
      <w:r>
        <w:rPr>
          <w:b w:val="0"/>
          <w:sz w:val="22"/>
          <w:szCs w:val="22"/>
        </w:rPr>
        <w:t>with earlier</w:t>
      </w:r>
      <w:r w:rsidRPr="6C8EC8B3">
        <w:rPr>
          <w:b w:val="0"/>
          <w:sz w:val="22"/>
          <w:szCs w:val="22"/>
        </w:rPr>
        <w:t xml:space="preserve"> </w:t>
      </w:r>
      <w:r>
        <w:rPr>
          <w:b w:val="0"/>
          <w:sz w:val="22"/>
          <w:szCs w:val="22"/>
        </w:rPr>
        <w:t xml:space="preserve">MSAC considerations for </w:t>
      </w:r>
      <w:proofErr w:type="gramStart"/>
      <w:r>
        <w:rPr>
          <w:b w:val="0"/>
          <w:sz w:val="22"/>
          <w:szCs w:val="22"/>
        </w:rPr>
        <w:t>NBS</w:t>
      </w:r>
      <w:r w:rsidRPr="6C8EC8B3">
        <w:rPr>
          <w:b w:val="0"/>
          <w:sz w:val="22"/>
          <w:szCs w:val="22"/>
        </w:rPr>
        <w:t xml:space="preserve">, </w:t>
      </w:r>
      <w:r>
        <w:rPr>
          <w:b w:val="0"/>
          <w:sz w:val="22"/>
          <w:szCs w:val="22"/>
        </w:rPr>
        <w:t>but</w:t>
      </w:r>
      <w:proofErr w:type="gramEnd"/>
      <w:r>
        <w:rPr>
          <w:b w:val="0"/>
          <w:sz w:val="22"/>
          <w:szCs w:val="22"/>
        </w:rPr>
        <w:t xml:space="preserve"> also noted that </w:t>
      </w:r>
      <w:r w:rsidRPr="6C8EC8B3">
        <w:rPr>
          <w:b w:val="0"/>
          <w:sz w:val="22"/>
          <w:szCs w:val="22"/>
        </w:rPr>
        <w:t xml:space="preserve">there </w:t>
      </w:r>
      <w:proofErr w:type="gramStart"/>
      <w:r w:rsidRPr="6C8EC8B3">
        <w:rPr>
          <w:b w:val="0"/>
          <w:sz w:val="22"/>
          <w:szCs w:val="22"/>
        </w:rPr>
        <w:t>is</w:t>
      </w:r>
      <w:proofErr w:type="gramEnd"/>
      <w:r w:rsidRPr="6C8EC8B3">
        <w:rPr>
          <w:b w:val="0"/>
          <w:sz w:val="22"/>
          <w:szCs w:val="22"/>
        </w:rPr>
        <w:t xml:space="preserve"> no agreed national or international benchmark</w:t>
      </w:r>
      <w:r>
        <w:rPr>
          <w:b w:val="0"/>
          <w:sz w:val="22"/>
          <w:szCs w:val="22"/>
        </w:rPr>
        <w:t>s</w:t>
      </w:r>
      <w:r w:rsidRPr="6C8EC8B3">
        <w:rPr>
          <w:b w:val="0"/>
          <w:sz w:val="22"/>
          <w:szCs w:val="22"/>
        </w:rPr>
        <w:t xml:space="preserve"> </w:t>
      </w:r>
      <w:r>
        <w:rPr>
          <w:b w:val="0"/>
          <w:sz w:val="22"/>
          <w:szCs w:val="22"/>
        </w:rPr>
        <w:t>for cost-effectiveness</w:t>
      </w:r>
      <w:r w:rsidRPr="6C8EC8B3">
        <w:rPr>
          <w:b w:val="0"/>
          <w:sz w:val="22"/>
          <w:szCs w:val="22"/>
        </w:rPr>
        <w:t xml:space="preserve"> for </w:t>
      </w:r>
      <w:r>
        <w:rPr>
          <w:b w:val="0"/>
          <w:sz w:val="22"/>
          <w:szCs w:val="22"/>
        </w:rPr>
        <w:t xml:space="preserve">NBS for </w:t>
      </w:r>
      <w:r w:rsidRPr="6C8EC8B3">
        <w:rPr>
          <w:b w:val="0"/>
          <w:sz w:val="22"/>
          <w:szCs w:val="22"/>
        </w:rPr>
        <w:t>rare diseases.</w:t>
      </w:r>
      <w:r w:rsidRPr="007A1B17">
        <w:t xml:space="preserve"> </w:t>
      </w:r>
      <w:r w:rsidRPr="00996AAB">
        <w:rPr>
          <w:b w:val="0"/>
          <w:bCs w:val="0"/>
          <w:sz w:val="22"/>
          <w:szCs w:val="18"/>
        </w:rPr>
        <w:t xml:space="preserve">However, </w:t>
      </w:r>
      <w:r>
        <w:rPr>
          <w:b w:val="0"/>
          <w:bCs w:val="0"/>
          <w:sz w:val="22"/>
          <w:szCs w:val="18"/>
        </w:rPr>
        <w:t xml:space="preserve">ESC was of the view that it would be informative for </w:t>
      </w:r>
      <w:r w:rsidRPr="00996AAB">
        <w:rPr>
          <w:b w:val="0"/>
          <w:bCs w:val="0"/>
          <w:sz w:val="22"/>
          <w:szCs w:val="18"/>
        </w:rPr>
        <w:t xml:space="preserve">MSAC to consider </w:t>
      </w:r>
      <w:r>
        <w:rPr>
          <w:b w:val="0"/>
          <w:bCs w:val="0"/>
          <w:sz w:val="22"/>
          <w:szCs w:val="18"/>
        </w:rPr>
        <w:t xml:space="preserve">the </w:t>
      </w:r>
      <w:r w:rsidRPr="00996AAB">
        <w:rPr>
          <w:b w:val="0"/>
          <w:bCs w:val="0"/>
          <w:sz w:val="22"/>
          <w:szCs w:val="18"/>
        </w:rPr>
        <w:t>ICERs for treatments listed on the LSDP to provide context for</w:t>
      </w:r>
      <w:r>
        <w:rPr>
          <w:b w:val="0"/>
          <w:bCs w:val="0"/>
          <w:sz w:val="22"/>
          <w:szCs w:val="18"/>
        </w:rPr>
        <w:t xml:space="preserve"> the current consideration.</w:t>
      </w:r>
      <w:r w:rsidRPr="00996AAB">
        <w:rPr>
          <w:b w:val="0"/>
          <w:bCs w:val="0"/>
          <w:sz w:val="22"/>
          <w:szCs w:val="18"/>
        </w:rPr>
        <w:t xml:space="preserve"> </w:t>
      </w:r>
      <w:bookmarkStart w:id="79" w:name="_Hlk191854934"/>
      <w:r>
        <w:rPr>
          <w:b w:val="0"/>
          <w:bCs w:val="0"/>
          <w:sz w:val="22"/>
          <w:szCs w:val="18"/>
        </w:rPr>
        <w:t>If doing so, ESC also advised that MSAC should be aware that the rule of rescue, which influences LSDP decision-making, is driven by small numbers of identifiable individuals in extremely severe circumstances, and that the ICERs previously accepted by the LSDP Expert Panel may apply to some of the diagnosed cases, but not to all those who would be screen positive</w:t>
      </w:r>
      <w:r w:rsidRPr="00996AAB">
        <w:rPr>
          <w:b w:val="0"/>
          <w:bCs w:val="0"/>
          <w:sz w:val="22"/>
          <w:szCs w:val="18"/>
        </w:rPr>
        <w:t>.</w:t>
      </w:r>
      <w:bookmarkEnd w:id="79"/>
    </w:p>
    <w:p w14:paraId="2501A5FB" w14:textId="3BC3DBEF" w:rsidR="00ED5CB7" w:rsidRDefault="00ED5CB7" w:rsidP="003A63D1">
      <w:pPr>
        <w:pStyle w:val="BoxName0"/>
        <w:pBdr>
          <w:top w:val="single" w:sz="4" w:space="7" w:color="000000"/>
        </w:pBdr>
        <w:ind w:left="284" w:hanging="284"/>
        <w:rPr>
          <w:b w:val="0"/>
          <w:sz w:val="22"/>
          <w:szCs w:val="22"/>
        </w:rPr>
      </w:pPr>
      <w:r>
        <w:rPr>
          <w:b w:val="0"/>
          <w:sz w:val="22"/>
          <w:szCs w:val="22"/>
        </w:rPr>
        <w:t xml:space="preserve">     </w:t>
      </w:r>
      <w:r w:rsidRPr="007A1B17">
        <w:rPr>
          <w:b w:val="0"/>
          <w:sz w:val="22"/>
          <w:szCs w:val="22"/>
        </w:rPr>
        <w:t>Th</w:t>
      </w:r>
      <w:r>
        <w:rPr>
          <w:b w:val="0"/>
          <w:sz w:val="22"/>
          <w:szCs w:val="22"/>
        </w:rPr>
        <w:t xml:space="preserve">e </w:t>
      </w:r>
      <w:r w:rsidRPr="007A1B17">
        <w:rPr>
          <w:b w:val="0"/>
          <w:sz w:val="22"/>
          <w:szCs w:val="22"/>
        </w:rPr>
        <w:t>ICER increased to $</w:t>
      </w:r>
      <w:r w:rsidR="00E025B8" w:rsidRPr="00E025B8">
        <w:rPr>
          <w:sz w:val="22"/>
          <w:szCs w:val="22"/>
        </w:rPr>
        <w:t>REDACTED</w:t>
      </w:r>
      <w:r w:rsidR="00093B2A">
        <w:rPr>
          <w:sz w:val="22"/>
          <w:szCs w:val="22"/>
        </w:rPr>
        <w:t xml:space="preserve"> </w:t>
      </w:r>
      <w:r w:rsidRPr="007A1B17">
        <w:rPr>
          <w:b w:val="0"/>
          <w:sz w:val="22"/>
          <w:szCs w:val="22"/>
        </w:rPr>
        <w:t xml:space="preserve">per additional diagnosis when the </w:t>
      </w:r>
      <w:r>
        <w:rPr>
          <w:b w:val="0"/>
          <w:sz w:val="22"/>
          <w:szCs w:val="22"/>
        </w:rPr>
        <w:t xml:space="preserve">costs for </w:t>
      </w:r>
      <w:r w:rsidRPr="007A1B17">
        <w:rPr>
          <w:b w:val="0"/>
          <w:sz w:val="22"/>
          <w:szCs w:val="22"/>
        </w:rPr>
        <w:t xml:space="preserve">annual surveillance and ERT were </w:t>
      </w:r>
      <w:proofErr w:type="gramStart"/>
      <w:r w:rsidRPr="007A1B17">
        <w:rPr>
          <w:b w:val="0"/>
          <w:sz w:val="22"/>
          <w:szCs w:val="22"/>
        </w:rPr>
        <w:t>taken into account</w:t>
      </w:r>
      <w:proofErr w:type="gramEnd"/>
      <w:r w:rsidRPr="007A1B17">
        <w:rPr>
          <w:b w:val="0"/>
          <w:sz w:val="22"/>
          <w:szCs w:val="22"/>
        </w:rPr>
        <w:t>. The ICER per Quality Adjusted Life Year (QALY) was</w:t>
      </w:r>
      <w:r>
        <w:rPr>
          <w:b w:val="0"/>
          <w:sz w:val="22"/>
          <w:szCs w:val="22"/>
        </w:rPr>
        <w:t xml:space="preserve"> estimated to be</w:t>
      </w:r>
      <w:r w:rsidRPr="007A1B17">
        <w:rPr>
          <w:b w:val="0"/>
          <w:sz w:val="22"/>
          <w:szCs w:val="22"/>
        </w:rPr>
        <w:t xml:space="preserve"> between</w:t>
      </w:r>
      <w:r>
        <w:rPr>
          <w:b w:val="0"/>
          <w:sz w:val="22"/>
          <w:szCs w:val="22"/>
        </w:rPr>
        <w:t xml:space="preserve"> </w:t>
      </w:r>
      <w:r w:rsidRPr="00C73380">
        <w:rPr>
          <w:b w:val="0"/>
          <w:sz w:val="22"/>
          <w:szCs w:val="22"/>
        </w:rPr>
        <w:t>$</w:t>
      </w:r>
      <w:r w:rsidR="00E025B8" w:rsidRPr="00E025B8">
        <w:rPr>
          <w:sz w:val="22"/>
          <w:szCs w:val="22"/>
        </w:rPr>
        <w:t>REDACTED</w:t>
      </w:r>
      <w:r w:rsidRPr="00C73380">
        <w:rPr>
          <w:b w:val="0"/>
          <w:sz w:val="22"/>
          <w:szCs w:val="22"/>
        </w:rPr>
        <w:t xml:space="preserve"> and $</w:t>
      </w:r>
      <w:r w:rsidR="00E025B8" w:rsidRPr="00E025B8">
        <w:rPr>
          <w:sz w:val="22"/>
          <w:szCs w:val="22"/>
        </w:rPr>
        <w:t>REDACTED</w:t>
      </w:r>
      <w:r w:rsidRPr="00C73380">
        <w:rPr>
          <w:b w:val="0"/>
          <w:sz w:val="22"/>
          <w:szCs w:val="22"/>
        </w:rPr>
        <w:t xml:space="preserve"> when the discounted survival</w:t>
      </w:r>
      <w:r>
        <w:rPr>
          <w:b w:val="0"/>
          <w:sz w:val="22"/>
          <w:szCs w:val="22"/>
        </w:rPr>
        <w:t xml:space="preserve">, </w:t>
      </w:r>
      <w:r w:rsidRPr="00C73380">
        <w:rPr>
          <w:b w:val="0"/>
          <w:sz w:val="22"/>
          <w:szCs w:val="22"/>
        </w:rPr>
        <w:t>quality of life gains</w:t>
      </w:r>
      <w:r>
        <w:rPr>
          <w:b w:val="0"/>
          <w:sz w:val="22"/>
          <w:szCs w:val="22"/>
        </w:rPr>
        <w:t>,</w:t>
      </w:r>
      <w:r w:rsidRPr="00C73380">
        <w:rPr>
          <w:b w:val="0"/>
          <w:sz w:val="22"/>
          <w:szCs w:val="22"/>
        </w:rPr>
        <w:t xml:space="preserve"> and prolonged ERT costs were included</w:t>
      </w:r>
      <w:r>
        <w:rPr>
          <w:b w:val="0"/>
          <w:sz w:val="22"/>
          <w:szCs w:val="22"/>
        </w:rPr>
        <w:t xml:space="preserve">. ESC noted these ICERs were driven predominantly </w:t>
      </w:r>
      <w:r w:rsidRPr="00C73380">
        <w:rPr>
          <w:b w:val="0"/>
          <w:sz w:val="22"/>
          <w:szCs w:val="22"/>
        </w:rPr>
        <w:t xml:space="preserve">by ERT costs. </w:t>
      </w:r>
      <w:r>
        <w:rPr>
          <w:b w:val="0"/>
          <w:sz w:val="22"/>
          <w:szCs w:val="22"/>
        </w:rPr>
        <w:t>ESC also noted that m</w:t>
      </w:r>
      <w:r w:rsidRPr="00C73380">
        <w:rPr>
          <w:b w:val="0"/>
          <w:sz w:val="22"/>
          <w:szCs w:val="22"/>
        </w:rPr>
        <w:t xml:space="preserve">ost </w:t>
      </w:r>
      <w:r>
        <w:rPr>
          <w:b w:val="0"/>
          <w:sz w:val="22"/>
          <w:szCs w:val="22"/>
        </w:rPr>
        <w:t xml:space="preserve">of the </w:t>
      </w:r>
      <w:r w:rsidRPr="00C73380">
        <w:rPr>
          <w:b w:val="0"/>
          <w:sz w:val="22"/>
          <w:szCs w:val="22"/>
        </w:rPr>
        <w:t>modelled incremental health gains arose from survival gains rather than quality of life gains.</w:t>
      </w:r>
    </w:p>
    <w:p w14:paraId="4B49482D" w14:textId="77777777" w:rsidR="00ED5CB7" w:rsidRDefault="00ED5CB7" w:rsidP="003A63D1">
      <w:pPr>
        <w:pStyle w:val="BoxName0"/>
        <w:pBdr>
          <w:top w:val="single" w:sz="4" w:space="7" w:color="000000"/>
        </w:pBdr>
        <w:ind w:left="284" w:hanging="284"/>
        <w:rPr>
          <w:b w:val="0"/>
          <w:sz w:val="22"/>
          <w:szCs w:val="22"/>
        </w:rPr>
      </w:pPr>
      <w:r>
        <w:rPr>
          <w:b w:val="0"/>
          <w:sz w:val="22"/>
          <w:szCs w:val="22"/>
        </w:rPr>
        <w:t xml:space="preserve">    ESC noted two key uncertainties associated with these ICERs: </w:t>
      </w:r>
    </w:p>
    <w:p w14:paraId="5562D6D0" w14:textId="77777777" w:rsidR="00ED5CB7" w:rsidRDefault="00ED5CB7" w:rsidP="003A63D1">
      <w:pPr>
        <w:pStyle w:val="BoxName0"/>
        <w:pBdr>
          <w:top w:val="single" w:sz="4" w:space="7" w:color="000000"/>
        </w:pBdr>
        <w:ind w:left="284" w:hanging="284"/>
        <w:rPr>
          <w:b w:val="0"/>
          <w:sz w:val="22"/>
          <w:szCs w:val="22"/>
          <w:lang w:val="en-US"/>
        </w:rPr>
      </w:pPr>
      <w:r>
        <w:rPr>
          <w:b w:val="0"/>
          <w:sz w:val="22"/>
          <w:szCs w:val="22"/>
        </w:rPr>
        <w:t xml:space="preserve">    </w:t>
      </w:r>
      <w:proofErr w:type="spellStart"/>
      <w:r>
        <w:rPr>
          <w:b w:val="0"/>
          <w:sz w:val="22"/>
          <w:szCs w:val="22"/>
        </w:rPr>
        <w:t>i</w:t>
      </w:r>
      <w:proofErr w:type="spellEnd"/>
      <w:r>
        <w:rPr>
          <w:b w:val="0"/>
          <w:sz w:val="22"/>
          <w:szCs w:val="22"/>
        </w:rPr>
        <w:t xml:space="preserve">) </w:t>
      </w:r>
      <w:r w:rsidRPr="003E1386">
        <w:rPr>
          <w:b w:val="0"/>
          <w:sz w:val="22"/>
          <w:szCs w:val="22"/>
          <w:lang w:val="en-US"/>
        </w:rPr>
        <w:t>the hazard ratio of overall survival from the Taiwan cohort comparison</w:t>
      </w:r>
      <w:r>
        <w:rPr>
          <w:b w:val="0"/>
          <w:sz w:val="22"/>
          <w:szCs w:val="22"/>
          <w:lang w:val="en-US"/>
        </w:rPr>
        <w:t xml:space="preserve"> was a key uncertainty associated with the health increment in the ICER per QALY estimate. However, given the limited comparative data on survival benefits, the</w:t>
      </w:r>
      <w:r w:rsidRPr="003E1386">
        <w:rPr>
          <w:b w:val="0"/>
          <w:sz w:val="22"/>
          <w:szCs w:val="22"/>
          <w:lang w:val="en-US"/>
        </w:rPr>
        <w:t xml:space="preserve"> extent of </w:t>
      </w:r>
      <w:r>
        <w:rPr>
          <w:b w:val="0"/>
          <w:sz w:val="22"/>
          <w:szCs w:val="22"/>
          <w:lang w:val="en-US"/>
        </w:rPr>
        <w:t xml:space="preserve">this </w:t>
      </w:r>
      <w:r w:rsidRPr="003E1386">
        <w:rPr>
          <w:b w:val="0"/>
          <w:sz w:val="22"/>
          <w:szCs w:val="22"/>
          <w:lang w:val="en-US"/>
        </w:rPr>
        <w:t xml:space="preserve">uncertainty is not </w:t>
      </w:r>
      <w:r>
        <w:rPr>
          <w:b w:val="0"/>
          <w:sz w:val="22"/>
          <w:szCs w:val="22"/>
          <w:lang w:val="en-US"/>
        </w:rPr>
        <w:t>easy</w:t>
      </w:r>
      <w:r w:rsidRPr="003E1386">
        <w:rPr>
          <w:b w:val="0"/>
          <w:sz w:val="22"/>
          <w:szCs w:val="22"/>
          <w:lang w:val="en-US"/>
        </w:rPr>
        <w:t xml:space="preserve"> to quantify</w:t>
      </w:r>
      <w:r>
        <w:rPr>
          <w:b w:val="0"/>
          <w:sz w:val="22"/>
          <w:szCs w:val="22"/>
          <w:lang w:val="en-US"/>
        </w:rPr>
        <w:t xml:space="preserve"> so was not explored in sensitivity analyses</w:t>
      </w:r>
    </w:p>
    <w:p w14:paraId="4BD7DC0D" w14:textId="506ECE1A" w:rsidR="00ED5CB7" w:rsidRDefault="00ED5CB7" w:rsidP="003A63D1">
      <w:pPr>
        <w:pStyle w:val="BoxName0"/>
        <w:pBdr>
          <w:top w:val="single" w:sz="4" w:space="7" w:color="000000"/>
        </w:pBdr>
        <w:ind w:left="284" w:hanging="284"/>
        <w:rPr>
          <w:b w:val="0"/>
          <w:bCs w:val="0"/>
          <w:sz w:val="22"/>
          <w:szCs w:val="18"/>
        </w:rPr>
      </w:pPr>
      <w:r>
        <w:rPr>
          <w:b w:val="0"/>
          <w:sz w:val="22"/>
          <w:szCs w:val="22"/>
          <w:lang w:val="en-US"/>
        </w:rPr>
        <w:t xml:space="preserve">   ii) the magnitude of the incremental costs, due to the </w:t>
      </w:r>
      <w:r w:rsidRPr="003E1386">
        <w:rPr>
          <w:b w:val="0"/>
          <w:sz w:val="22"/>
          <w:szCs w:val="22"/>
          <w:lang w:val="en-US"/>
        </w:rPr>
        <w:t xml:space="preserve">assumption that NBS-identified patients who </w:t>
      </w:r>
      <w:r>
        <w:rPr>
          <w:b w:val="0"/>
          <w:sz w:val="22"/>
          <w:szCs w:val="22"/>
          <w:lang w:val="en-US"/>
        </w:rPr>
        <w:t>are identified with L</w:t>
      </w:r>
      <w:r w:rsidRPr="003E1386">
        <w:rPr>
          <w:b w:val="0"/>
          <w:sz w:val="22"/>
          <w:szCs w:val="22"/>
          <w:lang w:val="en-US"/>
        </w:rPr>
        <w:t xml:space="preserve">OGSD II will start ERT </w:t>
      </w:r>
      <w:r>
        <w:rPr>
          <w:b w:val="0"/>
          <w:sz w:val="22"/>
          <w:szCs w:val="22"/>
          <w:lang w:val="en-US"/>
        </w:rPr>
        <w:t xml:space="preserve">only </w:t>
      </w:r>
      <w:r w:rsidRPr="003E1386">
        <w:rPr>
          <w:b w:val="0"/>
          <w:sz w:val="22"/>
          <w:szCs w:val="22"/>
          <w:lang w:val="en-US"/>
        </w:rPr>
        <w:t xml:space="preserve">when symptoms emerge. </w:t>
      </w:r>
    </w:p>
    <w:p w14:paraId="3321CD8B" w14:textId="7EC69F31" w:rsidR="00ED5CB7" w:rsidRDefault="00ED5CB7" w:rsidP="003A63D1">
      <w:pPr>
        <w:pStyle w:val="BoxName0"/>
        <w:pBdr>
          <w:top w:val="single" w:sz="4" w:space="7" w:color="000000"/>
        </w:pBdr>
        <w:ind w:left="0" w:firstLine="0"/>
        <w:rPr>
          <w:b w:val="0"/>
          <w:sz w:val="22"/>
          <w:szCs w:val="22"/>
          <w:lang w:val="en-US"/>
        </w:rPr>
      </w:pPr>
      <w:r>
        <w:rPr>
          <w:b w:val="0"/>
          <w:sz w:val="22"/>
          <w:szCs w:val="22"/>
        </w:rPr>
        <w:t xml:space="preserve">  ESC noted that the </w:t>
      </w:r>
      <w:r w:rsidRPr="003E1386">
        <w:rPr>
          <w:b w:val="0"/>
          <w:sz w:val="22"/>
          <w:szCs w:val="22"/>
          <w:lang w:val="en-US"/>
        </w:rPr>
        <w:t>$</w:t>
      </w:r>
      <w:r w:rsidR="00E025B8" w:rsidRPr="00E025B8">
        <w:rPr>
          <w:lang w:val="en-US"/>
        </w:rPr>
        <w:t>REDACTED</w:t>
      </w:r>
      <w:r>
        <w:rPr>
          <w:b w:val="0"/>
          <w:sz w:val="22"/>
          <w:szCs w:val="22"/>
          <w:lang w:val="en-US"/>
        </w:rPr>
        <w:t xml:space="preserve"> one-off </w:t>
      </w:r>
      <w:r w:rsidRPr="003E1386">
        <w:rPr>
          <w:b w:val="0"/>
          <w:sz w:val="22"/>
          <w:szCs w:val="22"/>
          <w:lang w:val="en-US"/>
        </w:rPr>
        <w:t>program implementation costs</w:t>
      </w:r>
      <w:r>
        <w:rPr>
          <w:b w:val="0"/>
          <w:sz w:val="22"/>
          <w:szCs w:val="22"/>
          <w:lang w:val="en-US"/>
        </w:rPr>
        <w:t xml:space="preserve"> were</w:t>
      </w:r>
      <w:r w:rsidRPr="003E1386">
        <w:rPr>
          <w:b w:val="0"/>
          <w:sz w:val="22"/>
          <w:szCs w:val="22"/>
          <w:lang w:val="en-US"/>
        </w:rPr>
        <w:t xml:space="preserve"> </w:t>
      </w:r>
      <w:r>
        <w:rPr>
          <w:b w:val="0"/>
          <w:sz w:val="22"/>
          <w:szCs w:val="22"/>
          <w:lang w:val="en-US"/>
        </w:rPr>
        <w:t>applied in year 1      of</w:t>
      </w:r>
      <w:r w:rsidRPr="003E1386">
        <w:rPr>
          <w:b w:val="0"/>
          <w:sz w:val="22"/>
          <w:szCs w:val="22"/>
          <w:lang w:val="en-US"/>
        </w:rPr>
        <w:t xml:space="preserve"> the financial </w:t>
      </w:r>
      <w:proofErr w:type="gramStart"/>
      <w:r w:rsidRPr="003E1386">
        <w:rPr>
          <w:b w:val="0"/>
          <w:sz w:val="22"/>
          <w:szCs w:val="22"/>
          <w:lang w:val="en-US"/>
        </w:rPr>
        <w:t>analysis</w:t>
      </w:r>
      <w:r>
        <w:rPr>
          <w:b w:val="0"/>
          <w:sz w:val="22"/>
          <w:szCs w:val="22"/>
          <w:lang w:val="en-US"/>
        </w:rPr>
        <w:t>, but</w:t>
      </w:r>
      <w:proofErr w:type="gramEnd"/>
      <w:r>
        <w:rPr>
          <w:b w:val="0"/>
          <w:sz w:val="22"/>
          <w:szCs w:val="22"/>
          <w:lang w:val="en-US"/>
        </w:rPr>
        <w:t xml:space="preserve"> were excluded from the economic evaluations. ESC considered it would be useful for MSAC to be presented with two separate sets of economic analyses that (</w:t>
      </w:r>
      <w:proofErr w:type="spellStart"/>
      <w:r>
        <w:rPr>
          <w:b w:val="0"/>
          <w:sz w:val="22"/>
          <w:szCs w:val="22"/>
          <w:lang w:val="en-US"/>
        </w:rPr>
        <w:t>i</w:t>
      </w:r>
      <w:proofErr w:type="spellEnd"/>
      <w:r>
        <w:rPr>
          <w:b w:val="0"/>
          <w:sz w:val="22"/>
          <w:szCs w:val="22"/>
          <w:lang w:val="en-US"/>
        </w:rPr>
        <w:t>) excluded the program implementation costs, and (ii) included the program implementation in</w:t>
      </w:r>
      <w:r w:rsidRPr="003E1386">
        <w:rPr>
          <w:b w:val="0"/>
          <w:sz w:val="22"/>
          <w:szCs w:val="22"/>
          <w:lang w:val="en-US"/>
        </w:rPr>
        <w:t xml:space="preserve"> the first year of the economic evaluations (after </w:t>
      </w:r>
      <w:r>
        <w:rPr>
          <w:b w:val="0"/>
          <w:sz w:val="22"/>
          <w:szCs w:val="22"/>
          <w:lang w:val="en-US"/>
        </w:rPr>
        <w:t xml:space="preserve">being </w:t>
      </w:r>
      <w:r w:rsidRPr="003E1386">
        <w:rPr>
          <w:b w:val="0"/>
          <w:sz w:val="22"/>
          <w:szCs w:val="22"/>
          <w:lang w:val="en-US"/>
        </w:rPr>
        <w:t>adjust</w:t>
      </w:r>
      <w:r>
        <w:rPr>
          <w:b w:val="0"/>
          <w:sz w:val="22"/>
          <w:szCs w:val="22"/>
          <w:lang w:val="en-US"/>
        </w:rPr>
        <w:t>ed</w:t>
      </w:r>
      <w:r w:rsidRPr="003E1386">
        <w:rPr>
          <w:b w:val="0"/>
          <w:sz w:val="22"/>
          <w:szCs w:val="22"/>
          <w:lang w:val="en-US"/>
        </w:rPr>
        <w:t xml:space="preserve"> to the 100,000-member cohort size</w:t>
      </w:r>
      <w:r>
        <w:rPr>
          <w:b w:val="0"/>
          <w:sz w:val="22"/>
          <w:szCs w:val="22"/>
          <w:lang w:val="en-US"/>
        </w:rPr>
        <w:t>).</w:t>
      </w:r>
    </w:p>
    <w:p w14:paraId="32D719C6" w14:textId="77777777" w:rsidR="00ED5CB7" w:rsidRDefault="00ED5CB7" w:rsidP="003A63D1">
      <w:pPr>
        <w:pStyle w:val="BoxName0"/>
        <w:pBdr>
          <w:top w:val="single" w:sz="4" w:space="7" w:color="000000"/>
        </w:pBdr>
        <w:ind w:left="284" w:hanging="284"/>
        <w:rPr>
          <w:b w:val="0"/>
          <w:sz w:val="22"/>
          <w:szCs w:val="22"/>
          <w:lang w:val="en-US"/>
        </w:rPr>
      </w:pPr>
      <w:r>
        <w:rPr>
          <w:b w:val="0"/>
          <w:sz w:val="22"/>
          <w:szCs w:val="22"/>
          <w:lang w:val="en-US"/>
        </w:rPr>
        <w:t xml:space="preserve">     ESC considered the approach in the DCAR to exploring the potential impact of ‘multiplexing’ the proposed testing across the conditions covered by </w:t>
      </w:r>
      <w:r w:rsidRPr="00C73380">
        <w:rPr>
          <w:b w:val="0"/>
          <w:sz w:val="22"/>
          <w:szCs w:val="22"/>
          <w:lang w:val="en-US"/>
        </w:rPr>
        <w:t>applications 1774, 1775 and 1776</w:t>
      </w:r>
      <w:r>
        <w:rPr>
          <w:b w:val="0"/>
          <w:sz w:val="22"/>
          <w:szCs w:val="22"/>
          <w:lang w:val="en-US"/>
        </w:rPr>
        <w:t>.  ESC considered that t</w:t>
      </w:r>
      <w:r w:rsidRPr="00C73380">
        <w:rPr>
          <w:b w:val="0"/>
          <w:sz w:val="22"/>
          <w:szCs w:val="22"/>
          <w:lang w:val="en-US"/>
        </w:rPr>
        <w:t>he approach of reducing costs of screening to assess the effect of multiplexing provides only a rough estimation</w:t>
      </w:r>
      <w:r>
        <w:rPr>
          <w:b w:val="0"/>
          <w:sz w:val="22"/>
          <w:szCs w:val="22"/>
          <w:lang w:val="en-US"/>
        </w:rPr>
        <w:t xml:space="preserve"> of adjusted cost-effectiveness</w:t>
      </w:r>
      <w:r w:rsidRPr="00C73380">
        <w:rPr>
          <w:b w:val="0"/>
          <w:sz w:val="22"/>
          <w:szCs w:val="22"/>
          <w:lang w:val="en-US"/>
        </w:rPr>
        <w:t xml:space="preserve">. </w:t>
      </w:r>
      <w:r>
        <w:rPr>
          <w:b w:val="0"/>
          <w:sz w:val="22"/>
          <w:szCs w:val="22"/>
          <w:lang w:val="en-US"/>
        </w:rPr>
        <w:t xml:space="preserve">ESC discussed an alternative approach to conducting a stepped economic evaluation of multiplexing across </w:t>
      </w:r>
      <w:r w:rsidRPr="00C73380">
        <w:rPr>
          <w:b w:val="0"/>
          <w:sz w:val="22"/>
          <w:szCs w:val="22"/>
          <w:lang w:val="en-US"/>
        </w:rPr>
        <w:t>applications 1774, 1775 and 1776</w:t>
      </w:r>
      <w:r>
        <w:rPr>
          <w:b w:val="0"/>
          <w:sz w:val="22"/>
          <w:szCs w:val="22"/>
          <w:lang w:val="en-US"/>
        </w:rPr>
        <w:t xml:space="preserve">, </w:t>
      </w:r>
      <w:r w:rsidRPr="00C73380">
        <w:rPr>
          <w:b w:val="0"/>
          <w:sz w:val="22"/>
          <w:szCs w:val="22"/>
          <w:lang w:val="en-US"/>
        </w:rPr>
        <w:t>to ensure cumulative diagnostic yield is appropriately assessed across the three applications</w:t>
      </w:r>
      <w:r>
        <w:rPr>
          <w:b w:val="0"/>
          <w:sz w:val="22"/>
          <w:szCs w:val="22"/>
          <w:lang w:val="en-US"/>
        </w:rPr>
        <w:t>, and to avoid any double-counting of costs</w:t>
      </w:r>
      <w:r w:rsidRPr="00C73380">
        <w:rPr>
          <w:b w:val="0"/>
          <w:sz w:val="22"/>
          <w:szCs w:val="22"/>
          <w:lang w:val="en-US"/>
        </w:rPr>
        <w:t>.</w:t>
      </w:r>
    </w:p>
    <w:p w14:paraId="01049754" w14:textId="77777777" w:rsidR="00ED5CB7" w:rsidRPr="000B66C5" w:rsidRDefault="00ED5CB7" w:rsidP="003A63D1">
      <w:pPr>
        <w:pStyle w:val="BoxName0"/>
        <w:pBdr>
          <w:top w:val="single" w:sz="4" w:space="7" w:color="000000"/>
        </w:pBdr>
        <w:ind w:left="426" w:hanging="426"/>
        <w:rPr>
          <w:sz w:val="22"/>
          <w:szCs w:val="22"/>
        </w:rPr>
      </w:pPr>
      <w:r w:rsidRPr="3C67F618">
        <w:rPr>
          <w:b w:val="0"/>
          <w:sz w:val="22"/>
          <w:szCs w:val="22"/>
        </w:rPr>
        <w:t>6.</w:t>
      </w:r>
      <w:r>
        <w:rPr>
          <w:b w:val="0"/>
          <w:sz w:val="22"/>
          <w:szCs w:val="22"/>
        </w:rPr>
        <w:t xml:space="preserve">   </w:t>
      </w:r>
      <w:r w:rsidRPr="00DF68C6">
        <w:rPr>
          <w:sz w:val="22"/>
          <w:szCs w:val="22"/>
        </w:rPr>
        <w:t xml:space="preserve">What is the likely financial impact to all relevant budget holders for NBS screening for the </w:t>
      </w:r>
      <w:r w:rsidRPr="000B66C5">
        <w:rPr>
          <w:sz w:val="22"/>
          <w:szCs w:val="22"/>
        </w:rPr>
        <w:t>condition?</w:t>
      </w:r>
    </w:p>
    <w:p w14:paraId="282E0F30" w14:textId="6BE24F77" w:rsidR="00ED5CB7" w:rsidRDefault="00ED5CB7" w:rsidP="003A63D1">
      <w:pPr>
        <w:pStyle w:val="BoxName0"/>
        <w:pBdr>
          <w:top w:val="single" w:sz="4" w:space="7" w:color="000000"/>
        </w:pBdr>
        <w:ind w:left="426" w:hanging="426"/>
        <w:rPr>
          <w:b w:val="0"/>
          <w:sz w:val="22"/>
          <w:szCs w:val="22"/>
          <w:lang w:val="en-US"/>
        </w:rPr>
      </w:pPr>
      <w:r>
        <w:rPr>
          <w:b w:val="0"/>
          <w:sz w:val="22"/>
          <w:szCs w:val="22"/>
          <w:lang w:val="en-US"/>
        </w:rPr>
        <w:tab/>
        <w:t>ESC noted that t</w:t>
      </w:r>
      <w:r w:rsidRPr="000B66C5">
        <w:rPr>
          <w:b w:val="0"/>
          <w:sz w:val="22"/>
          <w:szCs w:val="22"/>
          <w:lang w:val="en-US"/>
        </w:rPr>
        <w:t xml:space="preserve">he largest financial impact would be to </w:t>
      </w:r>
      <w:r>
        <w:rPr>
          <w:b w:val="0"/>
          <w:sz w:val="22"/>
          <w:szCs w:val="22"/>
          <w:lang w:val="en-US"/>
        </w:rPr>
        <w:t xml:space="preserve">the </w:t>
      </w:r>
      <w:r w:rsidRPr="000B66C5">
        <w:rPr>
          <w:b w:val="0"/>
          <w:sz w:val="22"/>
          <w:szCs w:val="22"/>
          <w:lang w:val="en-US"/>
        </w:rPr>
        <w:t>NBS</w:t>
      </w:r>
      <w:r>
        <w:rPr>
          <w:b w:val="0"/>
          <w:sz w:val="22"/>
          <w:szCs w:val="22"/>
          <w:lang w:val="en-US"/>
        </w:rPr>
        <w:t xml:space="preserve"> programs </w:t>
      </w:r>
      <w:r w:rsidRPr="000B66C5">
        <w:rPr>
          <w:b w:val="0"/>
          <w:sz w:val="22"/>
          <w:szCs w:val="22"/>
          <w:lang w:val="en-US"/>
        </w:rPr>
        <w:t>($</w:t>
      </w:r>
      <w:r w:rsidR="00E025B8" w:rsidRPr="00E025B8">
        <w:rPr>
          <w:sz w:val="22"/>
          <w:szCs w:val="22"/>
          <w:lang w:val="en-US"/>
        </w:rPr>
        <w:t>REDACTED</w:t>
      </w:r>
      <w:r w:rsidRPr="000B66C5">
        <w:rPr>
          <w:b w:val="0"/>
          <w:sz w:val="22"/>
          <w:szCs w:val="22"/>
          <w:lang w:val="en-US"/>
        </w:rPr>
        <w:t xml:space="preserve"> in </w:t>
      </w:r>
      <w:r>
        <w:rPr>
          <w:b w:val="0"/>
          <w:sz w:val="22"/>
          <w:szCs w:val="22"/>
          <w:lang w:val="en-US"/>
        </w:rPr>
        <w:t>Y</w:t>
      </w:r>
      <w:r w:rsidRPr="000B66C5">
        <w:rPr>
          <w:b w:val="0"/>
          <w:sz w:val="22"/>
          <w:szCs w:val="22"/>
          <w:lang w:val="en-US"/>
        </w:rPr>
        <w:t>ear 1 to $</w:t>
      </w:r>
      <w:r w:rsidR="00E025B8" w:rsidRPr="00E025B8">
        <w:rPr>
          <w:sz w:val="22"/>
          <w:szCs w:val="22"/>
          <w:lang w:val="en-US"/>
        </w:rPr>
        <w:t>REDACTED</w:t>
      </w:r>
      <w:r w:rsidRPr="000B66C5">
        <w:rPr>
          <w:b w:val="0"/>
          <w:sz w:val="22"/>
          <w:szCs w:val="22"/>
          <w:lang w:val="en-US"/>
        </w:rPr>
        <w:t xml:space="preserve"> in </w:t>
      </w:r>
      <w:r>
        <w:rPr>
          <w:b w:val="0"/>
          <w:sz w:val="22"/>
          <w:szCs w:val="22"/>
          <w:lang w:val="en-US"/>
        </w:rPr>
        <w:t>Y</w:t>
      </w:r>
      <w:r w:rsidRPr="000B66C5">
        <w:rPr>
          <w:b w:val="0"/>
          <w:sz w:val="22"/>
          <w:szCs w:val="22"/>
          <w:lang w:val="en-US"/>
        </w:rPr>
        <w:t xml:space="preserve">ear 6), with a total cost to government health budgets </w:t>
      </w:r>
      <w:r>
        <w:rPr>
          <w:b w:val="0"/>
          <w:sz w:val="22"/>
          <w:szCs w:val="22"/>
          <w:lang w:val="en-US"/>
        </w:rPr>
        <w:t xml:space="preserve">inclusive of these program costs </w:t>
      </w:r>
      <w:r w:rsidRPr="000B66C5">
        <w:rPr>
          <w:b w:val="0"/>
          <w:sz w:val="22"/>
          <w:szCs w:val="22"/>
          <w:lang w:val="en-US"/>
        </w:rPr>
        <w:t>of $</w:t>
      </w:r>
      <w:r w:rsidR="00E025B8" w:rsidRPr="00E025B8">
        <w:rPr>
          <w:sz w:val="22"/>
          <w:szCs w:val="22"/>
          <w:lang w:val="en-US"/>
        </w:rPr>
        <w:t>REDACTED</w:t>
      </w:r>
      <w:r w:rsidRPr="000B66C5">
        <w:rPr>
          <w:b w:val="0"/>
          <w:sz w:val="22"/>
          <w:szCs w:val="22"/>
          <w:lang w:val="en-US"/>
        </w:rPr>
        <w:t xml:space="preserve"> in </w:t>
      </w:r>
      <w:r>
        <w:rPr>
          <w:b w:val="0"/>
          <w:sz w:val="22"/>
          <w:szCs w:val="22"/>
          <w:lang w:val="en-US"/>
        </w:rPr>
        <w:t>Y</w:t>
      </w:r>
      <w:r w:rsidRPr="000B66C5">
        <w:rPr>
          <w:b w:val="0"/>
          <w:sz w:val="22"/>
          <w:szCs w:val="22"/>
          <w:lang w:val="en-US"/>
        </w:rPr>
        <w:t>ear 1 and $</w:t>
      </w:r>
      <w:r w:rsidR="00E025B8" w:rsidRPr="00E025B8">
        <w:rPr>
          <w:sz w:val="22"/>
          <w:szCs w:val="22"/>
          <w:lang w:val="en-US"/>
        </w:rPr>
        <w:t>REDACTED</w:t>
      </w:r>
      <w:r w:rsidRPr="000B66C5">
        <w:rPr>
          <w:b w:val="0"/>
          <w:sz w:val="22"/>
          <w:szCs w:val="22"/>
          <w:lang w:val="en-US"/>
        </w:rPr>
        <w:t xml:space="preserve"> in </w:t>
      </w:r>
      <w:r>
        <w:rPr>
          <w:b w:val="0"/>
          <w:sz w:val="22"/>
          <w:szCs w:val="22"/>
          <w:lang w:val="en-US"/>
        </w:rPr>
        <w:t>Y</w:t>
      </w:r>
      <w:r w:rsidRPr="000B66C5">
        <w:rPr>
          <w:b w:val="0"/>
          <w:sz w:val="22"/>
          <w:szCs w:val="22"/>
          <w:lang w:val="en-US"/>
        </w:rPr>
        <w:t>ear 6.</w:t>
      </w:r>
    </w:p>
    <w:p w14:paraId="0A097B95" w14:textId="77777777" w:rsidR="00ED5CB7" w:rsidRPr="00DF68C6" w:rsidRDefault="00ED5CB7" w:rsidP="003A63D1">
      <w:pPr>
        <w:pStyle w:val="BoxName0"/>
        <w:pBdr>
          <w:top w:val="single" w:sz="4" w:space="7" w:color="000000"/>
        </w:pBdr>
        <w:ind w:left="426" w:hanging="426"/>
      </w:pPr>
      <w:r w:rsidRPr="3C67F618">
        <w:rPr>
          <w:b w:val="0"/>
          <w:sz w:val="22"/>
          <w:szCs w:val="22"/>
        </w:rPr>
        <w:t>7.</w:t>
      </w:r>
      <w:r>
        <w:tab/>
      </w:r>
      <w:r w:rsidRPr="00DF68C6">
        <w:rPr>
          <w:sz w:val="22"/>
          <w:szCs w:val="22"/>
        </w:rPr>
        <w:t>What are the relevant ethical (incl</w:t>
      </w:r>
      <w:r>
        <w:rPr>
          <w:sz w:val="22"/>
          <w:szCs w:val="22"/>
        </w:rPr>
        <w:t>uding</w:t>
      </w:r>
      <w:r w:rsidRPr="00DF68C6">
        <w:rPr>
          <w:sz w:val="22"/>
          <w:szCs w:val="22"/>
        </w:rPr>
        <w:t xml:space="preserve"> equity), legal, social or organisational aspects specific to screening for this condition</w:t>
      </w:r>
      <w:r w:rsidRPr="00DF68C6">
        <w:t>?</w:t>
      </w:r>
    </w:p>
    <w:p w14:paraId="28D6CBA0" w14:textId="77777777" w:rsidR="00ED5CB7" w:rsidRPr="003E3A87" w:rsidRDefault="00ED5CB7" w:rsidP="003A63D1">
      <w:pPr>
        <w:pStyle w:val="BoxName0"/>
        <w:pBdr>
          <w:top w:val="single" w:sz="4" w:space="7" w:color="000000"/>
        </w:pBdr>
        <w:ind w:left="284" w:hanging="284"/>
        <w:rPr>
          <w:b w:val="0"/>
          <w:sz w:val="22"/>
          <w:szCs w:val="22"/>
        </w:rPr>
      </w:pPr>
      <w:r>
        <w:rPr>
          <w:b w:val="0"/>
          <w:bCs w:val="0"/>
          <w:sz w:val="22"/>
          <w:szCs w:val="18"/>
        </w:rPr>
        <w:tab/>
      </w:r>
      <w:r>
        <w:rPr>
          <w:b w:val="0"/>
          <w:sz w:val="22"/>
          <w:szCs w:val="22"/>
        </w:rPr>
        <w:t>ESC noted that t</w:t>
      </w:r>
      <w:r w:rsidRPr="6C8EC8B3">
        <w:rPr>
          <w:b w:val="0"/>
          <w:sz w:val="22"/>
          <w:szCs w:val="22"/>
        </w:rPr>
        <w:t xml:space="preserve">he screening diagnostic and clinical management pathway will identify individuals who are at-risk for late, even adult-onset disease, </w:t>
      </w:r>
      <w:proofErr w:type="gramStart"/>
      <w:r w:rsidRPr="6C8EC8B3">
        <w:rPr>
          <w:b w:val="0"/>
          <w:sz w:val="22"/>
          <w:szCs w:val="22"/>
        </w:rPr>
        <w:t>and also</w:t>
      </w:r>
      <w:proofErr w:type="gramEnd"/>
      <w:r w:rsidRPr="6C8EC8B3">
        <w:rPr>
          <w:b w:val="0"/>
          <w:sz w:val="22"/>
          <w:szCs w:val="22"/>
        </w:rPr>
        <w:t xml:space="preserve"> cases where clinically apparent disease </w:t>
      </w:r>
      <w:r>
        <w:rPr>
          <w:b w:val="0"/>
          <w:sz w:val="22"/>
          <w:szCs w:val="22"/>
        </w:rPr>
        <w:t xml:space="preserve">will </w:t>
      </w:r>
      <w:r w:rsidRPr="6C8EC8B3">
        <w:rPr>
          <w:b w:val="0"/>
          <w:sz w:val="22"/>
          <w:szCs w:val="22"/>
        </w:rPr>
        <w:t>not eventuate</w:t>
      </w:r>
      <w:r>
        <w:rPr>
          <w:b w:val="0"/>
          <w:sz w:val="22"/>
          <w:szCs w:val="22"/>
        </w:rPr>
        <w:t xml:space="preserve"> (i.e. overdiagnosis)</w:t>
      </w:r>
      <w:r w:rsidRPr="6C8EC8B3">
        <w:rPr>
          <w:b w:val="0"/>
          <w:sz w:val="22"/>
          <w:szCs w:val="22"/>
        </w:rPr>
        <w:t xml:space="preserve">. There are no national clinical </w:t>
      </w:r>
      <w:r>
        <w:rPr>
          <w:b w:val="0"/>
          <w:sz w:val="22"/>
          <w:szCs w:val="22"/>
        </w:rPr>
        <w:t xml:space="preserve">practice </w:t>
      </w:r>
      <w:r w:rsidRPr="6C8EC8B3">
        <w:rPr>
          <w:b w:val="0"/>
          <w:sz w:val="22"/>
          <w:szCs w:val="22"/>
        </w:rPr>
        <w:t xml:space="preserve">guidelines to guide the use of ERT (which is permissively worded in the LSDP criteria) in </w:t>
      </w:r>
      <w:r w:rsidRPr="6C8EC8B3">
        <w:rPr>
          <w:b w:val="0"/>
          <w:bCs w:val="0"/>
          <w:sz w:val="22"/>
          <w:szCs w:val="22"/>
        </w:rPr>
        <w:t xml:space="preserve">a proportion of </w:t>
      </w:r>
      <w:r w:rsidRPr="6C8EC8B3">
        <w:rPr>
          <w:b w:val="0"/>
          <w:sz w:val="22"/>
          <w:szCs w:val="22"/>
        </w:rPr>
        <w:t xml:space="preserve">children at-risk for LOGSD II </w:t>
      </w:r>
      <w:r w:rsidRPr="6C8EC8B3">
        <w:rPr>
          <w:b w:val="0"/>
          <w:bCs w:val="0"/>
          <w:sz w:val="22"/>
          <w:szCs w:val="22"/>
        </w:rPr>
        <w:t xml:space="preserve">and </w:t>
      </w:r>
      <w:r w:rsidRPr="6C8EC8B3">
        <w:rPr>
          <w:b w:val="0"/>
          <w:sz w:val="22"/>
          <w:szCs w:val="22"/>
        </w:rPr>
        <w:t>who are</w:t>
      </w:r>
      <w:r>
        <w:rPr>
          <w:b w:val="0"/>
          <w:sz w:val="22"/>
          <w:szCs w:val="22"/>
        </w:rPr>
        <w:t xml:space="preserve"> currently</w:t>
      </w:r>
      <w:r w:rsidRPr="6C8EC8B3">
        <w:rPr>
          <w:b w:val="0"/>
          <w:sz w:val="22"/>
          <w:szCs w:val="22"/>
        </w:rPr>
        <w:t xml:space="preserve"> </w:t>
      </w:r>
      <w:r>
        <w:rPr>
          <w:b w:val="0"/>
          <w:sz w:val="22"/>
          <w:szCs w:val="22"/>
        </w:rPr>
        <w:t>a</w:t>
      </w:r>
      <w:r w:rsidRPr="6C8EC8B3">
        <w:rPr>
          <w:b w:val="0"/>
          <w:sz w:val="22"/>
          <w:szCs w:val="22"/>
        </w:rPr>
        <w:t>symptomatic.</w:t>
      </w:r>
    </w:p>
    <w:p w14:paraId="534E75B4" w14:textId="77777777" w:rsidR="00ED5CB7" w:rsidRPr="003E3A87" w:rsidRDefault="00ED5CB7" w:rsidP="003A63D1">
      <w:pPr>
        <w:pStyle w:val="BoxName0"/>
        <w:pBdr>
          <w:top w:val="single" w:sz="4" w:space="7" w:color="000000"/>
        </w:pBdr>
        <w:ind w:left="284" w:hanging="284"/>
        <w:rPr>
          <w:b w:val="0"/>
          <w:sz w:val="22"/>
          <w:szCs w:val="22"/>
        </w:rPr>
      </w:pPr>
      <w:r w:rsidRPr="6C8EC8B3">
        <w:rPr>
          <w:b w:val="0"/>
          <w:sz w:val="22"/>
          <w:szCs w:val="22"/>
        </w:rPr>
        <w:t xml:space="preserve">     Given the number of children </w:t>
      </w:r>
      <w:r>
        <w:rPr>
          <w:b w:val="0"/>
          <w:sz w:val="22"/>
          <w:szCs w:val="22"/>
        </w:rPr>
        <w:t xml:space="preserve">who would be </w:t>
      </w:r>
      <w:r w:rsidRPr="6C8EC8B3">
        <w:rPr>
          <w:b w:val="0"/>
          <w:sz w:val="22"/>
          <w:szCs w:val="22"/>
        </w:rPr>
        <w:t>identified</w:t>
      </w:r>
      <w:r>
        <w:rPr>
          <w:b w:val="0"/>
          <w:sz w:val="22"/>
          <w:szCs w:val="22"/>
        </w:rPr>
        <w:t xml:space="preserve"> as</w:t>
      </w:r>
      <w:r w:rsidRPr="6C8EC8B3">
        <w:rPr>
          <w:b w:val="0"/>
          <w:sz w:val="22"/>
          <w:szCs w:val="22"/>
        </w:rPr>
        <w:t xml:space="preserve"> at-risk </w:t>
      </w:r>
      <w:r>
        <w:rPr>
          <w:b w:val="0"/>
          <w:sz w:val="22"/>
          <w:szCs w:val="22"/>
        </w:rPr>
        <w:t xml:space="preserve">of LOGSD II </w:t>
      </w:r>
      <w:r w:rsidRPr="6C8EC8B3">
        <w:rPr>
          <w:b w:val="0"/>
          <w:sz w:val="22"/>
          <w:szCs w:val="22"/>
        </w:rPr>
        <w:t xml:space="preserve">from screening but </w:t>
      </w:r>
      <w:r>
        <w:rPr>
          <w:b w:val="0"/>
          <w:sz w:val="22"/>
          <w:szCs w:val="22"/>
        </w:rPr>
        <w:t>who would have</w:t>
      </w:r>
      <w:r w:rsidRPr="6C8EC8B3">
        <w:rPr>
          <w:b w:val="0"/>
          <w:sz w:val="22"/>
          <w:szCs w:val="22"/>
        </w:rPr>
        <w:t xml:space="preserve"> currently assigned variants of unknown significance, </w:t>
      </w:r>
      <w:r>
        <w:rPr>
          <w:b w:val="0"/>
          <w:sz w:val="22"/>
          <w:szCs w:val="22"/>
        </w:rPr>
        <w:t xml:space="preserve">ESC advised that MSAC consider whether </w:t>
      </w:r>
      <w:r w:rsidRPr="6C8EC8B3">
        <w:rPr>
          <w:b w:val="0"/>
          <w:sz w:val="22"/>
          <w:szCs w:val="22"/>
        </w:rPr>
        <w:t xml:space="preserve">reporting </w:t>
      </w:r>
      <w:r>
        <w:rPr>
          <w:b w:val="0"/>
          <w:sz w:val="22"/>
          <w:szCs w:val="22"/>
        </w:rPr>
        <w:t xml:space="preserve">of screening results should be </w:t>
      </w:r>
      <w:r w:rsidRPr="6C8EC8B3">
        <w:rPr>
          <w:b w:val="0"/>
          <w:sz w:val="22"/>
          <w:szCs w:val="22"/>
        </w:rPr>
        <w:t xml:space="preserve">limited to known pathogenic or likely pathogenic variants, or </w:t>
      </w:r>
      <w:r>
        <w:rPr>
          <w:b w:val="0"/>
          <w:sz w:val="22"/>
          <w:szCs w:val="22"/>
        </w:rPr>
        <w:t xml:space="preserve">whether </w:t>
      </w:r>
      <w:r w:rsidRPr="6C8EC8B3">
        <w:rPr>
          <w:b w:val="0"/>
          <w:sz w:val="22"/>
          <w:szCs w:val="22"/>
        </w:rPr>
        <w:t xml:space="preserve">VUSs </w:t>
      </w:r>
      <w:r>
        <w:rPr>
          <w:b w:val="0"/>
          <w:sz w:val="22"/>
          <w:szCs w:val="22"/>
        </w:rPr>
        <w:t xml:space="preserve">could also be </w:t>
      </w:r>
      <w:r w:rsidRPr="6C8EC8B3">
        <w:rPr>
          <w:b w:val="0"/>
          <w:sz w:val="22"/>
          <w:szCs w:val="22"/>
        </w:rPr>
        <w:t>reported</w:t>
      </w:r>
      <w:r>
        <w:rPr>
          <w:b w:val="0"/>
          <w:sz w:val="22"/>
          <w:szCs w:val="22"/>
        </w:rPr>
        <w:t xml:space="preserve">. ESC highlighted the need to collect more </w:t>
      </w:r>
      <w:proofErr w:type="spellStart"/>
      <w:proofErr w:type="gramStart"/>
      <w:r>
        <w:rPr>
          <w:b w:val="0"/>
          <w:sz w:val="22"/>
          <w:szCs w:val="22"/>
        </w:rPr>
        <w:t>genotype:phenotype</w:t>
      </w:r>
      <w:proofErr w:type="spellEnd"/>
      <w:proofErr w:type="gramEnd"/>
      <w:r>
        <w:rPr>
          <w:b w:val="0"/>
          <w:sz w:val="22"/>
          <w:szCs w:val="22"/>
        </w:rPr>
        <w:t xml:space="preserve"> information (e.g. </w:t>
      </w:r>
      <w:r w:rsidRPr="6C8EC8B3">
        <w:rPr>
          <w:b w:val="0"/>
          <w:sz w:val="22"/>
          <w:szCs w:val="22"/>
        </w:rPr>
        <w:t>clinical outcomes registry and variant database</w:t>
      </w:r>
      <w:r>
        <w:rPr>
          <w:b w:val="0"/>
          <w:sz w:val="22"/>
          <w:szCs w:val="22"/>
        </w:rPr>
        <w:t xml:space="preserve">), especially if VUSs are to be reported. </w:t>
      </w:r>
    </w:p>
    <w:p w14:paraId="040661E8" w14:textId="3F45B328" w:rsidR="00ED5CB7" w:rsidRDefault="00ED5CB7" w:rsidP="003A63D1">
      <w:pPr>
        <w:pStyle w:val="BoxName0"/>
        <w:keepNext w:val="0"/>
        <w:pBdr>
          <w:top w:val="single" w:sz="4" w:space="7" w:color="000000"/>
        </w:pBdr>
        <w:ind w:left="284" w:hanging="284"/>
        <w:rPr>
          <w:b w:val="0"/>
          <w:bCs w:val="0"/>
          <w:sz w:val="22"/>
          <w:szCs w:val="18"/>
        </w:rPr>
      </w:pPr>
      <w:r>
        <w:rPr>
          <w:b w:val="0"/>
          <w:bCs w:val="0"/>
          <w:sz w:val="22"/>
          <w:szCs w:val="18"/>
        </w:rPr>
        <w:t xml:space="preserve">     ESC considered that </w:t>
      </w:r>
      <w:proofErr w:type="gramStart"/>
      <w:r>
        <w:rPr>
          <w:b w:val="0"/>
          <w:bCs w:val="0"/>
          <w:sz w:val="22"/>
          <w:szCs w:val="18"/>
        </w:rPr>
        <w:t>a number of</w:t>
      </w:r>
      <w:proofErr w:type="gramEnd"/>
      <w:r>
        <w:rPr>
          <w:b w:val="0"/>
          <w:bCs w:val="0"/>
          <w:sz w:val="22"/>
          <w:szCs w:val="18"/>
        </w:rPr>
        <w:t xml:space="preserve"> ethical questions arise regarding NBS for GSD II, regarding the type and timing of information provided to parents and process(es) for obtaining consent for screening and further testing. ESC considered these ethical issues relate to the reporting and managing of variants of unknown significance noting there may be </w:t>
      </w:r>
      <w:r w:rsidRPr="001211EB">
        <w:rPr>
          <w:b w:val="0"/>
          <w:bCs w:val="0"/>
          <w:sz w:val="22"/>
          <w:szCs w:val="18"/>
        </w:rPr>
        <w:t>an ethical obligation to inform parents of a potential diagnosis of GSD II</w:t>
      </w:r>
      <w:r>
        <w:rPr>
          <w:b w:val="0"/>
          <w:bCs w:val="0"/>
          <w:sz w:val="22"/>
          <w:szCs w:val="18"/>
        </w:rPr>
        <w:t xml:space="preserve">); uncertainty in the prognostic utility of screening in predicting disease subtype, age at onset or severity of disease; and </w:t>
      </w:r>
      <w:r w:rsidRPr="001211EB">
        <w:rPr>
          <w:b w:val="0"/>
          <w:bCs w:val="0"/>
          <w:sz w:val="22"/>
          <w:szCs w:val="18"/>
        </w:rPr>
        <w:t>further</w:t>
      </w:r>
      <w:r w:rsidR="003A63D1">
        <w:rPr>
          <w:b w:val="0"/>
          <w:bCs w:val="0"/>
          <w:sz w:val="22"/>
          <w:szCs w:val="18"/>
        </w:rPr>
        <w:t xml:space="preserve"> </w:t>
      </w:r>
      <w:r w:rsidRPr="001211EB">
        <w:rPr>
          <w:b w:val="0"/>
          <w:bCs w:val="0"/>
          <w:sz w:val="22"/>
          <w:szCs w:val="18"/>
        </w:rPr>
        <w:t>investigation of the child requir</w:t>
      </w:r>
      <w:r>
        <w:rPr>
          <w:b w:val="0"/>
          <w:bCs w:val="0"/>
          <w:sz w:val="22"/>
          <w:szCs w:val="18"/>
        </w:rPr>
        <w:t>ing</w:t>
      </w:r>
      <w:r w:rsidRPr="001211EB">
        <w:rPr>
          <w:b w:val="0"/>
          <w:bCs w:val="0"/>
          <w:sz w:val="22"/>
          <w:szCs w:val="18"/>
        </w:rPr>
        <w:t xml:space="preserve"> </w:t>
      </w:r>
      <w:r>
        <w:rPr>
          <w:b w:val="0"/>
          <w:bCs w:val="0"/>
          <w:sz w:val="22"/>
          <w:szCs w:val="18"/>
        </w:rPr>
        <w:t xml:space="preserve">further </w:t>
      </w:r>
      <w:r w:rsidRPr="001211EB">
        <w:rPr>
          <w:b w:val="0"/>
          <w:bCs w:val="0"/>
          <w:sz w:val="22"/>
          <w:szCs w:val="18"/>
        </w:rPr>
        <w:t>parental consent to proceed beyond the original bloodspot sample.</w:t>
      </w:r>
    </w:p>
    <w:p w14:paraId="03E6C578" w14:textId="77777777" w:rsidR="00ED5CB7" w:rsidRDefault="00ED5CB7" w:rsidP="003A63D1">
      <w:pPr>
        <w:pStyle w:val="BoxName0"/>
        <w:keepNext w:val="0"/>
        <w:pBdr>
          <w:top w:val="single" w:sz="4" w:space="7" w:color="000000"/>
        </w:pBdr>
        <w:ind w:left="284" w:hanging="284"/>
        <w:rPr>
          <w:b w:val="0"/>
          <w:sz w:val="22"/>
          <w:szCs w:val="22"/>
        </w:rPr>
      </w:pPr>
      <w:r>
        <w:rPr>
          <w:b w:val="0"/>
          <w:bCs w:val="0"/>
          <w:sz w:val="22"/>
          <w:szCs w:val="18"/>
        </w:rPr>
        <w:t xml:space="preserve">     </w:t>
      </w:r>
      <w:r w:rsidRPr="001211EB">
        <w:rPr>
          <w:b w:val="0"/>
          <w:bCs w:val="0"/>
          <w:sz w:val="22"/>
          <w:szCs w:val="18"/>
        </w:rPr>
        <w:t xml:space="preserve">Additionally, once further investigation is conducted, ethical principles of transparency and full disclosure </w:t>
      </w:r>
      <w:r>
        <w:rPr>
          <w:b w:val="0"/>
          <w:bCs w:val="0"/>
          <w:sz w:val="22"/>
          <w:szCs w:val="18"/>
        </w:rPr>
        <w:t xml:space="preserve">would </w:t>
      </w:r>
      <w:r w:rsidRPr="001211EB">
        <w:rPr>
          <w:b w:val="0"/>
          <w:bCs w:val="0"/>
          <w:sz w:val="22"/>
          <w:szCs w:val="18"/>
        </w:rPr>
        <w:t>necessitate informing parents of the outcome of the further investigation</w:t>
      </w:r>
      <w:r>
        <w:rPr>
          <w:b w:val="0"/>
          <w:bCs w:val="0"/>
          <w:sz w:val="22"/>
          <w:szCs w:val="18"/>
        </w:rPr>
        <w:t>.</w:t>
      </w:r>
      <w:r w:rsidRPr="54F6F376">
        <w:rPr>
          <w:b w:val="0"/>
          <w:sz w:val="22"/>
          <w:szCs w:val="22"/>
        </w:rPr>
        <w:t xml:space="preserve"> </w:t>
      </w:r>
    </w:p>
    <w:p w14:paraId="47324B4F" w14:textId="77777777" w:rsidR="00ED5CB7" w:rsidRPr="003E3A87" w:rsidRDefault="00ED5CB7" w:rsidP="003A63D1">
      <w:pPr>
        <w:pStyle w:val="BoxName0"/>
        <w:keepNext w:val="0"/>
        <w:pBdr>
          <w:top w:val="single" w:sz="4" w:space="7" w:color="000000"/>
        </w:pBdr>
        <w:ind w:left="284" w:hanging="284"/>
        <w:rPr>
          <w:b w:val="0"/>
          <w:bCs w:val="0"/>
          <w:sz w:val="22"/>
          <w:szCs w:val="18"/>
        </w:rPr>
      </w:pPr>
      <w:r>
        <w:rPr>
          <w:b w:val="0"/>
          <w:bCs w:val="0"/>
          <w:sz w:val="22"/>
          <w:szCs w:val="18"/>
        </w:rPr>
        <w:t xml:space="preserve">     ESC noted that these ethical issues may also be relevant to other NBS applications</w:t>
      </w:r>
    </w:p>
    <w:p w14:paraId="6F7FF0CF" w14:textId="77777777" w:rsidR="00ED5CB7" w:rsidRPr="003E3A87" w:rsidRDefault="00ED5CB7" w:rsidP="003A63D1">
      <w:pPr>
        <w:pStyle w:val="BoxName0"/>
        <w:keepNext w:val="0"/>
        <w:pBdr>
          <w:top w:val="single" w:sz="4" w:space="7" w:color="000000"/>
        </w:pBdr>
        <w:ind w:left="284" w:hanging="284"/>
        <w:rPr>
          <w:b w:val="0"/>
          <w:sz w:val="22"/>
          <w:szCs w:val="22"/>
        </w:rPr>
      </w:pPr>
      <w:r>
        <w:rPr>
          <w:b w:val="0"/>
          <w:bCs w:val="0"/>
          <w:sz w:val="22"/>
          <w:szCs w:val="18"/>
        </w:rPr>
        <w:tab/>
      </w:r>
      <w:r w:rsidRPr="6C8EC8B3">
        <w:rPr>
          <w:b w:val="0"/>
          <w:sz w:val="22"/>
          <w:szCs w:val="22"/>
        </w:rPr>
        <w:t xml:space="preserve">The pattern of </w:t>
      </w:r>
      <w:r w:rsidRPr="6C8EC8B3">
        <w:rPr>
          <w:b w:val="0"/>
          <w:i/>
          <w:sz w:val="22"/>
          <w:szCs w:val="22"/>
        </w:rPr>
        <w:t xml:space="preserve">GAA </w:t>
      </w:r>
      <w:r w:rsidRPr="6C8EC8B3">
        <w:rPr>
          <w:b w:val="0"/>
          <w:sz w:val="22"/>
          <w:szCs w:val="22"/>
        </w:rPr>
        <w:t>variants expected in Australian sub-populations cannot be assumed as the</w:t>
      </w:r>
      <w:r w:rsidRPr="6C8EC8B3" w:rsidDel="00C12E76">
        <w:rPr>
          <w:b w:val="0"/>
          <w:sz w:val="22"/>
          <w:szCs w:val="22"/>
        </w:rPr>
        <w:t xml:space="preserve"> </w:t>
      </w:r>
      <w:r w:rsidRPr="6C8EC8B3">
        <w:rPr>
          <w:b w:val="0"/>
          <w:sz w:val="22"/>
          <w:szCs w:val="22"/>
        </w:rPr>
        <w:t>same for populations where NBS has been implemented, or representative of variants reported in literature.</w:t>
      </w:r>
    </w:p>
    <w:p w14:paraId="1A46309C" w14:textId="77777777" w:rsidR="00ED5CB7" w:rsidRDefault="00ED5CB7" w:rsidP="003A63D1">
      <w:pPr>
        <w:pStyle w:val="BoxName0"/>
        <w:keepNext w:val="0"/>
        <w:pBdr>
          <w:top w:val="single" w:sz="4" w:space="7" w:color="000000"/>
        </w:pBdr>
        <w:ind w:left="284" w:hanging="284"/>
        <w:rPr>
          <w:b w:val="0"/>
          <w:sz w:val="22"/>
          <w:szCs w:val="22"/>
        </w:rPr>
      </w:pPr>
      <w:r>
        <w:rPr>
          <w:b w:val="0"/>
          <w:sz w:val="22"/>
          <w:szCs w:val="22"/>
        </w:rPr>
        <w:t xml:space="preserve">     </w:t>
      </w:r>
      <w:r w:rsidRPr="007A1B17">
        <w:rPr>
          <w:b w:val="0"/>
          <w:sz w:val="22"/>
          <w:szCs w:val="22"/>
        </w:rPr>
        <w:t xml:space="preserve">ESC </w:t>
      </w:r>
      <w:r>
        <w:rPr>
          <w:b w:val="0"/>
          <w:sz w:val="22"/>
          <w:szCs w:val="22"/>
        </w:rPr>
        <w:t xml:space="preserve">noted that the establishment of a </w:t>
      </w:r>
      <w:r w:rsidRPr="007A1B17">
        <w:rPr>
          <w:b w:val="0"/>
          <w:sz w:val="22"/>
          <w:szCs w:val="22"/>
        </w:rPr>
        <w:t>national registry for the NBS program</w:t>
      </w:r>
      <w:r>
        <w:rPr>
          <w:b w:val="0"/>
          <w:sz w:val="22"/>
          <w:szCs w:val="22"/>
        </w:rPr>
        <w:t xml:space="preserve"> </w:t>
      </w:r>
      <w:r w:rsidRPr="007A1B17">
        <w:rPr>
          <w:b w:val="0"/>
          <w:sz w:val="22"/>
          <w:szCs w:val="22"/>
        </w:rPr>
        <w:t xml:space="preserve">could help </w:t>
      </w:r>
      <w:r>
        <w:rPr>
          <w:b w:val="0"/>
          <w:sz w:val="22"/>
          <w:szCs w:val="22"/>
        </w:rPr>
        <w:t>address</w:t>
      </w:r>
      <w:r w:rsidRPr="007A1B17">
        <w:rPr>
          <w:b w:val="0"/>
          <w:sz w:val="22"/>
          <w:szCs w:val="22"/>
        </w:rPr>
        <w:t xml:space="preserve"> clinical and ethical issues with variants and reporting</w:t>
      </w:r>
      <w:r>
        <w:rPr>
          <w:b w:val="0"/>
          <w:sz w:val="22"/>
          <w:szCs w:val="22"/>
        </w:rPr>
        <w:t xml:space="preserve">. </w:t>
      </w:r>
    </w:p>
    <w:p w14:paraId="11C38A72" w14:textId="77777777" w:rsidR="00ED5CB7" w:rsidRPr="007A1B17" w:rsidRDefault="00ED5CB7" w:rsidP="003A63D1">
      <w:pPr>
        <w:pStyle w:val="BoxName0"/>
        <w:keepNext w:val="0"/>
        <w:pBdr>
          <w:top w:val="single" w:sz="4" w:space="7" w:color="000000"/>
        </w:pBdr>
        <w:ind w:left="284" w:hanging="284"/>
        <w:rPr>
          <w:b w:val="0"/>
          <w:sz w:val="22"/>
          <w:szCs w:val="22"/>
        </w:rPr>
      </w:pPr>
      <w:r>
        <w:rPr>
          <w:b w:val="0"/>
          <w:sz w:val="22"/>
          <w:szCs w:val="22"/>
        </w:rPr>
        <w:t xml:space="preserve">     </w:t>
      </w:r>
      <w:r w:rsidRPr="007A1B17">
        <w:rPr>
          <w:b w:val="0"/>
          <w:sz w:val="22"/>
          <w:szCs w:val="22"/>
        </w:rPr>
        <w:t xml:space="preserve">ESC </w:t>
      </w:r>
      <w:r>
        <w:rPr>
          <w:b w:val="0"/>
          <w:sz w:val="22"/>
          <w:szCs w:val="22"/>
        </w:rPr>
        <w:t>advised that</w:t>
      </w:r>
      <w:r w:rsidRPr="007A1B17">
        <w:rPr>
          <w:b w:val="0"/>
          <w:sz w:val="22"/>
          <w:szCs w:val="22"/>
        </w:rPr>
        <w:t xml:space="preserve"> MSAC may wish to refer the following matters to the LSDP Expert Panel</w:t>
      </w:r>
      <w:r>
        <w:rPr>
          <w:b w:val="0"/>
          <w:sz w:val="22"/>
          <w:szCs w:val="22"/>
        </w:rPr>
        <w:t xml:space="preserve"> in the context of its </w:t>
      </w:r>
      <w:proofErr w:type="spellStart"/>
      <w:r>
        <w:rPr>
          <w:b w:val="0"/>
          <w:sz w:val="22"/>
          <w:szCs w:val="22"/>
        </w:rPr>
        <w:t>a</w:t>
      </w:r>
      <w:r w:rsidRPr="00D12472">
        <w:rPr>
          <w:b w:val="0"/>
          <w:sz w:val="22"/>
          <w:szCs w:val="22"/>
        </w:rPr>
        <w:t>valglucosidase</w:t>
      </w:r>
      <w:proofErr w:type="spellEnd"/>
      <w:r w:rsidRPr="00D12472">
        <w:rPr>
          <w:b w:val="0"/>
          <w:sz w:val="22"/>
          <w:szCs w:val="22"/>
        </w:rPr>
        <w:t xml:space="preserve"> alfa 24 Month Review</w:t>
      </w:r>
      <w:r w:rsidRPr="007A1B17">
        <w:rPr>
          <w:b w:val="0"/>
          <w:sz w:val="22"/>
          <w:szCs w:val="22"/>
        </w:rPr>
        <w:t>:</w:t>
      </w:r>
    </w:p>
    <w:p w14:paraId="15A2EC9E" w14:textId="77777777" w:rsidR="00ED5CB7" w:rsidRPr="007A1B17" w:rsidRDefault="00ED5CB7" w:rsidP="003A63D1">
      <w:pPr>
        <w:pStyle w:val="BoxName0"/>
        <w:keepNext w:val="0"/>
        <w:pBdr>
          <w:top w:val="single" w:sz="4" w:space="7" w:color="000000"/>
        </w:pBdr>
        <w:ind w:left="284" w:hanging="284"/>
        <w:rPr>
          <w:b w:val="0"/>
          <w:sz w:val="22"/>
          <w:szCs w:val="22"/>
        </w:rPr>
      </w:pPr>
      <w:r w:rsidRPr="007A1B17">
        <w:rPr>
          <w:b w:val="0"/>
          <w:sz w:val="22"/>
          <w:szCs w:val="22"/>
        </w:rPr>
        <w:t>•</w:t>
      </w:r>
      <w:r w:rsidRPr="00F451BC">
        <w:rPr>
          <w:b w:val="0"/>
          <w:sz w:val="22"/>
        </w:rPr>
        <w:tab/>
      </w:r>
      <w:r w:rsidRPr="007A1B17">
        <w:rPr>
          <w:b w:val="0"/>
          <w:sz w:val="22"/>
          <w:szCs w:val="22"/>
        </w:rPr>
        <w:t xml:space="preserve">the prevalence of GSD II is already beyond </w:t>
      </w:r>
      <w:r>
        <w:rPr>
          <w:b w:val="0"/>
          <w:sz w:val="22"/>
          <w:szCs w:val="22"/>
        </w:rPr>
        <w:t xml:space="preserve">the </w:t>
      </w:r>
      <w:r w:rsidRPr="007A1B17">
        <w:rPr>
          <w:b w:val="0"/>
          <w:sz w:val="22"/>
          <w:szCs w:val="22"/>
        </w:rPr>
        <w:t xml:space="preserve">LSDP </w:t>
      </w:r>
      <w:proofErr w:type="gramStart"/>
      <w:r w:rsidRPr="007A1B17">
        <w:rPr>
          <w:b w:val="0"/>
          <w:sz w:val="22"/>
          <w:szCs w:val="22"/>
        </w:rPr>
        <w:t>threshold, and</w:t>
      </w:r>
      <w:proofErr w:type="gramEnd"/>
      <w:r>
        <w:rPr>
          <w:b w:val="0"/>
          <w:sz w:val="22"/>
          <w:szCs w:val="22"/>
        </w:rPr>
        <w:t xml:space="preserve"> is </w:t>
      </w:r>
      <w:r w:rsidRPr="007A1B17">
        <w:rPr>
          <w:b w:val="0"/>
          <w:sz w:val="22"/>
          <w:szCs w:val="22"/>
        </w:rPr>
        <w:t xml:space="preserve">projected to increase further with </w:t>
      </w:r>
      <w:r>
        <w:rPr>
          <w:b w:val="0"/>
          <w:sz w:val="22"/>
          <w:szCs w:val="22"/>
        </w:rPr>
        <w:t xml:space="preserve">the </w:t>
      </w:r>
      <w:r w:rsidRPr="007A1B17">
        <w:rPr>
          <w:b w:val="0"/>
          <w:sz w:val="22"/>
          <w:szCs w:val="22"/>
        </w:rPr>
        <w:t xml:space="preserve">proposed </w:t>
      </w:r>
      <w:r>
        <w:rPr>
          <w:b w:val="0"/>
          <w:sz w:val="22"/>
          <w:szCs w:val="22"/>
        </w:rPr>
        <w:t>inclusion of GSD II in</w:t>
      </w:r>
      <w:r w:rsidRPr="007A1B17">
        <w:rPr>
          <w:b w:val="0"/>
          <w:sz w:val="22"/>
          <w:szCs w:val="22"/>
        </w:rPr>
        <w:t xml:space="preserve"> NBS</w:t>
      </w:r>
      <w:r>
        <w:rPr>
          <w:b w:val="0"/>
          <w:sz w:val="22"/>
          <w:szCs w:val="22"/>
        </w:rPr>
        <w:t xml:space="preserve"> programs.</w:t>
      </w:r>
    </w:p>
    <w:p w14:paraId="265C1B87" w14:textId="77777777" w:rsidR="00ED5CB7" w:rsidRPr="007A1B17" w:rsidRDefault="00ED5CB7" w:rsidP="003A63D1">
      <w:pPr>
        <w:pStyle w:val="BoxName0"/>
        <w:keepNext w:val="0"/>
        <w:pBdr>
          <w:top w:val="single" w:sz="4" w:space="7" w:color="000000"/>
        </w:pBdr>
        <w:ind w:left="284" w:hanging="284"/>
        <w:rPr>
          <w:b w:val="0"/>
          <w:sz w:val="22"/>
          <w:szCs w:val="22"/>
        </w:rPr>
      </w:pPr>
      <w:r w:rsidRPr="007A1B17">
        <w:rPr>
          <w:b w:val="0"/>
          <w:sz w:val="22"/>
          <w:szCs w:val="22"/>
        </w:rPr>
        <w:t>•</w:t>
      </w:r>
      <w:r w:rsidRPr="006F1EF0">
        <w:rPr>
          <w:b w:val="0"/>
          <w:sz w:val="22"/>
        </w:rPr>
        <w:tab/>
      </w:r>
      <w:r w:rsidRPr="007A1B17">
        <w:rPr>
          <w:b w:val="0"/>
          <w:sz w:val="22"/>
          <w:szCs w:val="22"/>
        </w:rPr>
        <w:t xml:space="preserve">whether to consider the basis for current LSDP criteria to permit ERT initiation in asymptomatic patients between the ages of 24 months and 18 years for individuals diagnosed via </w:t>
      </w:r>
      <w:r>
        <w:rPr>
          <w:b w:val="0"/>
          <w:sz w:val="22"/>
          <w:szCs w:val="22"/>
        </w:rPr>
        <w:t xml:space="preserve">the NBS </w:t>
      </w:r>
      <w:r w:rsidRPr="007A1B17">
        <w:rPr>
          <w:b w:val="0"/>
          <w:sz w:val="22"/>
          <w:szCs w:val="22"/>
        </w:rPr>
        <w:t>and suggestive of GSD II</w:t>
      </w:r>
    </w:p>
    <w:p w14:paraId="3698D160" w14:textId="77777777" w:rsidR="00ED5CB7" w:rsidRPr="003E3A87" w:rsidRDefault="00ED5CB7" w:rsidP="003A63D1">
      <w:pPr>
        <w:pStyle w:val="BoxName0"/>
        <w:keepNext w:val="0"/>
        <w:pBdr>
          <w:top w:val="single" w:sz="4" w:space="7" w:color="000000"/>
        </w:pBdr>
        <w:ind w:left="284" w:hanging="284"/>
        <w:rPr>
          <w:b w:val="0"/>
          <w:sz w:val="22"/>
          <w:szCs w:val="22"/>
        </w:rPr>
      </w:pPr>
      <w:r w:rsidRPr="007A1B17">
        <w:rPr>
          <w:b w:val="0"/>
          <w:sz w:val="22"/>
          <w:szCs w:val="22"/>
        </w:rPr>
        <w:t>•</w:t>
      </w:r>
      <w:r w:rsidRPr="007A1B17">
        <w:rPr>
          <w:b w:val="0"/>
          <w:sz w:val="22"/>
          <w:szCs w:val="22"/>
        </w:rPr>
        <w:tab/>
        <w:t xml:space="preserve">whether to </w:t>
      </w:r>
      <w:r>
        <w:rPr>
          <w:b w:val="0"/>
          <w:sz w:val="22"/>
          <w:szCs w:val="22"/>
        </w:rPr>
        <w:t>(</w:t>
      </w:r>
      <w:r w:rsidRPr="007A1B17">
        <w:rPr>
          <w:b w:val="0"/>
          <w:sz w:val="22"/>
          <w:szCs w:val="22"/>
        </w:rPr>
        <w:t>continue to</w:t>
      </w:r>
      <w:r>
        <w:rPr>
          <w:b w:val="0"/>
          <w:sz w:val="22"/>
          <w:szCs w:val="22"/>
        </w:rPr>
        <w:t>)</w:t>
      </w:r>
      <w:r w:rsidRPr="007A1B17">
        <w:rPr>
          <w:b w:val="0"/>
          <w:sz w:val="22"/>
          <w:szCs w:val="22"/>
        </w:rPr>
        <w:t xml:space="preserve"> permit a dose of 40 mg/kg/</w:t>
      </w:r>
      <w:proofErr w:type="spellStart"/>
      <w:r w:rsidRPr="007A1B17">
        <w:rPr>
          <w:b w:val="0"/>
          <w:sz w:val="22"/>
          <w:szCs w:val="22"/>
        </w:rPr>
        <w:t>eow</w:t>
      </w:r>
      <w:proofErr w:type="spellEnd"/>
      <w:r w:rsidRPr="007A1B17">
        <w:rPr>
          <w:b w:val="0"/>
          <w:sz w:val="22"/>
          <w:szCs w:val="22"/>
        </w:rPr>
        <w:t xml:space="preserve"> (every other week) for patients with IOGSD II who experience insufficient control, or declining response to ERT at the </w:t>
      </w:r>
      <w:r>
        <w:rPr>
          <w:b w:val="0"/>
          <w:sz w:val="22"/>
          <w:szCs w:val="22"/>
        </w:rPr>
        <w:t>TGA-</w:t>
      </w:r>
      <w:r w:rsidRPr="007A1B17">
        <w:rPr>
          <w:b w:val="0"/>
          <w:sz w:val="22"/>
          <w:szCs w:val="22"/>
        </w:rPr>
        <w:t xml:space="preserve">approved </w:t>
      </w:r>
      <w:r>
        <w:rPr>
          <w:b w:val="0"/>
          <w:sz w:val="22"/>
          <w:szCs w:val="22"/>
        </w:rPr>
        <w:t xml:space="preserve">initial </w:t>
      </w:r>
      <w:r w:rsidRPr="007A1B17">
        <w:rPr>
          <w:b w:val="0"/>
          <w:sz w:val="22"/>
          <w:szCs w:val="22"/>
        </w:rPr>
        <w:t>dose</w:t>
      </w:r>
      <w:r>
        <w:rPr>
          <w:b w:val="0"/>
          <w:sz w:val="22"/>
          <w:szCs w:val="22"/>
        </w:rPr>
        <w:t xml:space="preserve">, as evidence suggested </w:t>
      </w:r>
      <w:r w:rsidRPr="000F409E">
        <w:rPr>
          <w:b w:val="0"/>
          <w:sz w:val="22"/>
          <w:szCs w:val="22"/>
        </w:rPr>
        <w:t xml:space="preserve">possible </w:t>
      </w:r>
      <w:r>
        <w:rPr>
          <w:b w:val="0"/>
          <w:sz w:val="22"/>
          <w:szCs w:val="22"/>
        </w:rPr>
        <w:t>benefits</w:t>
      </w:r>
      <w:r w:rsidRPr="000F409E">
        <w:rPr>
          <w:b w:val="0"/>
          <w:sz w:val="22"/>
          <w:szCs w:val="22"/>
        </w:rPr>
        <w:t xml:space="preserve"> associated with higher doses of ERT, compared to the recommended dose</w:t>
      </w:r>
      <w:r w:rsidRPr="007A1B17">
        <w:rPr>
          <w:b w:val="0"/>
          <w:sz w:val="22"/>
          <w:szCs w:val="22"/>
        </w:rPr>
        <w:t>.</w:t>
      </w:r>
    </w:p>
    <w:p w14:paraId="1FA526B8" w14:textId="77777777" w:rsidR="00ED5CB7" w:rsidRPr="003A63D1" w:rsidRDefault="00ED5CB7" w:rsidP="003A63D1">
      <w:pPr>
        <w:pStyle w:val="Heading3"/>
        <w:rPr>
          <w:b/>
          <w:bCs/>
        </w:rPr>
      </w:pPr>
      <w:r w:rsidRPr="003A63D1">
        <w:rPr>
          <w:b/>
          <w:bCs/>
        </w:rPr>
        <w:t>ESC discussion</w:t>
      </w:r>
    </w:p>
    <w:p w14:paraId="1DCB2854" w14:textId="77777777" w:rsidR="00ED5CB7" w:rsidRDefault="00ED5CB7" w:rsidP="00ED5CB7">
      <w:pPr>
        <w:pStyle w:val="BodyText"/>
        <w:rPr>
          <w:rStyle w:val="Strong"/>
          <w:b w:val="0"/>
          <w:bCs w:val="0"/>
        </w:rPr>
      </w:pPr>
      <w:r w:rsidRPr="006B4779">
        <w:rPr>
          <w:rStyle w:val="Strong"/>
          <w:b w:val="0"/>
        </w:rPr>
        <w:t>ESC noted this application, from the Department of Health and Aged Care Newborn Bloodspot Screening (NBS)</w:t>
      </w:r>
      <w:r>
        <w:rPr>
          <w:rStyle w:val="Strong"/>
          <w:b w:val="0"/>
        </w:rPr>
        <w:t xml:space="preserve"> Section</w:t>
      </w:r>
      <w:r w:rsidRPr="006B4779">
        <w:rPr>
          <w:rStyle w:val="Strong"/>
          <w:b w:val="0"/>
        </w:rPr>
        <w:t xml:space="preserve">, </w:t>
      </w:r>
      <w:r>
        <w:rPr>
          <w:rStyle w:val="Strong"/>
          <w:b w:val="0"/>
          <w:bCs w:val="0"/>
        </w:rPr>
        <w:t>sought the addition of</w:t>
      </w:r>
      <w:r w:rsidRPr="006B4779">
        <w:rPr>
          <w:rStyle w:val="Strong"/>
          <w:b w:val="0"/>
        </w:rPr>
        <w:t xml:space="preserve"> glycogen storage disease, type II (GSD II; Pompe disease) to the list of conditions screened as part of </w:t>
      </w:r>
      <w:r>
        <w:rPr>
          <w:rStyle w:val="Strong"/>
          <w:b w:val="0"/>
          <w:bCs w:val="0"/>
        </w:rPr>
        <w:t>Australia’s</w:t>
      </w:r>
      <w:r w:rsidRPr="006B4779">
        <w:rPr>
          <w:rStyle w:val="Strong"/>
          <w:b w:val="0"/>
        </w:rPr>
        <w:t xml:space="preserve"> NBS</w:t>
      </w:r>
      <w:r>
        <w:rPr>
          <w:rStyle w:val="Strong"/>
          <w:b w:val="0"/>
          <w:bCs w:val="0"/>
        </w:rPr>
        <w:t xml:space="preserve"> programs</w:t>
      </w:r>
      <w:r w:rsidRPr="006B4779">
        <w:rPr>
          <w:rStyle w:val="Strong"/>
          <w:b w:val="0"/>
        </w:rPr>
        <w:t>.</w:t>
      </w:r>
      <w:r>
        <w:rPr>
          <w:rStyle w:val="Strong"/>
          <w:b w:val="0"/>
          <w:bCs w:val="0"/>
        </w:rPr>
        <w:t xml:space="preserve"> ESC noted the NBS programs are overseen and managed by state and territory governments. </w:t>
      </w:r>
      <w:r>
        <w:t>ESC noted the Australian Government initially announced funding under the 2022-23 Budget, followed by additional funding in the 2024-25 Budget to support expansion of NBS programs.</w:t>
      </w:r>
    </w:p>
    <w:p w14:paraId="15D6DCEF" w14:textId="77777777" w:rsidR="00ED5CB7" w:rsidRDefault="00ED5CB7" w:rsidP="00ED5CB7">
      <w:pPr>
        <w:pStyle w:val="BodyText"/>
        <w:rPr>
          <w:lang w:val="en-US"/>
        </w:rPr>
      </w:pPr>
      <w:r>
        <w:t>ESC noted the NBS is underpinned by the NBS National Policy Framework (NBS NPF)</w:t>
      </w:r>
      <w:r>
        <w:rPr>
          <w:rStyle w:val="FootnoteReference"/>
        </w:rPr>
        <w:footnoteReference w:id="34"/>
      </w:r>
      <w:r>
        <w:t>. For</w:t>
      </w:r>
      <w:r w:rsidRPr="003C5C1A">
        <w:rPr>
          <w:lang w:val="en-US"/>
        </w:rPr>
        <w:t xml:space="preserve"> a condition to progress to MSAC for assessment, it needs to align </w:t>
      </w:r>
      <w:r>
        <w:rPr>
          <w:lang w:val="en-US"/>
        </w:rPr>
        <w:t>broadly</w:t>
      </w:r>
      <w:r w:rsidRPr="003C5C1A">
        <w:rPr>
          <w:lang w:val="en-US"/>
        </w:rPr>
        <w:t xml:space="preserve"> with</w:t>
      </w:r>
      <w:r>
        <w:rPr>
          <w:lang w:val="en-US"/>
        </w:rPr>
        <w:t xml:space="preserve"> the NBS NPF which lays out multiple criteria including: t</w:t>
      </w:r>
      <w:r w:rsidRPr="00F34AE9">
        <w:rPr>
          <w:lang w:val="en-US"/>
        </w:rPr>
        <w:t>he condition is serious and benefits from early diagnosis in the newborn period</w:t>
      </w:r>
      <w:r>
        <w:rPr>
          <w:lang w:val="en-US"/>
        </w:rPr>
        <w:t>;</w:t>
      </w:r>
      <w:r w:rsidRPr="00F34AE9">
        <w:rPr>
          <w:rFonts w:eastAsiaTheme="minorHAnsi" w:cstheme="minorBidi"/>
          <w:color w:val="auto"/>
          <w:szCs w:val="22"/>
          <w:lang w:eastAsia="en-US"/>
        </w:rPr>
        <w:t xml:space="preserve"> </w:t>
      </w:r>
      <w:r>
        <w:rPr>
          <w:rFonts w:eastAsiaTheme="minorHAnsi" w:cstheme="minorBidi"/>
          <w:color w:val="auto"/>
          <w:szCs w:val="22"/>
          <w:lang w:eastAsia="en-US"/>
        </w:rPr>
        <w:t>having</w:t>
      </w:r>
      <w:r w:rsidRPr="00F34AE9">
        <w:rPr>
          <w:lang w:val="en-US"/>
        </w:rPr>
        <w:t xml:space="preserve"> a suitable </w:t>
      </w:r>
      <w:r>
        <w:rPr>
          <w:lang w:val="en-US"/>
        </w:rPr>
        <w:t xml:space="preserve">screening </w:t>
      </w:r>
      <w:r w:rsidRPr="00F34AE9">
        <w:rPr>
          <w:lang w:val="en-US"/>
        </w:rPr>
        <w:t>test available, which is socially and ethically acceptable</w:t>
      </w:r>
      <w:r>
        <w:rPr>
          <w:lang w:val="en-US"/>
        </w:rPr>
        <w:t>; and having an</w:t>
      </w:r>
      <w:r w:rsidRPr="00F34AE9">
        <w:rPr>
          <w:lang w:val="en-US"/>
        </w:rPr>
        <w:t xml:space="preserve"> effective intervention or treatment available</w:t>
      </w:r>
      <w:r>
        <w:rPr>
          <w:lang w:val="en-US"/>
        </w:rPr>
        <w:t xml:space="preserve">. </w:t>
      </w:r>
      <w:bookmarkStart w:id="80" w:name="_Hlk192435507"/>
      <w:r>
        <w:rPr>
          <w:lang w:val="en-US"/>
        </w:rPr>
        <w:t xml:space="preserve">ESC further noted that 9 </w:t>
      </w:r>
      <w:r w:rsidRPr="00BA487D">
        <w:rPr>
          <w:lang w:val="en-US"/>
        </w:rPr>
        <w:t>Lysosomal Storage Disorder</w:t>
      </w:r>
      <w:r>
        <w:rPr>
          <w:lang w:val="en-US"/>
        </w:rPr>
        <w:t>s</w:t>
      </w:r>
      <w:r w:rsidRPr="00BA487D">
        <w:rPr>
          <w:lang w:val="en-US"/>
        </w:rPr>
        <w:t xml:space="preserve"> </w:t>
      </w:r>
      <w:r>
        <w:rPr>
          <w:lang w:val="en-US"/>
        </w:rPr>
        <w:t xml:space="preserve">(LSD) have been </w:t>
      </w:r>
      <w:r w:rsidRPr="00BA487D">
        <w:rPr>
          <w:lang w:val="en-US"/>
        </w:rPr>
        <w:t>considered</w:t>
      </w:r>
      <w:r>
        <w:rPr>
          <w:lang w:val="en-US"/>
        </w:rPr>
        <w:t xml:space="preserve"> to date by the National NBS Program Management Committee, out of which 3 have been referred to MSAC for assessment</w:t>
      </w:r>
      <w:bookmarkEnd w:id="80"/>
      <w:r>
        <w:rPr>
          <w:lang w:val="en-US"/>
        </w:rPr>
        <w:t xml:space="preserve"> (MSAC applications 1774</w:t>
      </w:r>
      <w:r>
        <w:rPr>
          <w:rStyle w:val="FootnoteReference"/>
          <w:lang w:val="en-US"/>
        </w:rPr>
        <w:footnoteReference w:id="35"/>
      </w:r>
      <w:r>
        <w:rPr>
          <w:lang w:val="en-US"/>
        </w:rPr>
        <w:t>, 1775</w:t>
      </w:r>
      <w:r>
        <w:rPr>
          <w:rStyle w:val="FootnoteReference"/>
          <w:lang w:val="en-US"/>
        </w:rPr>
        <w:footnoteReference w:id="36"/>
      </w:r>
      <w:r>
        <w:rPr>
          <w:lang w:val="en-US"/>
        </w:rPr>
        <w:t xml:space="preserve"> and 1776</w:t>
      </w:r>
      <w:r>
        <w:rPr>
          <w:rStyle w:val="FootnoteReference"/>
          <w:lang w:val="en-US"/>
        </w:rPr>
        <w:footnoteReference w:id="37"/>
      </w:r>
      <w:r>
        <w:rPr>
          <w:lang w:val="en-US"/>
        </w:rPr>
        <w:t>).</w:t>
      </w:r>
    </w:p>
    <w:p w14:paraId="6EE67C10" w14:textId="77777777" w:rsidR="00ED5CB7" w:rsidRPr="00DF0FB1" w:rsidRDefault="00ED5CB7" w:rsidP="00ED5CB7">
      <w:pPr>
        <w:pStyle w:val="BodyText"/>
        <w:rPr>
          <w:rStyle w:val="Strong"/>
          <w:b w:val="0"/>
          <w:bCs w:val="0"/>
        </w:rPr>
      </w:pPr>
      <w:r w:rsidRPr="0F4ACA85">
        <w:t xml:space="preserve">ESC noted that as a starting premise for evaluation, newborn </w:t>
      </w:r>
      <w:r>
        <w:t xml:space="preserve">bloodspot </w:t>
      </w:r>
      <w:r w:rsidRPr="0F4ACA85">
        <w:t>screening needs to fulfil the same criteria for net benefit and cost-effectiveness as any screening program and additionally justify why screening should occur in the newborn period.</w:t>
      </w:r>
    </w:p>
    <w:p w14:paraId="1B325758" w14:textId="645CD2DC" w:rsidR="00ED5CB7" w:rsidRDefault="00ED5CB7" w:rsidP="00ED5CB7">
      <w:pPr>
        <w:pStyle w:val="BodyText"/>
      </w:pPr>
      <w:r>
        <w:rPr>
          <w:rStyle w:val="Strong"/>
          <w:b w:val="0"/>
        </w:rPr>
        <w:t xml:space="preserve">ESC noted and welcomed </w:t>
      </w:r>
      <w:r>
        <w:t xml:space="preserve">public consultation feedback </w:t>
      </w:r>
      <w:r w:rsidRPr="1C672D4D">
        <w:rPr>
          <w:rFonts w:eastAsia="Franklin Gothic Book" w:cs="Franklin Gothic Book"/>
          <w:color w:val="000000" w:themeColor="text1"/>
        </w:rPr>
        <w:t>from</w:t>
      </w:r>
      <w:r>
        <w:rPr>
          <w:rFonts w:eastAsia="Franklin Gothic Book" w:cs="Franklin Gothic Book"/>
          <w:color w:val="000000" w:themeColor="text1"/>
        </w:rPr>
        <w:t xml:space="preserve"> 11 organisations and 19 individuals (7individuals with the condition, 10 identified as carers or other interested </w:t>
      </w:r>
      <w:r w:rsidRPr="00CB6F0C">
        <w:rPr>
          <w:rFonts w:eastAsia="Franklin Gothic Book" w:cs="Franklin Gothic Book"/>
          <w:color w:val="000000" w:themeColor="text1"/>
          <w:szCs w:val="22"/>
        </w:rPr>
        <w:t xml:space="preserve">individuals, </w:t>
      </w:r>
      <w:r w:rsidRPr="008F2ABE">
        <w:rPr>
          <w:szCs w:val="22"/>
        </w:rPr>
        <w:t>one researcher and one specialist</w:t>
      </w:r>
      <w:r w:rsidRPr="00CB6F0C">
        <w:rPr>
          <w:rFonts w:eastAsia="Franklin Gothic Book" w:cs="Franklin Gothic Book"/>
          <w:color w:val="000000" w:themeColor="text1"/>
          <w:szCs w:val="22"/>
        </w:rPr>
        <w:t>).</w:t>
      </w:r>
      <w:r>
        <w:rPr>
          <w:rFonts w:eastAsia="Franklin Gothic Book" w:cs="Franklin Gothic Book"/>
          <w:color w:val="000000" w:themeColor="text1"/>
        </w:rPr>
        <w:t xml:space="preserve"> </w:t>
      </w:r>
      <w:r w:rsidRPr="02E2EE7D">
        <w:t>ESC noted the public consultation feedback was supportive, including from peak bodies such as Genetic Alliance Australia</w:t>
      </w:r>
      <w:r>
        <w:t xml:space="preserve"> and Rare Voices Australia</w:t>
      </w:r>
      <w:r w:rsidRPr="02E2EE7D">
        <w:t xml:space="preserve">. Feedback </w:t>
      </w:r>
      <w:r>
        <w:t>from consumers highlighted</w:t>
      </w:r>
      <w:r w:rsidRPr="02E2EE7D">
        <w:t xml:space="preserve"> that NBS would </w:t>
      </w:r>
      <w:r>
        <w:t>enable</w:t>
      </w:r>
      <w:r w:rsidRPr="02E2EE7D">
        <w:t xml:space="preserve"> earl</w:t>
      </w:r>
      <w:r>
        <w:t>ier</w:t>
      </w:r>
      <w:r w:rsidRPr="02E2EE7D">
        <w:t xml:space="preserve"> d</w:t>
      </w:r>
      <w:r>
        <w:t>iagnosis</w:t>
      </w:r>
      <w:r w:rsidRPr="02E2EE7D">
        <w:t xml:space="preserve"> and </w:t>
      </w:r>
      <w:r>
        <w:t xml:space="preserve">timely </w:t>
      </w:r>
      <w:r w:rsidRPr="02E2EE7D">
        <w:t>access to enzyme replacement therapy (ERT)</w:t>
      </w:r>
      <w:r>
        <w:t xml:space="preserve"> which would</w:t>
      </w:r>
      <w:r w:rsidRPr="02E2EE7D">
        <w:t xml:space="preserve"> slow disease progression</w:t>
      </w:r>
      <w:r>
        <w:t>, reduce</w:t>
      </w:r>
      <w:r w:rsidRPr="02E2EE7D">
        <w:t xml:space="preserve"> morbidity, and save families from a diagnostic odyssey. </w:t>
      </w:r>
      <w:r>
        <w:t xml:space="preserve">Additionally, including GDS II in </w:t>
      </w:r>
      <w:r w:rsidRPr="02E2EE7D">
        <w:t>NBS would allow equity of access</w:t>
      </w:r>
      <w:r>
        <w:t xml:space="preserve"> for screening.</w:t>
      </w:r>
      <w:r w:rsidRPr="02E2EE7D">
        <w:t xml:space="preserve"> Concerns </w:t>
      </w:r>
      <w:r>
        <w:t xml:space="preserve">were raised </w:t>
      </w:r>
      <w:r w:rsidRPr="02E2EE7D">
        <w:t xml:space="preserve">about </w:t>
      </w:r>
      <w:r w:rsidRPr="0F4ACA85">
        <w:t>false positives (</w:t>
      </w:r>
      <w:r w:rsidRPr="02E2EE7D">
        <w:t>FPs</w:t>
      </w:r>
      <w:r w:rsidRPr="0F4ACA85">
        <w:t>)</w:t>
      </w:r>
      <w:r w:rsidRPr="02E2EE7D">
        <w:t xml:space="preserve"> and </w:t>
      </w:r>
      <w:r>
        <w:t>the identification and management of</w:t>
      </w:r>
      <w:r w:rsidRPr="02E2EE7D">
        <w:t xml:space="preserve"> late onset </w:t>
      </w:r>
      <w:r>
        <w:t>disease, with</w:t>
      </w:r>
      <w:r w:rsidRPr="02E2EE7D">
        <w:t xml:space="preserve"> </w:t>
      </w:r>
      <w:r>
        <w:t>feedback highlighting the need for clear guidelines around monitoring of these patients</w:t>
      </w:r>
      <w:r w:rsidRPr="02E2EE7D">
        <w:t xml:space="preserve">. </w:t>
      </w:r>
      <w:r>
        <w:t>ESC noted s</w:t>
      </w:r>
      <w:r w:rsidRPr="02E2EE7D">
        <w:t>ome feedback also raised logistical issues, such as the additional need for education, staff and genetic counselling</w:t>
      </w:r>
      <w:r>
        <w:t xml:space="preserve"> for patients and their families</w:t>
      </w:r>
      <w:r w:rsidRPr="02E2EE7D">
        <w:t xml:space="preserve">. </w:t>
      </w:r>
    </w:p>
    <w:p w14:paraId="754D833D" w14:textId="77777777" w:rsidR="00ED5CB7" w:rsidRDefault="00ED5CB7" w:rsidP="00ED5CB7">
      <w:pPr>
        <w:pStyle w:val="BodyText"/>
      </w:pPr>
      <w:r w:rsidRPr="00F330FB">
        <w:rPr>
          <w:rStyle w:val="Strong"/>
          <w:b w:val="0"/>
        </w:rPr>
        <w:t>ESC noted that GSD II is an a</w:t>
      </w:r>
      <w:r w:rsidRPr="02E2EE7D">
        <w:t xml:space="preserve">utosomal recessive </w:t>
      </w:r>
      <w:r>
        <w:t>LSD</w:t>
      </w:r>
      <w:r w:rsidRPr="02E2EE7D">
        <w:t xml:space="preserve">, caused by </w:t>
      </w:r>
      <w:r>
        <w:t xml:space="preserve">a </w:t>
      </w:r>
      <w:r w:rsidRPr="02E2EE7D">
        <w:t xml:space="preserve">deficiency of alpha-glucosidase (GAA), a lysosomal enzyme that is required to break down glycogen. The 2 main phenotypic categories of clinically determined GSD II are infantile-onset (IOGSD II) and late-onset (LOGSD II). IOGSD II is the most severe form of the disease and is associated with very low or no GAA activity. IOGSD II is characterised by symptoms at birth or during early development. Severe symptoms, including severe cardiomegaly (enlarged heart), hypertrophic cardiomyopathy (thickening of the heart muscle), hypotonia (low muscle tone), and respiratory problems that eventually require a ventilator, appear within the first few months of life. Without treatment, most </w:t>
      </w:r>
      <w:r>
        <w:t>individuals</w:t>
      </w:r>
      <w:r w:rsidRPr="02E2EE7D">
        <w:t xml:space="preserve"> have unremitting deterioration and die within the first year </w:t>
      </w:r>
      <w:r>
        <w:t xml:space="preserve">of life </w:t>
      </w:r>
      <w:r w:rsidRPr="02E2EE7D">
        <w:t>from cardiac insufficiency.</w:t>
      </w:r>
    </w:p>
    <w:p w14:paraId="39B0A4CF" w14:textId="77777777" w:rsidR="00ED5CB7" w:rsidRDefault="00ED5CB7" w:rsidP="00ED5CB7">
      <w:pPr>
        <w:pStyle w:val="BodyText"/>
      </w:pPr>
      <w:r w:rsidRPr="00F3020A">
        <w:t>LOGSD II can be diagnosed at any age</w:t>
      </w:r>
      <w:r>
        <w:t xml:space="preserve"> (median age of 36 years in Australia; range of 10 weeks to 69.7 years)</w:t>
      </w:r>
      <w:r>
        <w:rPr>
          <w:rStyle w:val="FootnoteReference"/>
        </w:rPr>
        <w:footnoteReference w:id="38"/>
      </w:r>
      <w:r>
        <w:t>, with slower progression of symptoms than IOGSD II. Individual</w:t>
      </w:r>
      <w:r w:rsidRPr="007D1689">
        <w:t xml:space="preserve">s do not develop cardiomyopathy but can have significant morbidity and mortality due to skeletal muscle myopathy and diaphragmatic insufficiency. There is considerable variation in the age of symptom onset, and </w:t>
      </w:r>
      <w:r>
        <w:t>severity of signs and symptoms. V</w:t>
      </w:r>
      <w:r w:rsidRPr="007D1689">
        <w:t xml:space="preserve">ariability </w:t>
      </w:r>
      <w:r>
        <w:t>in disease features can exist between individual</w:t>
      </w:r>
      <w:r w:rsidRPr="007D1689">
        <w:t xml:space="preserve">s with identical genetic variants, suggesting that </w:t>
      </w:r>
      <w:r>
        <w:t xml:space="preserve">unknown </w:t>
      </w:r>
      <w:r w:rsidRPr="007D1689">
        <w:t>secondary factors influence the clinical course</w:t>
      </w:r>
      <w:r>
        <w:t xml:space="preserve"> of disease. ESC noted that symptoms in individuals with LOGSD II often vary and may include </w:t>
      </w:r>
      <w:r w:rsidRPr="43014A3E">
        <w:rPr>
          <w:lang w:val="en-US"/>
        </w:rPr>
        <w:t>muscle weakness, respiratory problems, difficulty exercising, and difficulty chewing or swallowing.</w:t>
      </w:r>
      <w:r>
        <w:t xml:space="preserve"> LOGSD II diagnosis can be difficult, as it can resemble many other types of neuromuscular conditions, requiring</w:t>
      </w:r>
      <w:r w:rsidDel="00903018">
        <w:t xml:space="preserve"> </w:t>
      </w:r>
      <w:r>
        <w:t xml:space="preserve">a high level of clinical awareness for a timely diagnosis. By the time LOGSD II cases are clinically detected, muscle damage is typically already present. </w:t>
      </w:r>
    </w:p>
    <w:p w14:paraId="48AF7789" w14:textId="77777777" w:rsidR="00ED5CB7" w:rsidRPr="009F48CF" w:rsidRDefault="00ED5CB7" w:rsidP="00ED5CB7">
      <w:pPr>
        <w:pStyle w:val="BodyText"/>
      </w:pPr>
      <w:r>
        <w:t>ESC noted the e</w:t>
      </w:r>
      <w:r w:rsidRPr="009F48CF">
        <w:t xml:space="preserve">stimated prevalence of </w:t>
      </w:r>
      <w:r>
        <w:t>GSD II</w:t>
      </w:r>
      <w:r w:rsidRPr="009F48CF">
        <w:t xml:space="preserve"> in Australia</w:t>
      </w:r>
      <w:r>
        <w:t xml:space="preserve"> of</w:t>
      </w:r>
      <w:r w:rsidRPr="009F48CF">
        <w:t xml:space="preserve"> 1 per 46,000 live births (based on diagnostic testing after presentation with symptoms, or family history between 2009 and 2024</w:t>
      </w:r>
      <w:r>
        <w:t>, Chin et al 2021</w:t>
      </w:r>
      <w:r w:rsidRPr="009F48CF">
        <w:t>)</w:t>
      </w:r>
      <w:r>
        <w:t>. ESC also noted that the prevalence v</w:t>
      </w:r>
      <w:r w:rsidRPr="009F48CF">
        <w:t>aries by ancestry</w:t>
      </w:r>
      <w:r>
        <w:t xml:space="preserve">, as the </w:t>
      </w:r>
      <w:r w:rsidRPr="009F48CF">
        <w:t xml:space="preserve">recent global estimated </w:t>
      </w:r>
      <w:r>
        <w:t>prevalence</w:t>
      </w:r>
      <w:r w:rsidRPr="009F48CF">
        <w:t xml:space="preserve"> </w:t>
      </w:r>
      <w:r>
        <w:t>i</w:t>
      </w:r>
      <w:r w:rsidRPr="009F48CF">
        <w:t>s 1</w:t>
      </w:r>
      <w:r>
        <w:t xml:space="preserve"> per </w:t>
      </w:r>
      <w:r w:rsidRPr="009F48CF">
        <w:t>23,000</w:t>
      </w:r>
      <w:r>
        <w:t>.</w:t>
      </w:r>
    </w:p>
    <w:p w14:paraId="0E89908C" w14:textId="77777777" w:rsidR="00ED5CB7" w:rsidRDefault="00ED5CB7" w:rsidP="00ED5CB7">
      <w:pPr>
        <w:pStyle w:val="BodyText"/>
      </w:pPr>
      <w:r w:rsidRPr="02E2EE7D">
        <w:t xml:space="preserve">ESC noted </w:t>
      </w:r>
      <w:r>
        <w:t xml:space="preserve">estimates </w:t>
      </w:r>
      <w:r w:rsidRPr="02E2EE7D">
        <w:t>that the NBS program</w:t>
      </w:r>
      <w:r>
        <w:t>s</w:t>
      </w:r>
      <w:r w:rsidRPr="02E2EE7D">
        <w:t xml:space="preserve"> would diagnose </w:t>
      </w:r>
      <w:r>
        <w:t xml:space="preserve">at least 10.6 </w:t>
      </w:r>
      <w:r w:rsidRPr="02E2EE7D">
        <w:t xml:space="preserve">babies with GSD II per year. Of these, </w:t>
      </w:r>
      <w:r>
        <w:t xml:space="preserve">one baby is </w:t>
      </w:r>
      <w:r w:rsidRPr="02E2EE7D">
        <w:t xml:space="preserve">predicted to have IOGSD II. NBS for GSD II is expected to mostly identify LOGSD II, in which most </w:t>
      </w:r>
      <w:r>
        <w:t>individual</w:t>
      </w:r>
      <w:r w:rsidRPr="02E2EE7D">
        <w:t xml:space="preserve">s have symptom onset in late childhood or adulthood (although some patients present with severe symptoms in early childhood). The proportion of LOGSD II to IOGSD II cases is predicted to increase if </w:t>
      </w:r>
      <w:r>
        <w:t xml:space="preserve">GSD II screening </w:t>
      </w:r>
      <w:r w:rsidRPr="02E2EE7D">
        <w:t xml:space="preserve">is added to the NBS, as additional non-symptomatic or very mild cases </w:t>
      </w:r>
      <w:r>
        <w:t xml:space="preserve">who would otherwise not present clinically </w:t>
      </w:r>
      <w:r w:rsidRPr="02E2EE7D">
        <w:t xml:space="preserve">will be identified. In addition to IOGSD II and LOGSD II, ESC noted that screening is predicted to detect a similar number of </w:t>
      </w:r>
      <w:r>
        <w:t xml:space="preserve">individuals with </w:t>
      </w:r>
      <w:proofErr w:type="spellStart"/>
      <w:r w:rsidRPr="02E2EE7D">
        <w:t>pseudodeficiency</w:t>
      </w:r>
      <w:proofErr w:type="spellEnd"/>
      <w:r w:rsidRPr="02E2EE7D">
        <w:t xml:space="preserve"> per year. These may be considered as false positive (FP) if reported, but a second-tier genetic panel </w:t>
      </w:r>
      <w:r>
        <w:t>screening could</w:t>
      </w:r>
      <w:r w:rsidRPr="02E2EE7D">
        <w:t xml:space="preserve"> identify some common </w:t>
      </w:r>
      <w:proofErr w:type="spellStart"/>
      <w:r w:rsidRPr="02E2EE7D">
        <w:t>pseudodeficiency</w:t>
      </w:r>
      <w:proofErr w:type="spellEnd"/>
      <w:r w:rsidRPr="02E2EE7D">
        <w:t xml:space="preserve"> alleles and therefore rule out some FP cases. ESC recommended that clinical expert advice be sought as to how </w:t>
      </w:r>
      <w:proofErr w:type="spellStart"/>
      <w:r w:rsidRPr="02E2EE7D">
        <w:t>pseudodeficiency</w:t>
      </w:r>
      <w:proofErr w:type="spellEnd"/>
      <w:r w:rsidRPr="02E2EE7D">
        <w:t xml:space="preserve"> and FP cases </w:t>
      </w:r>
      <w:r>
        <w:t xml:space="preserve">would be </w:t>
      </w:r>
      <w:r w:rsidRPr="02E2EE7D">
        <w:t>managed clinically</w:t>
      </w:r>
      <w:r>
        <w:t>,</w:t>
      </w:r>
      <w:r w:rsidRPr="02E2EE7D">
        <w:t xml:space="preserve"> </w:t>
      </w:r>
      <w:r w:rsidRPr="0F4ACA85">
        <w:t xml:space="preserve">and </w:t>
      </w:r>
      <w:proofErr w:type="gramStart"/>
      <w:r w:rsidRPr="0F4ACA85">
        <w:t xml:space="preserve">in particular </w:t>
      </w:r>
      <w:r>
        <w:t>the</w:t>
      </w:r>
      <w:proofErr w:type="gramEnd"/>
      <w:r>
        <w:t xml:space="preserve"> proportion of cases where </w:t>
      </w:r>
      <w:r w:rsidRPr="0F4ACA85">
        <w:t xml:space="preserve">disease </w:t>
      </w:r>
      <w:proofErr w:type="gramStart"/>
      <w:r w:rsidRPr="0F4ACA85">
        <w:t xml:space="preserve">is </w:t>
      </w:r>
      <w:r>
        <w:t>considered to be</w:t>
      </w:r>
      <w:proofErr w:type="gramEnd"/>
      <w:r>
        <w:t xml:space="preserve"> </w:t>
      </w:r>
      <w:r w:rsidRPr="0F4ACA85">
        <w:t xml:space="preserve">ruled out </w:t>
      </w:r>
      <w:r>
        <w:t>and who could avoid long term clinical</w:t>
      </w:r>
      <w:r w:rsidRPr="0F4ACA85">
        <w:t xml:space="preserve"> surveillance.</w:t>
      </w:r>
    </w:p>
    <w:p w14:paraId="4E7B132A" w14:textId="77777777" w:rsidR="00ED5CB7" w:rsidRDefault="00ED5CB7" w:rsidP="00ED5CB7">
      <w:pPr>
        <w:pStyle w:val="BodyText"/>
      </w:pPr>
      <w:r w:rsidRPr="0F4ACA85">
        <w:t xml:space="preserve">ESC noted that a small number of cases may be diagnosed prenatally (2/81 </w:t>
      </w:r>
      <w:r>
        <w:t xml:space="preserve">were </w:t>
      </w:r>
      <w:r w:rsidRPr="0F4ACA85">
        <w:t>diagnosed between 2009 and 2020 in Australia</w:t>
      </w:r>
      <w:r>
        <w:t xml:space="preserve">, </w:t>
      </w:r>
      <w:r>
        <w:fldChar w:fldCharType="begin"/>
      </w:r>
      <w:r>
        <w:instrText xml:space="preserve"> ADDIN EN.CITE &lt;EndNote&gt;&lt;Cite&gt;&lt;Author&gt;Chin&lt;/Author&gt;&lt;Year&gt;2022&lt;/Year&gt;&lt;RecNum&gt;14&lt;/RecNum&gt;&lt;DisplayText&gt;(Chin &amp;amp; Fuller 2022)&lt;/DisplayText&gt;&lt;record&gt;&lt;rec-number&gt;14&lt;/rec-number&gt;&lt;foreign-keys&gt;&lt;key app="EN" db-id="2x2zxatf22afpcea0ecx2wv1zvdas0x52t0e" timestamp="1725245231"&gt;14&lt;/key&gt;&lt;/foreign-keys&gt;&lt;ref-type name="Journal Article"&gt;17&lt;/ref-type&gt;&lt;contributors&gt;&lt;authors&gt;&lt;author&gt;Chin, S.&lt;/author&gt;&lt;author&gt;Fuller, M.&lt;/author&gt;&lt;/authors&gt;&lt;/contributors&gt;&lt;auth-address&gt;Genetics and Molecular Pathology, SA Pathology at Women&amp;apos;s and Children&amp;apos;s Hospital.&amp;#xD;Adelaide Medical School, University of Adelaide, Adelaide, South Australia, 5005.&lt;/auth-address&gt;&lt;titles&gt;&lt;title&gt;Prevalence of lysosomal storage disorders in Australia from 2009 to 2020&lt;/title&gt;&lt;secondary-title&gt;Lancet Reg Health West Pac&lt;/secondary-title&gt;&lt;/titles&gt;&lt;periodical&gt;&lt;full-title&gt;Lancet Reg Health West Pac&lt;/full-title&gt;&lt;/periodical&gt;&lt;pages&gt;100344&lt;/pages&gt;&lt;volume&gt;19&lt;/volume&gt;&lt;edition&gt;20211212&lt;/edition&gt;&lt;dates&gt;&lt;year&gt;2022&lt;/year&gt;&lt;pub-dates&gt;&lt;date&gt;Feb&lt;/date&gt;&lt;/pub-dates&gt;&lt;/dates&gt;&lt;isbn&gt;2666-6065&lt;/isbn&gt;&lt;accession-num&gt;35024668&lt;/accession-num&gt;&lt;urls&gt;&lt;related-urls&gt;&lt;url&gt;https://www.ncbi.nlm.nih.gov/pmc/articles/PMC8671750/pdf/main.pdf&lt;/url&gt;&lt;/related-urls&gt;&lt;/urls&gt;&lt;custom1&gt;We declare that we have no conflicts of interest.&lt;/custom1&gt;&lt;custom2&gt;PMC8671750&lt;/custom2&gt;&lt;electronic-resource-num&gt;10.1016/j.lanwpc.2021.100344&lt;/electronic-resource-num&gt;&lt;remote-database-provider&gt;NLM&lt;/remote-database-provider&gt;&lt;language&gt;eng&lt;/language&gt;&lt;/record&gt;&lt;/Cite&gt;&lt;/EndNote&gt;</w:instrText>
      </w:r>
      <w:r>
        <w:fldChar w:fldCharType="separate"/>
      </w:r>
      <w:r>
        <w:rPr>
          <w:noProof/>
        </w:rPr>
        <w:t>[Chin &amp; Fuller 202</w:t>
      </w:r>
      <w:r>
        <w:fldChar w:fldCharType="end"/>
      </w:r>
      <w:r>
        <w:t>2]</w:t>
      </w:r>
      <w:r w:rsidRPr="0F4ACA85">
        <w:t>), and the introduction of NBS for GSD II is not expected to alter the management or outcomes in this group.</w:t>
      </w:r>
      <w:r>
        <w:t xml:space="preserve"> </w:t>
      </w:r>
      <w:r w:rsidRPr="0F4ACA85">
        <w:t>However, the</w:t>
      </w:r>
      <w:r>
        <w:t>se newborns</w:t>
      </w:r>
      <w:r w:rsidRPr="0F4ACA85">
        <w:t xml:space="preserve"> are still considered part of the target population, as any babies born with prior diagnoses would still undergo NBS </w:t>
      </w:r>
      <w:r>
        <w:t xml:space="preserve">(to screen for any other co-existing conditions that may be identified through the NBS) </w:t>
      </w:r>
      <w:r w:rsidRPr="0F4ACA85">
        <w:t xml:space="preserve">and </w:t>
      </w:r>
      <w:r>
        <w:t xml:space="preserve">thus </w:t>
      </w:r>
      <w:r w:rsidRPr="0F4ACA85">
        <w:t>incur the costs of screening.</w:t>
      </w:r>
    </w:p>
    <w:p w14:paraId="629B16F6" w14:textId="77777777" w:rsidR="00ED5CB7" w:rsidRDefault="00ED5CB7" w:rsidP="00ED5CB7">
      <w:pPr>
        <w:pStyle w:val="BodyText"/>
      </w:pPr>
      <w:r w:rsidRPr="02E2EE7D">
        <w:t xml:space="preserve">ESC noted the </w:t>
      </w:r>
      <w:r>
        <w:t xml:space="preserve">current and </w:t>
      </w:r>
      <w:r w:rsidRPr="02E2EE7D">
        <w:t>proposed clinical management algorithm</w:t>
      </w:r>
      <w:r>
        <w:t xml:space="preserve">s. ESC noted that the proposed population is all newborns (PICO set 1) participating in NBS programs in Australia and the comparator for PICO set 1 is standard of care (defined as no NBS for GSD II).  The proposed screening strategy for PICO set 1 is a </w:t>
      </w:r>
      <w:r w:rsidRPr="02E2EE7D">
        <w:t>2-tier screening strategy</w:t>
      </w:r>
      <w:r>
        <w:t xml:space="preserve"> with both tests performed on the dried bloodspot (DBS)</w:t>
      </w:r>
      <w:r w:rsidRPr="02E2EE7D">
        <w:t>. The first test is a screen of GAA enzyme activity using mass spectrometer (MS)/MS or fluorometric assay. Positive cases w</w:t>
      </w:r>
      <w:r>
        <w:t>ould</w:t>
      </w:r>
      <w:r w:rsidRPr="02E2EE7D">
        <w:t xml:space="preserve"> then undergo targeted sequencing of common </w:t>
      </w:r>
      <w:r w:rsidRPr="002644BC">
        <w:rPr>
          <w:i/>
        </w:rPr>
        <w:t>GAA</w:t>
      </w:r>
      <w:r>
        <w:t xml:space="preserve"> gene </w:t>
      </w:r>
      <w:r w:rsidRPr="02E2EE7D">
        <w:t>variants</w:t>
      </w:r>
      <w:r>
        <w:t xml:space="preserve"> to</w:t>
      </w:r>
      <w:r w:rsidRPr="02E2EE7D">
        <w:t xml:space="preserve"> rule out cases with </w:t>
      </w:r>
      <w:r>
        <w:t xml:space="preserve">known </w:t>
      </w:r>
      <w:r w:rsidRPr="02E2EE7D">
        <w:t xml:space="preserve">exclusively </w:t>
      </w:r>
      <w:proofErr w:type="spellStart"/>
      <w:r w:rsidRPr="02E2EE7D">
        <w:t>pseudodeficiency</w:t>
      </w:r>
      <w:proofErr w:type="spellEnd"/>
      <w:r w:rsidRPr="02E2EE7D">
        <w:t xml:space="preserve"> variants. </w:t>
      </w:r>
    </w:p>
    <w:p w14:paraId="72CCBA00" w14:textId="77777777" w:rsidR="00ED5CB7" w:rsidRDefault="00ED5CB7" w:rsidP="00ED5CB7">
      <w:pPr>
        <w:pStyle w:val="BodyText"/>
      </w:pPr>
      <w:r>
        <w:t xml:space="preserve">ESC noted that one of the key health technology </w:t>
      </w:r>
      <w:proofErr w:type="gramStart"/>
      <w:r>
        <w:t>assessment</w:t>
      </w:r>
      <w:proofErr w:type="gramEnd"/>
      <w:r>
        <w:t xml:space="preserve"> (HTA) questions encompassing NBS assessments is </w:t>
      </w:r>
      <w:r w:rsidRPr="00220CD0">
        <w:t xml:space="preserve">whether </w:t>
      </w:r>
      <w:r w:rsidRPr="00220CD0">
        <w:rPr>
          <w:lang w:val="en-US"/>
        </w:rPr>
        <w:t>there is a suitable screening test (or tests) to accurately identify all newborns at risk for the proposed condition (with acceptable clinical sensitivity and specificity according to consensus thresholds for what is considered positive).</w:t>
      </w:r>
      <w:r>
        <w:rPr>
          <w:lang w:val="en-US"/>
        </w:rPr>
        <w:t xml:space="preserve"> ESC noted there was a paucity of data for screening</w:t>
      </w:r>
      <w:r w:rsidRPr="6F0B4972">
        <w:rPr>
          <w:lang w:val="en-US"/>
        </w:rPr>
        <w:t xml:space="preserve"> of GSD II.</w:t>
      </w:r>
      <w:r>
        <w:rPr>
          <w:lang w:val="en-US"/>
        </w:rPr>
        <w:t xml:space="preserve"> </w:t>
      </w:r>
      <w:r>
        <w:t>ESC further noted that p</w:t>
      </w:r>
      <w:r w:rsidRPr="02E2EE7D">
        <w:t xml:space="preserve">rotocols that use an MS/MS assay as a </w:t>
      </w:r>
      <w:proofErr w:type="gramStart"/>
      <w:r w:rsidRPr="02E2EE7D">
        <w:t>first-tier</w:t>
      </w:r>
      <w:proofErr w:type="gramEnd"/>
      <w:r w:rsidRPr="02E2EE7D">
        <w:t xml:space="preserve"> (or single-tier) screen tended to have a lower screen positive rate and higher positive predictive value (PPV) than those using fluorometry. Positive rates decrease with each tier of screening or retesting added to the protocol. </w:t>
      </w:r>
      <w:r>
        <w:t>H</w:t>
      </w:r>
      <w:r w:rsidRPr="02E2EE7D">
        <w:t xml:space="preserve">owever, </w:t>
      </w:r>
      <w:r>
        <w:t xml:space="preserve">ESC noted that the </w:t>
      </w:r>
      <w:r w:rsidRPr="02E2EE7D">
        <w:t xml:space="preserve">cost and practicality of screening large sample numbers must also be considered when adding screening tiers and other changes to protocols. </w:t>
      </w:r>
      <w:r>
        <w:t>ESC noted that the summary statistics reported in studies of diagnostic accuracy were unreliable. For instance, ESC noted that the range of PPV for first -tier screen positive and retest positive results was 3.5%-50% and 15%-80% respectively.</w:t>
      </w:r>
    </w:p>
    <w:p w14:paraId="33087BA6" w14:textId="77777777" w:rsidR="00ED5CB7" w:rsidRDefault="00ED5CB7" w:rsidP="00ED5CB7">
      <w:pPr>
        <w:pStyle w:val="BodyText"/>
      </w:pPr>
      <w:r w:rsidRPr="02E2EE7D">
        <w:t>ESC also noted that many international NBS programs have developed their own screening methods (such as stratified cut-offs for GAA activity, synthetic substrates</w:t>
      </w:r>
      <w:r>
        <w:t>,</w:t>
      </w:r>
      <w:r w:rsidRPr="02E2EE7D">
        <w:t xml:space="preserve"> and neutral GAA activity ratios) for reducing FP rates and improving the PPV</w:t>
      </w:r>
      <w:r w:rsidRPr="0F4ACA85">
        <w:t>,</w:t>
      </w:r>
      <w:r w:rsidRPr="02E2EE7D">
        <w:t xml:space="preserve"> and this is an acknowledged challenge for GSD II screening. There is no clear </w:t>
      </w:r>
      <w:proofErr w:type="gramStart"/>
      <w:r w:rsidRPr="02E2EE7D">
        <w:t>first-tier</w:t>
      </w:r>
      <w:proofErr w:type="gramEnd"/>
      <w:r w:rsidRPr="02E2EE7D">
        <w:t xml:space="preserve"> and/or second-tier methodology that can reduce FPs and increase the PPV, due to the large number of </w:t>
      </w:r>
      <w:proofErr w:type="spellStart"/>
      <w:r w:rsidRPr="02E2EE7D">
        <w:t>pseudodeficiency</w:t>
      </w:r>
      <w:proofErr w:type="spellEnd"/>
      <w:r w:rsidRPr="02E2EE7D">
        <w:t xml:space="preserve"> variants</w:t>
      </w:r>
      <w:r>
        <w:t>, variants of uncertain significance</w:t>
      </w:r>
      <w:r w:rsidRPr="02E2EE7D">
        <w:t xml:space="preserve"> </w:t>
      </w:r>
      <w:r>
        <w:t xml:space="preserve">(VUS), </w:t>
      </w:r>
      <w:r w:rsidRPr="02E2EE7D">
        <w:t>and variability in variant expression</w:t>
      </w:r>
      <w:r>
        <w:t xml:space="preserve"> in</w:t>
      </w:r>
      <w:r w:rsidRPr="00F330FB">
        <w:t xml:space="preserve"> </w:t>
      </w:r>
      <w:r w:rsidRPr="02E2EE7D">
        <w:t xml:space="preserve">LOGSD II. </w:t>
      </w:r>
    </w:p>
    <w:p w14:paraId="677C6DA3" w14:textId="77777777" w:rsidR="00ED5CB7" w:rsidRDefault="00ED5CB7" w:rsidP="00ED5CB7">
      <w:pPr>
        <w:pStyle w:val="BodyText"/>
      </w:pPr>
      <w:r w:rsidRPr="02E2EE7D">
        <w:t xml:space="preserve">ESC agreed with the pre-ESC response that </w:t>
      </w:r>
      <w:r>
        <w:t xml:space="preserve">there is a need for a clinical outcomes registry coupled with a variant database to </w:t>
      </w:r>
      <w:r w:rsidRPr="02E2EE7D">
        <w:t xml:space="preserve">improve the </w:t>
      </w:r>
      <w:r>
        <w:t xml:space="preserve">longitudinal assessment of the </w:t>
      </w:r>
      <w:r w:rsidRPr="02E2EE7D">
        <w:t>genotype–phenotype relationship</w:t>
      </w:r>
      <w:r>
        <w:t xml:space="preserve"> for individuals with VUS</w:t>
      </w:r>
      <w:r w:rsidRPr="02E2EE7D">
        <w:t>.</w:t>
      </w:r>
      <w:r>
        <w:t xml:space="preserve"> ESC noted that following positive screening results, infants would be recalled </w:t>
      </w:r>
      <w:proofErr w:type="gramStart"/>
      <w:r>
        <w:t>to undergo</w:t>
      </w:r>
      <w:proofErr w:type="gramEnd"/>
      <w:r>
        <w:t xml:space="preserve"> diagnostic testing (testing protocol as per the comparator).</w:t>
      </w:r>
    </w:p>
    <w:p w14:paraId="2B86FA5B" w14:textId="77777777" w:rsidR="00ED5CB7" w:rsidRDefault="00ED5CB7" w:rsidP="00ED5CB7">
      <w:pPr>
        <w:pStyle w:val="BodyText"/>
      </w:pPr>
      <w:r w:rsidRPr="02E2EE7D">
        <w:t xml:space="preserve">Regarding the </w:t>
      </w:r>
      <w:r>
        <w:t xml:space="preserve">diagnostic </w:t>
      </w:r>
      <w:r w:rsidRPr="02E2EE7D">
        <w:t>testing, ESC queried:</w:t>
      </w:r>
    </w:p>
    <w:p w14:paraId="743F3D5D" w14:textId="77777777" w:rsidR="00ED5CB7" w:rsidRDefault="00ED5CB7" w:rsidP="00ED5CB7">
      <w:pPr>
        <w:pStyle w:val="ListBullet"/>
      </w:pPr>
      <w:r>
        <w:t xml:space="preserve">whether </w:t>
      </w:r>
      <w:r w:rsidRPr="00F2401A">
        <w:t xml:space="preserve">a molecular diagnosis </w:t>
      </w:r>
      <w:r>
        <w:t xml:space="preserve">would be </w:t>
      </w:r>
      <w:r w:rsidRPr="00F2401A">
        <w:t>made for a</w:t>
      </w:r>
      <w:r>
        <w:t>n infant</w:t>
      </w:r>
      <w:r w:rsidRPr="00F2401A">
        <w:t xml:space="preserve"> without symptoms/signs if they have 2 </w:t>
      </w:r>
      <w:r w:rsidRPr="002644BC">
        <w:rPr>
          <w:i/>
        </w:rPr>
        <w:t>GAA</w:t>
      </w:r>
      <w:r w:rsidRPr="00F2401A">
        <w:t xml:space="preserve"> VUS</w:t>
      </w:r>
    </w:p>
    <w:p w14:paraId="3921FD7D" w14:textId="77777777" w:rsidR="00ED5CB7" w:rsidRDefault="00ED5CB7" w:rsidP="00ED5CB7">
      <w:pPr>
        <w:pStyle w:val="ListBullet"/>
      </w:pPr>
      <w:r w:rsidRPr="02E2EE7D">
        <w:t xml:space="preserve">what the threshold is for calling a variant likely pathogenic </w:t>
      </w:r>
      <w:r>
        <w:t xml:space="preserve">in the screening case </w:t>
      </w:r>
      <w:r w:rsidRPr="02E2EE7D">
        <w:t>compared to the clinical presentation case</w:t>
      </w:r>
    </w:p>
    <w:p w14:paraId="6806830B" w14:textId="77777777" w:rsidR="00ED5CB7" w:rsidRDefault="00ED5CB7" w:rsidP="00ED5CB7">
      <w:pPr>
        <w:pStyle w:val="ListBullet"/>
      </w:pPr>
      <w:r w:rsidRPr="02E2EE7D">
        <w:t xml:space="preserve">whether there is expert consensus about the </w:t>
      </w:r>
      <w:r>
        <w:t>ability to differentiate</w:t>
      </w:r>
      <w:r w:rsidRPr="02E2EE7D">
        <w:t xml:space="preserve"> between </w:t>
      </w:r>
      <w:proofErr w:type="spellStart"/>
      <w:r w:rsidRPr="02E2EE7D">
        <w:t>pseudodeficiency</w:t>
      </w:r>
      <w:proofErr w:type="spellEnd"/>
      <w:r>
        <w:t xml:space="preserve"> and individuals at-risk for</w:t>
      </w:r>
      <w:r w:rsidRPr="02E2EE7D">
        <w:t xml:space="preserve"> LOGSD II, noting the lower pre-test probability </w:t>
      </w:r>
      <w:r>
        <w:t xml:space="preserve">in a screening case </w:t>
      </w:r>
      <w:r w:rsidRPr="02E2EE7D">
        <w:t xml:space="preserve">than with </w:t>
      </w:r>
      <w:r>
        <w:t xml:space="preserve">a </w:t>
      </w:r>
      <w:r w:rsidRPr="02E2EE7D">
        <w:t>clinical presentation</w:t>
      </w:r>
      <w:r>
        <w:t xml:space="preserve"> case</w:t>
      </w:r>
    </w:p>
    <w:p w14:paraId="5CDE26A5" w14:textId="77777777" w:rsidR="00ED5CB7" w:rsidRDefault="00ED5CB7" w:rsidP="00ED5CB7">
      <w:pPr>
        <w:pStyle w:val="ListBullet"/>
      </w:pPr>
      <w:r>
        <w:t>what work has been done to develop a clinical outcomes registry, as previously recommended by MSAC for addition of other conditions to the NBS.</w:t>
      </w:r>
    </w:p>
    <w:p w14:paraId="517D6620" w14:textId="77777777" w:rsidR="00ED5CB7" w:rsidRDefault="00ED5CB7" w:rsidP="00ED5CB7">
      <w:pPr>
        <w:pStyle w:val="BodyText"/>
      </w:pPr>
      <w:r w:rsidRPr="00F330FB">
        <w:rPr>
          <w:rStyle w:val="Strong"/>
          <w:b w:val="0"/>
        </w:rPr>
        <w:t>In addition, ESC queried h</w:t>
      </w:r>
      <w:r w:rsidRPr="02E2EE7D">
        <w:t xml:space="preserve">ow </w:t>
      </w:r>
      <w:r>
        <w:t xml:space="preserve">accurately future disease </w:t>
      </w:r>
      <w:r w:rsidRPr="02E2EE7D">
        <w:t xml:space="preserve">status </w:t>
      </w:r>
      <w:r>
        <w:t>can be predicted</w:t>
      </w:r>
      <w:r w:rsidRPr="02E2EE7D">
        <w:t xml:space="preserve"> for newborns without symptoms and signs. ESC also noted that index and comparator tests are incorporated in the reference standard, which may overestimate accuracy.</w:t>
      </w:r>
      <w:r>
        <w:t xml:space="preserve"> </w:t>
      </w:r>
    </w:p>
    <w:p w14:paraId="52C3BFD4" w14:textId="77777777" w:rsidR="00ED5CB7" w:rsidRDefault="00ED5CB7" w:rsidP="00ED5CB7">
      <w:pPr>
        <w:pStyle w:val="BodyText"/>
      </w:pPr>
      <w:r>
        <w:t xml:space="preserve">ESC noted that for equity of access to these services, </w:t>
      </w:r>
      <w:proofErr w:type="gramStart"/>
      <w:r>
        <w:t>all of</w:t>
      </w:r>
      <w:proofErr w:type="gramEnd"/>
      <w:r>
        <w:t xml:space="preserve"> the screening and diagnostic tests/assessments for GSD II need to be publicly funded. </w:t>
      </w:r>
    </w:p>
    <w:p w14:paraId="3AA2F890" w14:textId="2C0D986E" w:rsidR="00ED5CB7" w:rsidRDefault="00ED5CB7" w:rsidP="00ED5CB7">
      <w:pPr>
        <w:pStyle w:val="BodyText"/>
        <w:rPr>
          <w:rFonts w:eastAsia="Franklin Gothic Book" w:cs="Franklin Gothic Book"/>
          <w:szCs w:val="22"/>
        </w:rPr>
      </w:pPr>
      <w:r w:rsidRPr="00220CD0">
        <w:t xml:space="preserve">Regarding whether </w:t>
      </w:r>
      <w:r w:rsidRPr="00220CD0">
        <w:rPr>
          <w:lang w:val="en-US"/>
        </w:rPr>
        <w:t>disease subtype and prognosis can be determined from the screening and confirmatory tests to determine the need for earlier treatment (with consideration of expressivity and penetrance),</w:t>
      </w:r>
      <w:r>
        <w:rPr>
          <w:lang w:val="en-US"/>
        </w:rPr>
        <w:t xml:space="preserve"> </w:t>
      </w:r>
      <w:r w:rsidRPr="02E2EE7D">
        <w:t>ESC</w:t>
      </w:r>
      <w:r w:rsidRPr="02E2EE7D" w:rsidDel="002D3D41">
        <w:t xml:space="preserve"> </w:t>
      </w:r>
      <w:r>
        <w:t>advised</w:t>
      </w:r>
      <w:r w:rsidRPr="02E2EE7D">
        <w:t xml:space="preserve"> that the 2-tier screening approach </w:t>
      </w:r>
      <w:r>
        <w:t>cannot</w:t>
      </w:r>
      <w:r w:rsidRPr="02E2EE7D">
        <w:t xml:space="preserve"> </w:t>
      </w:r>
      <w:r>
        <w:t xml:space="preserve">completely </w:t>
      </w:r>
      <w:r w:rsidRPr="02E2EE7D">
        <w:t xml:space="preserve">differentiate those with IOGSD II from those at risk of LOGSD II. </w:t>
      </w:r>
      <w:r>
        <w:t>For</w:t>
      </w:r>
      <w:r w:rsidRPr="02E2EE7D">
        <w:t xml:space="preserve"> those at</w:t>
      </w:r>
      <w:r>
        <w:t>-</w:t>
      </w:r>
      <w:r w:rsidRPr="02E2EE7D">
        <w:t>risk of LOGSD II, screening cannot predict if an individual will become symptomatic or remain asymptomatic</w:t>
      </w:r>
      <w:r>
        <w:t>,</w:t>
      </w:r>
      <w:r w:rsidRPr="02E2EE7D">
        <w:t xml:space="preserve"> because of the lack of information about some variants and the highly variable phenotypic expression of some variants and genotypes.</w:t>
      </w:r>
      <w:r w:rsidR="007C1171">
        <w:t xml:space="preserve"> </w:t>
      </w:r>
      <w:r>
        <w:t>However, clinical assessment of children during</w:t>
      </w:r>
      <w:r w:rsidRPr="3DF41441">
        <w:rPr>
          <w:rFonts w:eastAsia="Franklin Gothic Book" w:cs="Franklin Gothic Book"/>
          <w:szCs w:val="22"/>
        </w:rPr>
        <w:t xml:space="preserve"> recall for diagnostic testing can </w:t>
      </w:r>
      <w:r>
        <w:rPr>
          <w:rFonts w:eastAsia="Franklin Gothic Book" w:cs="Franklin Gothic Book"/>
          <w:szCs w:val="22"/>
        </w:rPr>
        <w:t>differentiate</w:t>
      </w:r>
      <w:r w:rsidRPr="3DF41441">
        <w:rPr>
          <w:rFonts w:eastAsia="Franklin Gothic Book" w:cs="Franklin Gothic Book"/>
          <w:szCs w:val="22"/>
        </w:rPr>
        <w:t xml:space="preserve"> </w:t>
      </w:r>
      <w:r w:rsidRPr="4413B0A9">
        <w:rPr>
          <w:rFonts w:eastAsia="Franklin Gothic Book" w:cs="Franklin Gothic Book"/>
          <w:szCs w:val="22"/>
        </w:rPr>
        <w:t>IOGSD</w:t>
      </w:r>
      <w:r>
        <w:rPr>
          <w:rFonts w:eastAsia="Franklin Gothic Book" w:cs="Franklin Gothic Book"/>
          <w:szCs w:val="22"/>
        </w:rPr>
        <w:t> </w:t>
      </w:r>
      <w:r w:rsidRPr="4413B0A9">
        <w:rPr>
          <w:rFonts w:eastAsia="Franklin Gothic Book" w:cs="Franklin Gothic Book"/>
          <w:szCs w:val="22"/>
        </w:rPr>
        <w:t xml:space="preserve">II </w:t>
      </w:r>
      <w:r>
        <w:rPr>
          <w:rFonts w:eastAsia="Franklin Gothic Book" w:cs="Franklin Gothic Book"/>
          <w:szCs w:val="22"/>
        </w:rPr>
        <w:t>from</w:t>
      </w:r>
      <w:r w:rsidRPr="4413B0A9">
        <w:rPr>
          <w:rFonts w:eastAsia="Franklin Gothic Book" w:cs="Franklin Gothic Book"/>
          <w:szCs w:val="22"/>
        </w:rPr>
        <w:t xml:space="preserve"> LOGSD</w:t>
      </w:r>
      <w:r>
        <w:rPr>
          <w:rFonts w:eastAsia="Franklin Gothic Book" w:cs="Franklin Gothic Book"/>
          <w:szCs w:val="22"/>
        </w:rPr>
        <w:t> </w:t>
      </w:r>
      <w:r w:rsidRPr="4413B0A9">
        <w:rPr>
          <w:rFonts w:eastAsia="Franklin Gothic Book" w:cs="Franklin Gothic Book"/>
          <w:szCs w:val="22"/>
        </w:rPr>
        <w:t>II based on clinical signs and symptoms</w:t>
      </w:r>
      <w:r>
        <w:rPr>
          <w:rFonts w:eastAsia="Franklin Gothic Book" w:cs="Franklin Gothic Book"/>
          <w:szCs w:val="22"/>
        </w:rPr>
        <w:t>,</w:t>
      </w:r>
      <w:r w:rsidRPr="4413B0A9">
        <w:rPr>
          <w:rFonts w:eastAsia="Franklin Gothic Book" w:cs="Franklin Gothic Book"/>
          <w:szCs w:val="22"/>
        </w:rPr>
        <w:t xml:space="preserve"> </w:t>
      </w:r>
      <w:r w:rsidRPr="17169EAB">
        <w:rPr>
          <w:rFonts w:eastAsia="Franklin Gothic Book" w:cs="Franklin Gothic Book"/>
          <w:szCs w:val="22"/>
        </w:rPr>
        <w:t>including</w:t>
      </w:r>
      <w:r w:rsidRPr="4413B0A9">
        <w:rPr>
          <w:rFonts w:eastAsia="Franklin Gothic Book" w:cs="Franklin Gothic Book"/>
          <w:szCs w:val="22"/>
        </w:rPr>
        <w:t xml:space="preserve"> </w:t>
      </w:r>
      <w:r>
        <w:rPr>
          <w:rFonts w:eastAsia="Franklin Gothic Book" w:cs="Franklin Gothic Book"/>
          <w:szCs w:val="22"/>
        </w:rPr>
        <w:t xml:space="preserve">the </w:t>
      </w:r>
      <w:r w:rsidRPr="4413B0A9">
        <w:rPr>
          <w:rFonts w:eastAsia="Franklin Gothic Book" w:cs="Franklin Gothic Book"/>
          <w:szCs w:val="22"/>
        </w:rPr>
        <w:t xml:space="preserve">presence </w:t>
      </w:r>
      <w:r w:rsidRPr="17169EAB">
        <w:rPr>
          <w:rFonts w:eastAsia="Franklin Gothic Book" w:cs="Franklin Gothic Book"/>
          <w:szCs w:val="22"/>
        </w:rPr>
        <w:t>of cardiomyopathy</w:t>
      </w:r>
      <w:r w:rsidRPr="1B697419">
        <w:rPr>
          <w:rFonts w:eastAsia="Franklin Gothic Book" w:cs="Franklin Gothic Book"/>
          <w:szCs w:val="22"/>
        </w:rPr>
        <w:t xml:space="preserve"> which may help determine timing of ERT initiation.</w:t>
      </w:r>
      <w:r>
        <w:rPr>
          <w:rFonts w:eastAsia="Franklin Gothic Book"/>
        </w:rPr>
        <w:t xml:space="preserve"> </w:t>
      </w:r>
      <w:r>
        <w:t xml:space="preserve">ESC noted diagnostic testing may also predict the subtype of disease for variants that have a reported </w:t>
      </w:r>
      <w:proofErr w:type="spellStart"/>
      <w:proofErr w:type="gramStart"/>
      <w:r>
        <w:t>genotype:phenotype</w:t>
      </w:r>
      <w:proofErr w:type="spellEnd"/>
      <w:proofErr w:type="gramEnd"/>
      <w:r>
        <w:t xml:space="preserve"> relationship. ESC further noted that, for a proportion of LOGSD II cases, the </w:t>
      </w:r>
      <w:r w:rsidRPr="6C2FE30E">
        <w:rPr>
          <w:rFonts w:eastAsia="Franklin Gothic Book" w:cs="Franklin Gothic Book"/>
          <w:szCs w:val="22"/>
        </w:rPr>
        <w:t>likely severity or time of onset can</w:t>
      </w:r>
      <w:r>
        <w:rPr>
          <w:rFonts w:eastAsia="Franklin Gothic Book" w:cs="Franklin Gothic Book"/>
          <w:szCs w:val="22"/>
        </w:rPr>
        <w:t>not</w:t>
      </w:r>
      <w:r w:rsidRPr="6C2FE30E">
        <w:rPr>
          <w:rFonts w:eastAsia="Franklin Gothic Book" w:cs="Franklin Gothic Book"/>
          <w:szCs w:val="22"/>
        </w:rPr>
        <w:t xml:space="preserve"> be</w:t>
      </w:r>
      <w:r>
        <w:rPr>
          <w:rFonts w:eastAsia="Franklin Gothic Book" w:cs="Franklin Gothic Book"/>
          <w:szCs w:val="22"/>
        </w:rPr>
        <w:t xml:space="preserve"> predicted and can only be</w:t>
      </w:r>
      <w:r w:rsidRPr="6C2FE30E">
        <w:rPr>
          <w:rFonts w:eastAsia="Franklin Gothic Book" w:cs="Franklin Gothic Book"/>
          <w:szCs w:val="22"/>
        </w:rPr>
        <w:t xml:space="preserve"> ascertained through long-term follow-up of individuals.  </w:t>
      </w:r>
    </w:p>
    <w:p w14:paraId="19269045" w14:textId="77777777" w:rsidR="00ED5CB7" w:rsidRDefault="00ED5CB7" w:rsidP="00ED5CB7">
      <w:pPr>
        <w:pStyle w:val="BodyText"/>
      </w:pPr>
      <w:r w:rsidRPr="0037298B">
        <w:t>ESC noted</w:t>
      </w:r>
      <w:r>
        <w:t xml:space="preserve"> in relation </w:t>
      </w:r>
      <w:r w:rsidRPr="00220CD0">
        <w:t xml:space="preserve">to the availability of </w:t>
      </w:r>
      <w:r w:rsidRPr="00220CD0">
        <w:rPr>
          <w:lang w:val="en-US"/>
        </w:rPr>
        <w:t>an effective treatment (or treatments) for at-risk newborns</w:t>
      </w:r>
      <w:r w:rsidRPr="00220CD0">
        <w:t xml:space="preserve"> </w:t>
      </w:r>
      <w:r w:rsidRPr="00220CD0">
        <w:rPr>
          <w:lang w:val="en-US"/>
        </w:rPr>
        <w:t>in Australia,</w:t>
      </w:r>
      <w:r w:rsidRPr="00A21A6B">
        <w:rPr>
          <w:lang w:val="en-US"/>
        </w:rPr>
        <w:t xml:space="preserve"> </w:t>
      </w:r>
      <w:r w:rsidRPr="0037298B">
        <w:t xml:space="preserve">the main treatment available </w:t>
      </w:r>
      <w:r>
        <w:t xml:space="preserve">is </w:t>
      </w:r>
      <w:r w:rsidRPr="0037298B">
        <w:t>ERT</w:t>
      </w:r>
      <w:r>
        <w:t xml:space="preserve"> </w:t>
      </w:r>
      <w:r w:rsidRPr="00774C1A">
        <w:rPr>
          <w:lang w:val="en-GB"/>
        </w:rPr>
        <w:t>via the Life Saving Drugs Program (LSDP)</w:t>
      </w:r>
      <w:r>
        <w:rPr>
          <w:lang w:val="en-GB"/>
        </w:rPr>
        <w:t xml:space="preserve"> that</w:t>
      </w:r>
      <w:r w:rsidRPr="00774C1A">
        <w:rPr>
          <w:lang w:val="en-GB"/>
        </w:rPr>
        <w:t xml:space="preserve"> </w:t>
      </w:r>
      <w:r w:rsidRPr="00774C1A">
        <w:rPr>
          <w:lang w:val="en-US"/>
        </w:rPr>
        <w:t xml:space="preserve">covers medicines for ultra-rare (≤1 case per 50,000), life-threatening </w:t>
      </w:r>
      <w:r>
        <w:rPr>
          <w:lang w:val="en-US"/>
        </w:rPr>
        <w:t xml:space="preserve">diseases. </w:t>
      </w:r>
      <w:r>
        <w:t xml:space="preserve">ERT is subsidised </w:t>
      </w:r>
      <w:r w:rsidRPr="0037298B">
        <w:t>through the LSDP</w:t>
      </w:r>
      <w:r>
        <w:t xml:space="preserve"> for patients with a laboratory diagnosis of GSD II. Infants with a diagnosis of IOGSD II can access ERT without an age restriction. In contrast, individuals with a laboratory diagnosis and a risk of developing LOGSD II can access ERT while presymptomatic between the ages of 2-18 years (but noting this may lead to over-treatment of some at-risk LOGSD II cases). For those presenting with LOGSD II beyond 18 years of age, additional clinical criteria must be met for ERT access.</w:t>
      </w:r>
      <w:r w:rsidRPr="009659FF">
        <w:t xml:space="preserve"> </w:t>
      </w:r>
    </w:p>
    <w:p w14:paraId="77796661" w14:textId="11AA597A" w:rsidR="00ED5CB7" w:rsidRDefault="00ED5CB7" w:rsidP="00ED5CB7">
      <w:pPr>
        <w:pStyle w:val="BodyText"/>
      </w:pPr>
      <w:r>
        <w:t xml:space="preserve">ESC noted that introduction of NBS for GSD II will likely lead to an earlier diagnosis of GSD II, thereby sparing some individuals a prolonged diagnostic </w:t>
      </w:r>
      <w:r w:rsidR="00931D42">
        <w:t>delay</w:t>
      </w:r>
      <w:r>
        <w:t xml:space="preserve">. </w:t>
      </w:r>
      <w:r w:rsidRPr="0079677F">
        <w:t xml:space="preserve">ESC noted due to the lack of national clinical </w:t>
      </w:r>
      <w:r>
        <w:t>practice</w:t>
      </w:r>
      <w:r w:rsidRPr="0079677F">
        <w:t xml:space="preserve"> guidelines for </w:t>
      </w:r>
      <w:r>
        <w:t>a</w:t>
      </w:r>
      <w:r w:rsidRPr="0079677F">
        <w:t>symptomatic children</w:t>
      </w:r>
      <w:r>
        <w:t xml:space="preserve"> at-risk of LOGSD II</w:t>
      </w:r>
      <w:r w:rsidRPr="0079677F">
        <w:t xml:space="preserve"> identified through </w:t>
      </w:r>
      <w:r>
        <w:t>the NBS</w:t>
      </w:r>
      <w:r w:rsidRPr="0079677F">
        <w:t xml:space="preserve">, </w:t>
      </w:r>
      <w:r>
        <w:t xml:space="preserve">the clinical advice is that, </w:t>
      </w:r>
      <w:r w:rsidRPr="0079677F">
        <w:t>in practice</w:t>
      </w:r>
      <w:r>
        <w:t>,</w:t>
      </w:r>
      <w:r w:rsidRPr="0079677F">
        <w:t xml:space="preserve"> ERT would likely be commenced when signs and symptoms of disease become apparent in these individuals.</w:t>
      </w:r>
      <w:r>
        <w:t xml:space="preserve"> </w:t>
      </w:r>
      <w:proofErr w:type="gramStart"/>
      <w:r>
        <w:t>In light of</w:t>
      </w:r>
      <w:proofErr w:type="gramEnd"/>
      <w:r>
        <w:t xml:space="preserve"> this clinical advice, ESC noted:</w:t>
      </w:r>
    </w:p>
    <w:p w14:paraId="075983BD" w14:textId="77777777" w:rsidR="00ED5CB7" w:rsidRPr="00C43E7A" w:rsidRDefault="00ED5CB7" w:rsidP="00ED5CB7">
      <w:pPr>
        <w:pStyle w:val="ListBullet"/>
      </w:pPr>
      <w:r>
        <w:t xml:space="preserve">a </w:t>
      </w:r>
      <w:r w:rsidRPr="00C43E7A">
        <w:t xml:space="preserve">lack of direct evidence of </w:t>
      </w:r>
      <w:r>
        <w:t xml:space="preserve">comparative </w:t>
      </w:r>
      <w:r w:rsidRPr="00C43E7A">
        <w:t>effectiveness</w:t>
      </w:r>
      <w:r>
        <w:t xml:space="preserve"> in these patients for earlier ERT</w:t>
      </w:r>
    </w:p>
    <w:p w14:paraId="101F9DBD" w14:textId="77777777" w:rsidR="00ED5CB7" w:rsidRPr="00C43E7A" w:rsidRDefault="00ED5CB7" w:rsidP="00ED5CB7">
      <w:pPr>
        <w:pStyle w:val="ListBullet"/>
      </w:pPr>
      <w:r>
        <w:t xml:space="preserve">the expected </w:t>
      </w:r>
      <w:r w:rsidRPr="00C43E7A">
        <w:t>development of ERT adverse effects</w:t>
      </w:r>
    </w:p>
    <w:p w14:paraId="27F3185B" w14:textId="77777777" w:rsidR="00ED5CB7" w:rsidRPr="00C43E7A" w:rsidRDefault="00ED5CB7" w:rsidP="00ED5CB7">
      <w:pPr>
        <w:pStyle w:val="ListBullet"/>
      </w:pPr>
      <w:r>
        <w:t xml:space="preserve">the expected </w:t>
      </w:r>
      <w:r w:rsidRPr="00C43E7A">
        <w:t>development of neutralising antibodies</w:t>
      </w:r>
      <w:r>
        <w:t xml:space="preserve"> to ERT</w:t>
      </w:r>
      <w:r w:rsidRPr="00C43E7A">
        <w:t xml:space="preserve"> (especially in </w:t>
      </w:r>
      <w:proofErr w:type="spellStart"/>
      <w:r w:rsidRPr="00C43E7A">
        <w:t>CRIM+ve</w:t>
      </w:r>
      <w:proofErr w:type="spellEnd"/>
      <w:r w:rsidRPr="00C43E7A">
        <w:t xml:space="preserve"> patients)</w:t>
      </w:r>
    </w:p>
    <w:p w14:paraId="33FA137B" w14:textId="77777777" w:rsidR="00ED5CB7" w:rsidRPr="00C43E7A" w:rsidRDefault="00ED5CB7" w:rsidP="00ED5CB7">
      <w:pPr>
        <w:pStyle w:val="ListBullet"/>
      </w:pPr>
      <w:r>
        <w:t xml:space="preserve">this approach is </w:t>
      </w:r>
      <w:r w:rsidRPr="00C43E7A">
        <w:t>not recommended in international treatment protocols</w:t>
      </w:r>
    </w:p>
    <w:p w14:paraId="1BCA26E9" w14:textId="77777777" w:rsidR="00ED5CB7" w:rsidRDefault="00ED5CB7" w:rsidP="00ED5CB7">
      <w:pPr>
        <w:pStyle w:val="ListBullet"/>
      </w:pPr>
      <w:r>
        <w:t>this approach could represent ineffective use</w:t>
      </w:r>
      <w:r w:rsidRPr="00C43E7A">
        <w:t xml:space="preserve"> of ERT (however, given current LSDP subsidy guidelines, this is unlikely to influence prescribers </w:t>
      </w:r>
      <w:r>
        <w:t>or</w:t>
      </w:r>
      <w:r w:rsidRPr="00C43E7A">
        <w:t xml:space="preserve"> parents)</w:t>
      </w:r>
      <w:r>
        <w:t>.</w:t>
      </w:r>
    </w:p>
    <w:p w14:paraId="3543683A" w14:textId="77777777" w:rsidR="00ED5CB7" w:rsidRDefault="00ED5CB7" w:rsidP="00ED5CB7">
      <w:pPr>
        <w:pStyle w:val="BodyText"/>
      </w:pPr>
      <w:r>
        <w:t>However, given the importance of this uncertainty to the economic evaluation, ESC also considered that there were several reasons why ERT may be commenced pre-symptomatically:</w:t>
      </w:r>
    </w:p>
    <w:p w14:paraId="760239A8" w14:textId="77777777" w:rsidR="00ED5CB7" w:rsidRPr="0028439D" w:rsidRDefault="00ED5CB7" w:rsidP="00ED5CB7">
      <w:pPr>
        <w:pStyle w:val="ListBullet"/>
      </w:pPr>
      <w:r w:rsidRPr="00BA705A">
        <w:t xml:space="preserve">an assumption that pre-symptomatic ERT for LOGSD II may have greater benefits (before irreversible </w:t>
      </w:r>
      <w:r>
        <w:t>organ damage occurs</w:t>
      </w:r>
      <w:r w:rsidRPr="00BA705A">
        <w:t xml:space="preserve">) as demonstrated in IOGSD </w:t>
      </w:r>
      <w:r>
        <w:t>II</w:t>
      </w:r>
    </w:p>
    <w:p w14:paraId="4E6AD1E6" w14:textId="77777777" w:rsidR="00ED5CB7" w:rsidRDefault="00ED5CB7" w:rsidP="00ED5CB7">
      <w:pPr>
        <w:pStyle w:val="ListBullet"/>
      </w:pPr>
      <w:r>
        <w:t xml:space="preserve">the </w:t>
      </w:r>
      <w:r w:rsidRPr="0028439D">
        <w:t xml:space="preserve">current LSDP subsidy guidelines </w:t>
      </w:r>
      <w:r>
        <w:t>do not necessarily preclude it.</w:t>
      </w:r>
    </w:p>
    <w:p w14:paraId="730345BC" w14:textId="77777777" w:rsidR="00ED5CB7" w:rsidRDefault="00ED5CB7" w:rsidP="00ED5CB7">
      <w:pPr>
        <w:pStyle w:val="BodyText"/>
      </w:pPr>
      <w:r w:rsidRPr="02E2EE7D">
        <w:t>ESC noted the key clinical evidence</w:t>
      </w:r>
      <w:r>
        <w:t xml:space="preserve"> of NBS for GSD II vs current </w:t>
      </w:r>
      <w:r w:rsidDel="00256E2B">
        <w:t>management</w:t>
      </w:r>
      <w:r>
        <w:t xml:space="preserve"> and change in management </w:t>
      </w:r>
      <w:r w:rsidRPr="02E2EE7D">
        <w:t xml:space="preserve">was largely from </w:t>
      </w:r>
      <w:r>
        <w:t xml:space="preserve">observational </w:t>
      </w:r>
      <w:r w:rsidRPr="02E2EE7D">
        <w:t>studies such as case series</w:t>
      </w:r>
      <w:r>
        <w:t xml:space="preserve"> and</w:t>
      </w:r>
      <w:r w:rsidRPr="02E2EE7D">
        <w:t xml:space="preserve"> cohort studies, resulting in </w:t>
      </w:r>
      <w:r>
        <w:t xml:space="preserve">an evidence base with </w:t>
      </w:r>
      <w:r w:rsidRPr="02E2EE7D">
        <w:t>a</w:t>
      </w:r>
      <w:r>
        <w:t>t least a</w:t>
      </w:r>
      <w:r w:rsidRPr="02E2EE7D">
        <w:t xml:space="preserve"> moderate risk of bias. </w:t>
      </w:r>
      <w:r>
        <w:rPr>
          <w:lang w:val="en-US"/>
        </w:rPr>
        <w:t xml:space="preserve">Regarding whether </w:t>
      </w:r>
      <w:r w:rsidRPr="00A21A6B">
        <w:rPr>
          <w:lang w:val="en-US"/>
        </w:rPr>
        <w:t>the available treatment</w:t>
      </w:r>
      <w:r>
        <w:rPr>
          <w:lang w:val="en-US"/>
        </w:rPr>
        <w:t xml:space="preserve"> is </w:t>
      </w:r>
      <w:r w:rsidRPr="00A21A6B">
        <w:rPr>
          <w:lang w:val="en-US"/>
        </w:rPr>
        <w:t>effective from the proposed earlier age of initiation following NBS screening and diagnosis</w:t>
      </w:r>
      <w:r>
        <w:rPr>
          <w:lang w:val="en-US"/>
        </w:rPr>
        <w:t xml:space="preserve"> </w:t>
      </w:r>
      <w:r w:rsidRPr="00A21A6B">
        <w:rPr>
          <w:lang w:val="en-US"/>
        </w:rPr>
        <w:t>(</w:t>
      </w:r>
      <w:r>
        <w:rPr>
          <w:lang w:val="en-US"/>
        </w:rPr>
        <w:t>a</w:t>
      </w:r>
      <w:r w:rsidRPr="00A21A6B">
        <w:rPr>
          <w:lang w:val="en-US"/>
        </w:rPr>
        <w:t>symptomatic and early symptomatic)</w:t>
      </w:r>
      <w:r>
        <w:rPr>
          <w:lang w:val="en-US"/>
        </w:rPr>
        <w:t xml:space="preserve"> </w:t>
      </w:r>
      <w:r w:rsidRPr="00A21A6B">
        <w:rPr>
          <w:lang w:val="en-US"/>
        </w:rPr>
        <w:t xml:space="preserve">compared </w:t>
      </w:r>
      <w:r>
        <w:rPr>
          <w:lang w:val="en-US"/>
        </w:rPr>
        <w:t xml:space="preserve">to </w:t>
      </w:r>
      <w:r w:rsidRPr="00A21A6B">
        <w:rPr>
          <w:lang w:val="en-US"/>
        </w:rPr>
        <w:t>symptomatic presentation</w:t>
      </w:r>
      <w:r>
        <w:rPr>
          <w:lang w:val="en-US"/>
        </w:rPr>
        <w:t>, f</w:t>
      </w:r>
      <w:r w:rsidRPr="00A21A6B">
        <w:rPr>
          <w:lang w:val="en-US"/>
        </w:rPr>
        <w:t xml:space="preserve">or individuals with </w:t>
      </w:r>
      <w:r>
        <w:rPr>
          <w:lang w:val="en-US"/>
        </w:rPr>
        <w:t>IOGSD II</w:t>
      </w:r>
      <w:r w:rsidRPr="00A21A6B">
        <w:rPr>
          <w:lang w:val="en-US"/>
        </w:rPr>
        <w:t>,</w:t>
      </w:r>
      <w:r>
        <w:rPr>
          <w:lang w:val="en-US"/>
        </w:rPr>
        <w:t xml:space="preserve"> ESC noted </w:t>
      </w:r>
      <w:r>
        <w:t>t</w:t>
      </w:r>
      <w:r w:rsidRPr="02E2EE7D">
        <w:t>he evidence</w:t>
      </w:r>
      <w:r w:rsidRPr="02E2EE7D" w:rsidDel="00256E2B">
        <w:t xml:space="preserve"> </w:t>
      </w:r>
      <w:r>
        <w:t xml:space="preserve">presented was a naïve comparison of NBS cohorts with historical control cohorts that did not adjust for potential differences in confounders between populations. The studies looking at </w:t>
      </w:r>
      <w:r w:rsidRPr="001C1AE0">
        <w:t>Taiwan’s</w:t>
      </w:r>
      <w:r>
        <w:t xml:space="preserve"> experience of the GSD II screening program suggested that for both overall survival and ventilation-free survival there was extra benefit from earlier treatment, although ESC noted that the patient numbers were small. At 50 months, the differences were statistically significant based on a Kaplan-Meier survival analysis (p=0.028 for overall survival and </w:t>
      </w:r>
      <w:r w:rsidRPr="000658AC">
        <w:t>p&lt;0.001 for ventilation-free survival</w:t>
      </w:r>
      <w:r>
        <w:t>). Therefore, ESC considered</w:t>
      </w:r>
      <w:r w:rsidRPr="02E2EE7D">
        <w:t xml:space="preserve"> that there is probable benefit from starting treatment earlier</w:t>
      </w:r>
      <w:r>
        <w:t xml:space="preserve"> for IOGSD II cases</w:t>
      </w:r>
      <w:r w:rsidRPr="02E2EE7D">
        <w:t>.</w:t>
      </w:r>
    </w:p>
    <w:p w14:paraId="5F972DB0" w14:textId="77777777" w:rsidR="00ED5CB7" w:rsidDel="009659FF" w:rsidRDefault="00ED5CB7" w:rsidP="00ED5CB7">
      <w:pPr>
        <w:pStyle w:val="BodyText"/>
      </w:pPr>
      <w:r w:rsidRPr="0F4ACA85">
        <w:t>ESC noted for the late onset disease</w:t>
      </w:r>
      <w:r>
        <w:t xml:space="preserve"> subtype</w:t>
      </w:r>
      <w:r w:rsidRPr="0F4ACA85">
        <w:t>, the limited available evidence came from non-comparative studies. Among individuals diagnosed with LOGSD II via NBS, 17% had commenced ERT, while 83% were undergoing monitoring for up to 7 years (the longest study period). Additionally, ESC noted there was limited comparative evidence on outcomes such as motor function</w:t>
      </w:r>
      <w:r>
        <w:t xml:space="preserve"> which was</w:t>
      </w:r>
      <w:r w:rsidRPr="0F4ACA85">
        <w:t xml:space="preserve"> based on the timing of initiation of ERT in symptomatic LOGSD II populations, making the benefits </w:t>
      </w:r>
      <w:r>
        <w:t xml:space="preserve">uncertain. </w:t>
      </w:r>
    </w:p>
    <w:p w14:paraId="45C0A476" w14:textId="77777777" w:rsidR="00ED5CB7" w:rsidRPr="00F1200C" w:rsidRDefault="00ED5CB7" w:rsidP="00ED5CB7">
      <w:pPr>
        <w:pStyle w:val="BodyText"/>
      </w:pPr>
      <w:r w:rsidRPr="02E2EE7D">
        <w:t xml:space="preserve">Regarding safety, ESC considered there </w:t>
      </w:r>
      <w:r>
        <w:t xml:space="preserve">are known adverse effects </w:t>
      </w:r>
      <w:r w:rsidRPr="02E2EE7D">
        <w:t>from ERT</w:t>
      </w:r>
      <w:r>
        <w:t xml:space="preserve"> </w:t>
      </w:r>
      <w:r w:rsidRPr="00746566">
        <w:rPr>
          <w:lang w:val="en-US"/>
        </w:rPr>
        <w:t>given to patients diagnosed with IOGSD I</w:t>
      </w:r>
      <w:r>
        <w:rPr>
          <w:lang w:val="en-US"/>
        </w:rPr>
        <w:t>I</w:t>
      </w:r>
      <w:r w:rsidRPr="02E2EE7D">
        <w:t xml:space="preserve">, which </w:t>
      </w:r>
      <w:r>
        <w:t>are</w:t>
      </w:r>
      <w:r w:rsidRPr="02E2EE7D">
        <w:t xml:space="preserve"> expected to </w:t>
      </w:r>
      <w:r>
        <w:t xml:space="preserve">proportionately </w:t>
      </w:r>
      <w:r w:rsidRPr="02E2EE7D">
        <w:t>increase if GSD II testing is introduced to the NBS program</w:t>
      </w:r>
      <w:r>
        <w:t>s and results in earlier ERT access for more individuals</w:t>
      </w:r>
      <w:r w:rsidRPr="02E2EE7D">
        <w:t xml:space="preserve">. Adverse events (AEs) are associated with ERT given to patients diagnosed with </w:t>
      </w:r>
      <w:r>
        <w:t xml:space="preserve">both </w:t>
      </w:r>
      <w:r w:rsidRPr="02E2EE7D">
        <w:t>IOGSD II</w:t>
      </w:r>
      <w:r>
        <w:t xml:space="preserve"> and LOGSD II.</w:t>
      </w:r>
      <w:r w:rsidRPr="02E2EE7D">
        <w:t xml:space="preserve"> In addition to published evidence, product information for </w:t>
      </w:r>
      <w:proofErr w:type="spellStart"/>
      <w:r>
        <w:t>a</w:t>
      </w:r>
      <w:r w:rsidRPr="00200F47">
        <w:t>lglucosidase</w:t>
      </w:r>
      <w:proofErr w:type="spellEnd"/>
      <w:r w:rsidRPr="00200F47">
        <w:t xml:space="preserve"> alfa</w:t>
      </w:r>
      <w:r>
        <w:t xml:space="preserve"> (</w:t>
      </w:r>
      <w:proofErr w:type="spellStart"/>
      <w:r w:rsidRPr="02E2EE7D">
        <w:t>Myozyme</w:t>
      </w:r>
      <w:proofErr w:type="spellEnd"/>
      <w:r w:rsidRPr="00717A75">
        <w:rPr>
          <w:vertAlign w:val="superscript"/>
        </w:rPr>
        <w:t>®</w:t>
      </w:r>
      <w:r>
        <w:t>)</w:t>
      </w:r>
      <w:r w:rsidRPr="02E2EE7D">
        <w:t xml:space="preserve"> indicated infusion-related reactions occur in 14% of patients, with higher rates in younger children. A higher rate was reported with </w:t>
      </w:r>
      <w:proofErr w:type="spellStart"/>
      <w:r>
        <w:t>a</w:t>
      </w:r>
      <w:r w:rsidRPr="00B27697">
        <w:t>valglucosidase</w:t>
      </w:r>
      <w:proofErr w:type="spellEnd"/>
      <w:r w:rsidRPr="00B27697">
        <w:t xml:space="preserve"> alfa</w:t>
      </w:r>
      <w:r>
        <w:t xml:space="preserve"> (</w:t>
      </w:r>
      <w:proofErr w:type="spellStart"/>
      <w:r w:rsidRPr="02E2EE7D">
        <w:t>Nexviazyme</w:t>
      </w:r>
      <w:proofErr w:type="spellEnd"/>
      <w:r w:rsidRPr="008664AC">
        <w:rPr>
          <w:vertAlign w:val="superscript"/>
        </w:rPr>
        <w:t>®</w:t>
      </w:r>
      <w:r>
        <w:t>)</w:t>
      </w:r>
      <w:r w:rsidRPr="02E2EE7D">
        <w:t xml:space="preserve">. </w:t>
      </w:r>
      <w:proofErr w:type="gramStart"/>
      <w:r>
        <w:t>The majority of</w:t>
      </w:r>
      <w:proofErr w:type="gramEnd"/>
      <w:r>
        <w:t xml:space="preserve"> infusion-related reactions were mild to moderate in severity and associated with high flow rates. </w:t>
      </w:r>
      <w:r w:rsidRPr="02E2EE7D">
        <w:t>AEs were categorised as:</w:t>
      </w:r>
    </w:p>
    <w:p w14:paraId="0A720F73" w14:textId="77777777" w:rsidR="00ED5CB7" w:rsidRPr="00F1200C" w:rsidRDefault="00ED5CB7" w:rsidP="00ED5CB7">
      <w:pPr>
        <w:pStyle w:val="ListBullet"/>
      </w:pPr>
      <w:r w:rsidRPr="02E2EE7D">
        <w:t xml:space="preserve">development of </w:t>
      </w:r>
      <w:r>
        <w:t xml:space="preserve">neutralising </w:t>
      </w:r>
      <w:r w:rsidRPr="02E2EE7D">
        <w:t>anti-</w:t>
      </w:r>
      <w:proofErr w:type="spellStart"/>
      <w:r w:rsidRPr="02E2EE7D">
        <w:t>rhGAA</w:t>
      </w:r>
      <w:proofErr w:type="spellEnd"/>
      <w:r w:rsidRPr="02E2EE7D">
        <w:t xml:space="preserve"> antibodies</w:t>
      </w:r>
    </w:p>
    <w:p w14:paraId="54C75451" w14:textId="77777777" w:rsidR="00ED5CB7" w:rsidRPr="00F1200C" w:rsidRDefault="00ED5CB7" w:rsidP="00ED5CB7">
      <w:pPr>
        <w:pStyle w:val="ListBullet"/>
      </w:pPr>
      <w:r>
        <w:t>e</w:t>
      </w:r>
      <w:r w:rsidRPr="00F1200C">
        <w:t>levated B-type natriuretic peptide (BNP) levels</w:t>
      </w:r>
    </w:p>
    <w:p w14:paraId="7DFA8156" w14:textId="77777777" w:rsidR="00ED5CB7" w:rsidRPr="00F1200C" w:rsidRDefault="00ED5CB7" w:rsidP="00ED5CB7">
      <w:pPr>
        <w:pStyle w:val="ListBullet"/>
      </w:pPr>
      <w:r>
        <w:t>i</w:t>
      </w:r>
      <w:r w:rsidRPr="00F1200C">
        <w:t xml:space="preserve">nfusion-related reactions </w:t>
      </w:r>
    </w:p>
    <w:p w14:paraId="0E40BF40" w14:textId="77777777" w:rsidR="00ED5CB7" w:rsidRPr="00F1200C" w:rsidRDefault="00ED5CB7" w:rsidP="00ED5CB7">
      <w:pPr>
        <w:pStyle w:val="ListBullet"/>
      </w:pPr>
      <w:r w:rsidRPr="00F1200C">
        <w:t>risk of acute cardiorespiratory failure</w:t>
      </w:r>
      <w:r>
        <w:t>.</w:t>
      </w:r>
    </w:p>
    <w:p w14:paraId="64F5A93A" w14:textId="77777777" w:rsidR="00ED5CB7" w:rsidRDefault="00ED5CB7" w:rsidP="00ED5CB7">
      <w:pPr>
        <w:pStyle w:val="BodyText"/>
      </w:pPr>
      <w:r w:rsidRPr="02E2EE7D">
        <w:t xml:space="preserve">ESC considered there </w:t>
      </w:r>
      <w:r>
        <w:t xml:space="preserve">are </w:t>
      </w:r>
      <w:r w:rsidRPr="02E2EE7D">
        <w:t xml:space="preserve">additional safety </w:t>
      </w:r>
      <w:r>
        <w:t xml:space="preserve">issues relating to </w:t>
      </w:r>
      <w:r w:rsidRPr="0F4ACA85">
        <w:t xml:space="preserve">the </w:t>
      </w:r>
      <w:r w:rsidRPr="02E2EE7D">
        <w:t xml:space="preserve">need </w:t>
      </w:r>
      <w:r>
        <w:t xml:space="preserve">for </w:t>
      </w:r>
      <w:r w:rsidRPr="02E2EE7D">
        <w:t xml:space="preserve">central </w:t>
      </w:r>
      <w:r>
        <w:t>venous access</w:t>
      </w:r>
      <w:r w:rsidRPr="02E2EE7D">
        <w:t>, which can result in long-term complications (infections</w:t>
      </w:r>
      <w:r>
        <w:t>, thrombosis and progressive loss of access</w:t>
      </w:r>
      <w:r w:rsidRPr="02E2EE7D">
        <w:t>).</w:t>
      </w:r>
      <w:r>
        <w:t xml:space="preserve"> ESC considered these risks to be particularly relevant if ERT is used among the asymptomatic population at risk for LOGSD II. </w:t>
      </w:r>
    </w:p>
    <w:p w14:paraId="3F6A1201" w14:textId="77777777" w:rsidR="00ED5CB7" w:rsidRDefault="00ED5CB7" w:rsidP="00ED5CB7">
      <w:pPr>
        <w:pStyle w:val="BodyText"/>
      </w:pPr>
      <w:r w:rsidRPr="02E2EE7D">
        <w:t xml:space="preserve">In addition, ESC </w:t>
      </w:r>
      <w:r>
        <w:t>considered</w:t>
      </w:r>
      <w:r w:rsidRPr="02E2EE7D">
        <w:t xml:space="preserve"> the potential psychosocial and financial harms from a laboratory/genetic diagnosis, especially for </w:t>
      </w:r>
      <w:r>
        <w:t xml:space="preserve">a proportion of </w:t>
      </w:r>
      <w:r w:rsidRPr="02E2EE7D">
        <w:t xml:space="preserve">babies who are asymptomatic but at risk for clinical LOGSD II, as some would develop symptoms later, but some would never develop symptoms. </w:t>
      </w:r>
      <w:r>
        <w:t>Al</w:t>
      </w:r>
      <w:r w:rsidRPr="0F4ACA85">
        <w:t xml:space="preserve">though the literature described these </w:t>
      </w:r>
      <w:r>
        <w:t>individual</w:t>
      </w:r>
      <w:r w:rsidRPr="0F4ACA85">
        <w:t xml:space="preserve">s as ‘patients in waiting’ </w:t>
      </w:r>
      <w:r>
        <w:t>ESC considered that</w:t>
      </w:r>
      <w:r w:rsidRPr="0F4ACA85">
        <w:t xml:space="preserve"> some proportion </w:t>
      </w:r>
      <w:r>
        <w:t>may be more appropriately described as</w:t>
      </w:r>
      <w:r w:rsidRPr="0F4ACA85">
        <w:t xml:space="preserve"> </w:t>
      </w:r>
      <w:proofErr w:type="spellStart"/>
      <w:r w:rsidRPr="0F4ACA85">
        <w:t>overdiagnosed</w:t>
      </w:r>
      <w:proofErr w:type="spellEnd"/>
      <w:r w:rsidRPr="0F4ACA85">
        <w:t xml:space="preserve"> health</w:t>
      </w:r>
      <w:r>
        <w:t>y</w:t>
      </w:r>
      <w:r w:rsidRPr="0F4ACA85">
        <w:t xml:space="preserve"> people. </w:t>
      </w:r>
      <w:r w:rsidRPr="02E2EE7D">
        <w:t>The testing will also identify people at risk for LOGSD II who will have an unknown prognosis. In addition, variation in phenotypic expression was observed within families with the same genotype, adding to uncertainty on when to initiate ERT treatment. However, ESC noted that the Department-contracted assessment report (DCAR) does not present any empirical evidence about these harms.</w:t>
      </w:r>
      <w:r>
        <w:t xml:space="preserve"> </w:t>
      </w:r>
    </w:p>
    <w:p w14:paraId="63417479" w14:textId="77777777" w:rsidR="00ED5CB7" w:rsidRDefault="00ED5CB7" w:rsidP="00ED5CB7">
      <w:pPr>
        <w:pStyle w:val="BodyText"/>
      </w:pPr>
      <w:r>
        <w:t xml:space="preserve">ESC noted the applicant’s comment that </w:t>
      </w:r>
      <w:r w:rsidRPr="007A1B17">
        <w:t>expert clinical advice highlights it may not be accurate to</w:t>
      </w:r>
      <w:r>
        <w:t xml:space="preserve"> regard LO</w:t>
      </w:r>
      <w:r w:rsidRPr="007A1B17">
        <w:t>GSD II as a predominantly adult-onset conditio</w:t>
      </w:r>
      <w:r>
        <w:t>n as</w:t>
      </w:r>
      <w:r w:rsidRPr="007A1B17">
        <w:t xml:space="preserve"> approximately </w:t>
      </w:r>
      <w:r>
        <w:t>one fifth</w:t>
      </w:r>
      <w:r w:rsidRPr="007A1B17">
        <w:t xml:space="preserve"> of children with supposed LOGSD II can have biochemical, muscle ultrasound and physical signs of </w:t>
      </w:r>
      <w:r>
        <w:t xml:space="preserve">the </w:t>
      </w:r>
      <w:r w:rsidRPr="007A1B17">
        <w:t>disease process starting in infancy</w:t>
      </w:r>
      <w:r>
        <w:t xml:space="preserve">. However, ESC considered that </w:t>
      </w:r>
      <w:r w:rsidRPr="007A1B17">
        <w:t>this advice is based on clinically determined disease</w:t>
      </w:r>
      <w:r>
        <w:t xml:space="preserve"> and under </w:t>
      </w:r>
      <w:r w:rsidRPr="007A1B17">
        <w:t xml:space="preserve">NBS it is likely that babies will be identified with variants who would otherwise never have presented clinically </w:t>
      </w:r>
      <w:r>
        <w:t xml:space="preserve">(as children or adults) </w:t>
      </w:r>
      <w:r w:rsidRPr="007A1B17">
        <w:t xml:space="preserve">– </w:t>
      </w:r>
      <w:r>
        <w:t xml:space="preserve">because they are </w:t>
      </w:r>
      <w:r w:rsidRPr="007A1B17">
        <w:t xml:space="preserve">either completely asymptomatic or </w:t>
      </w:r>
      <w:r>
        <w:t xml:space="preserve">have </w:t>
      </w:r>
      <w:r w:rsidRPr="007A1B17">
        <w:t>very mild symptoms.</w:t>
      </w:r>
    </w:p>
    <w:p w14:paraId="611E2411" w14:textId="77777777" w:rsidR="00ED5CB7" w:rsidRDefault="00ED5CB7" w:rsidP="00ED5CB7">
      <w:pPr>
        <w:pStyle w:val="BodyText"/>
      </w:pPr>
      <w:r w:rsidRPr="02E2EE7D">
        <w:t xml:space="preserve">ESC considered the overall net benefit versus harms of GSD II screening, based on the Californian NBS program and some Australian data. </w:t>
      </w:r>
      <w:r>
        <w:t xml:space="preserve">For </w:t>
      </w:r>
      <w:r w:rsidRPr="0F4ACA85">
        <w:t>every</w:t>
      </w:r>
      <w:r w:rsidRPr="02E2EE7D">
        <w:t xml:space="preserve"> </w:t>
      </w:r>
      <w:r w:rsidRPr="006E3D0B">
        <w:rPr>
          <w:szCs w:val="22"/>
        </w:rPr>
        <w:t>304,655</w:t>
      </w:r>
      <w:r w:rsidRPr="000A6F60">
        <w:rPr>
          <w:szCs w:val="22"/>
        </w:rPr>
        <w:t xml:space="preserve"> newborns screened annually </w:t>
      </w:r>
      <w:r w:rsidRPr="00AE19FF">
        <w:rPr>
          <w:szCs w:val="22"/>
        </w:rPr>
        <w:t>(which was the projected screening population of the first year of NBS</w:t>
      </w:r>
      <w:r>
        <w:rPr>
          <w:szCs w:val="22"/>
        </w:rPr>
        <w:t xml:space="preserve"> for GSD II</w:t>
      </w:r>
      <w:r w:rsidRPr="00AE19FF">
        <w:rPr>
          <w:szCs w:val="22"/>
        </w:rPr>
        <w:t xml:space="preserve"> if implemented in 2025-26</w:t>
      </w:r>
      <w:r>
        <w:rPr>
          <w:szCs w:val="22"/>
        </w:rPr>
        <w:t>)</w:t>
      </w:r>
      <w:r w:rsidRPr="02E2EE7D">
        <w:t>, Australian NBS program</w:t>
      </w:r>
      <w:r>
        <w:t>s</w:t>
      </w:r>
      <w:r w:rsidRPr="02E2EE7D">
        <w:t xml:space="preserve"> would identify:</w:t>
      </w:r>
    </w:p>
    <w:p w14:paraId="5C5A7F69" w14:textId="77777777" w:rsidR="00ED5CB7" w:rsidRPr="00FC3CCC" w:rsidRDefault="00ED5CB7" w:rsidP="00ED5CB7">
      <w:pPr>
        <w:pStyle w:val="BulletBeforeDash"/>
        <w:rPr>
          <w:rStyle w:val="Strong"/>
          <w:b w:val="0"/>
          <w:bCs w:val="0"/>
        </w:rPr>
      </w:pPr>
      <w:r>
        <w:rPr>
          <w:rStyle w:val="Strong"/>
          <w:b w:val="0"/>
        </w:rPr>
        <w:t xml:space="preserve">10.6 </w:t>
      </w:r>
      <w:r w:rsidRPr="00E64B5B">
        <w:rPr>
          <w:rStyle w:val="Strong"/>
          <w:b w:val="0"/>
        </w:rPr>
        <w:t xml:space="preserve">true </w:t>
      </w:r>
      <w:r w:rsidRPr="638DB649">
        <w:rPr>
          <w:rStyle w:val="Strong"/>
          <w:b w:val="0"/>
          <w:bCs w:val="0"/>
        </w:rPr>
        <w:t>positives</w:t>
      </w:r>
      <w:r w:rsidRPr="00E64B5B">
        <w:rPr>
          <w:rStyle w:val="Strong"/>
          <w:b w:val="0"/>
        </w:rPr>
        <w:t xml:space="preserve"> who would be eligible for ERT</w:t>
      </w:r>
    </w:p>
    <w:p w14:paraId="16D6B3D1" w14:textId="77777777" w:rsidR="00ED5CB7" w:rsidRPr="006B4779" w:rsidRDefault="00ED5CB7" w:rsidP="00ED5CB7">
      <w:pPr>
        <w:pStyle w:val="Dash"/>
        <w:tabs>
          <w:tab w:val="left" w:pos="720"/>
        </w:tabs>
        <w:spacing w:before="0" w:after="0"/>
        <w:rPr>
          <w:rFonts w:ascii="Franklin Gothic Book" w:hAnsi="Franklin Gothic Book"/>
        </w:rPr>
      </w:pPr>
      <w:r>
        <w:rPr>
          <w:rFonts w:ascii="Franklin Gothic Book" w:hAnsi="Franklin Gothic Book"/>
        </w:rPr>
        <w:t xml:space="preserve">1 </w:t>
      </w:r>
      <w:r w:rsidRPr="006B4779">
        <w:rPr>
          <w:rFonts w:ascii="Franklin Gothic Book" w:hAnsi="Franklin Gothic Book"/>
        </w:rPr>
        <w:t xml:space="preserve">newborn with IOGSD II would receive earlier ERT and have likely survival, respiratory and motor benefits </w:t>
      </w:r>
    </w:p>
    <w:p w14:paraId="45BD1624" w14:textId="77777777" w:rsidR="00ED5CB7" w:rsidRPr="00AE19FF" w:rsidRDefault="00ED5CB7" w:rsidP="00ED5CB7">
      <w:pPr>
        <w:pStyle w:val="Dash"/>
      </w:pPr>
      <w:r>
        <w:rPr>
          <w:rFonts w:ascii="Franklin Gothic Book" w:hAnsi="Franklin Gothic Book"/>
        </w:rPr>
        <w:t xml:space="preserve">9.6 </w:t>
      </w:r>
      <w:r w:rsidRPr="6983B9F2">
        <w:rPr>
          <w:rFonts w:ascii="Franklin Gothic Book" w:hAnsi="Franklin Gothic Book"/>
        </w:rPr>
        <w:t xml:space="preserve">diagnosed </w:t>
      </w:r>
      <w:r>
        <w:rPr>
          <w:rFonts w:ascii="Franklin Gothic Book" w:hAnsi="Franklin Gothic Book"/>
        </w:rPr>
        <w:t xml:space="preserve">with </w:t>
      </w:r>
      <w:r w:rsidRPr="006B4779">
        <w:rPr>
          <w:rFonts w:ascii="Franklin Gothic Book" w:hAnsi="Franklin Gothic Book"/>
        </w:rPr>
        <w:t>LOGSD I</w:t>
      </w:r>
      <w:r>
        <w:rPr>
          <w:rFonts w:ascii="Franklin Gothic Book" w:hAnsi="Franklin Gothic Book"/>
        </w:rPr>
        <w:t xml:space="preserve"> </w:t>
      </w:r>
      <w:r w:rsidRPr="006B4779">
        <w:rPr>
          <w:rFonts w:ascii="Franklin Gothic Book" w:hAnsi="Franklin Gothic Book"/>
        </w:rPr>
        <w:t>(</w:t>
      </w:r>
      <w:r>
        <w:rPr>
          <w:rFonts w:ascii="Franklin Gothic Book" w:hAnsi="Franklin Gothic Book"/>
        </w:rPr>
        <w:t>3.5</w:t>
      </w:r>
      <w:r w:rsidRPr="006B4779">
        <w:rPr>
          <w:rFonts w:ascii="Franklin Gothic Book" w:hAnsi="Franklin Gothic Book"/>
        </w:rPr>
        <w:t xml:space="preserve"> with a VUS) </w:t>
      </w:r>
      <w:r>
        <w:rPr>
          <w:rFonts w:ascii="Franklin Gothic Book" w:hAnsi="Franklin Gothic Book"/>
        </w:rPr>
        <w:t xml:space="preserve">with a proportion of those at risk who </w:t>
      </w:r>
      <w:r w:rsidRPr="006B4779">
        <w:rPr>
          <w:rFonts w:ascii="Franklin Gothic Book" w:hAnsi="Franklin Gothic Book"/>
        </w:rPr>
        <w:t>would be monitored regularly to determine whether and when they should receive ERT</w:t>
      </w:r>
      <w:r w:rsidRPr="0F4ACA85">
        <w:rPr>
          <w:rFonts w:ascii="Franklin Gothic Book" w:hAnsi="Franklin Gothic Book"/>
        </w:rPr>
        <w:t xml:space="preserve">. </w:t>
      </w:r>
    </w:p>
    <w:p w14:paraId="02074C48" w14:textId="77777777" w:rsidR="00ED5CB7" w:rsidRPr="006674DB" w:rsidRDefault="00ED5CB7" w:rsidP="00ED5CB7">
      <w:pPr>
        <w:pStyle w:val="BulletBeforeDash"/>
      </w:pPr>
      <w:r>
        <w:t xml:space="preserve">47.1 </w:t>
      </w:r>
      <w:r w:rsidRPr="006674DB">
        <w:t xml:space="preserve">FPs </w:t>
      </w:r>
      <w:r>
        <w:t>who</w:t>
      </w:r>
      <w:r w:rsidRPr="006674DB">
        <w:t xml:space="preserve"> would not be </w:t>
      </w:r>
      <w:r>
        <w:t>monitored, and ultimately not require</w:t>
      </w:r>
      <w:r w:rsidRPr="006674DB">
        <w:t xml:space="preserve"> treatment </w:t>
      </w:r>
    </w:p>
    <w:p w14:paraId="6D061A87" w14:textId="77777777" w:rsidR="00ED5CB7" w:rsidRPr="006B4779" w:rsidRDefault="00ED5CB7" w:rsidP="00ED5CB7">
      <w:pPr>
        <w:pStyle w:val="Dash"/>
        <w:tabs>
          <w:tab w:val="left" w:pos="720"/>
        </w:tabs>
        <w:spacing w:before="0" w:after="0"/>
        <w:rPr>
          <w:rFonts w:ascii="Franklin Gothic Book" w:hAnsi="Franklin Gothic Book"/>
        </w:rPr>
      </w:pPr>
      <w:r w:rsidRPr="006B4779">
        <w:rPr>
          <w:rFonts w:ascii="Franklin Gothic Book" w:hAnsi="Franklin Gothic Book"/>
        </w:rPr>
        <w:t xml:space="preserve"> </w:t>
      </w:r>
      <w:r>
        <w:rPr>
          <w:rFonts w:ascii="Franklin Gothic Book" w:hAnsi="Franklin Gothic Book"/>
        </w:rPr>
        <w:t xml:space="preserve">11.8 </w:t>
      </w:r>
      <w:r w:rsidRPr="006B4779">
        <w:rPr>
          <w:rFonts w:ascii="Franklin Gothic Book" w:hAnsi="Franklin Gothic Book"/>
        </w:rPr>
        <w:t xml:space="preserve">would have </w:t>
      </w:r>
      <w:proofErr w:type="spellStart"/>
      <w:r w:rsidRPr="006B4779">
        <w:rPr>
          <w:rFonts w:ascii="Franklin Gothic Book" w:hAnsi="Franklin Gothic Book"/>
        </w:rPr>
        <w:t>pseudodeficiency</w:t>
      </w:r>
      <w:proofErr w:type="spellEnd"/>
      <w:r w:rsidRPr="006B4779">
        <w:rPr>
          <w:rFonts w:ascii="Franklin Gothic Book" w:hAnsi="Franklin Gothic Book"/>
        </w:rPr>
        <w:t xml:space="preserve"> variants, of which </w:t>
      </w:r>
      <w:r>
        <w:rPr>
          <w:rFonts w:ascii="Franklin Gothic Book" w:hAnsi="Franklin Gothic Book"/>
        </w:rPr>
        <w:t xml:space="preserve">5.9 </w:t>
      </w:r>
      <w:r w:rsidRPr="006B4779">
        <w:rPr>
          <w:rFonts w:ascii="Franklin Gothic Book" w:hAnsi="Franklin Gothic Book"/>
        </w:rPr>
        <w:t xml:space="preserve">would be ruled out from having the condition. </w:t>
      </w:r>
      <w:r w:rsidRPr="006B4779" w:rsidDel="00D3265E">
        <w:rPr>
          <w:rFonts w:ascii="Franklin Gothic Book" w:hAnsi="Franklin Gothic Book"/>
        </w:rPr>
        <w:t xml:space="preserve">However, </w:t>
      </w:r>
      <w:r>
        <w:rPr>
          <w:rFonts w:ascii="Franklin Gothic Book" w:hAnsi="Franklin Gothic Book"/>
        </w:rPr>
        <w:t xml:space="preserve">ESC considered </w:t>
      </w:r>
      <w:r w:rsidRPr="006B4779" w:rsidDel="00D3265E">
        <w:rPr>
          <w:rFonts w:ascii="Franklin Gothic Book" w:hAnsi="Franklin Gothic Book"/>
        </w:rPr>
        <w:t xml:space="preserve">it was uncertain if this meant the other </w:t>
      </w:r>
      <w:r>
        <w:rPr>
          <w:rFonts w:ascii="Franklin Gothic Book" w:hAnsi="Franklin Gothic Book"/>
        </w:rPr>
        <w:t xml:space="preserve">5.9 out of the 11.8 </w:t>
      </w:r>
      <w:r w:rsidRPr="006B4779" w:rsidDel="00D3265E">
        <w:rPr>
          <w:rFonts w:ascii="Franklin Gothic Book" w:hAnsi="Franklin Gothic Book"/>
        </w:rPr>
        <w:t xml:space="preserve">with </w:t>
      </w:r>
      <w:proofErr w:type="spellStart"/>
      <w:r w:rsidRPr="006B4779" w:rsidDel="00D3265E">
        <w:rPr>
          <w:rFonts w:ascii="Franklin Gothic Book" w:hAnsi="Franklin Gothic Book"/>
        </w:rPr>
        <w:t>pseudodeficiency</w:t>
      </w:r>
      <w:proofErr w:type="spellEnd"/>
      <w:r w:rsidRPr="006B4779" w:rsidDel="00D3265E">
        <w:rPr>
          <w:rFonts w:ascii="Franklin Gothic Book" w:hAnsi="Franklin Gothic Book"/>
        </w:rPr>
        <w:t xml:space="preserve"> variants would not be ruled out from having the condition, which means they are not actually </w:t>
      </w:r>
      <w:r w:rsidRPr="006B4779">
        <w:rPr>
          <w:rFonts w:ascii="Franklin Gothic Book" w:hAnsi="Franklin Gothic Book"/>
        </w:rPr>
        <w:t>FP</w:t>
      </w:r>
    </w:p>
    <w:p w14:paraId="1E34ABFA" w14:textId="77777777" w:rsidR="00ED5CB7" w:rsidRPr="00D3265E" w:rsidRDefault="00ED5CB7" w:rsidP="00ED5CB7">
      <w:pPr>
        <w:pStyle w:val="Dash"/>
      </w:pPr>
      <w:r>
        <w:rPr>
          <w:rFonts w:ascii="Franklin Gothic Book" w:hAnsi="Franklin Gothic Book"/>
        </w:rPr>
        <w:t xml:space="preserve">20.1 </w:t>
      </w:r>
      <w:r w:rsidRPr="004B4694">
        <w:rPr>
          <w:rFonts w:ascii="Franklin Gothic Book" w:hAnsi="Franklin Gothic Book"/>
        </w:rPr>
        <w:t>would be carriers. ESC noted that such individuals are not really FPs and queried whether the carriers would be reported</w:t>
      </w:r>
      <w:r>
        <w:rPr>
          <w:rFonts w:ascii="Franklin Gothic Book" w:hAnsi="Franklin Gothic Book"/>
        </w:rPr>
        <w:t>,</w:t>
      </w:r>
      <w:r w:rsidRPr="004B4694">
        <w:rPr>
          <w:rFonts w:ascii="Franklin Gothic Book" w:hAnsi="Franklin Gothic Book"/>
        </w:rPr>
        <w:t xml:space="preserve"> and whether they would all be carriers for a pathogenic/likely pathogenic variant</w:t>
      </w:r>
      <w:r>
        <w:rPr>
          <w:rFonts w:ascii="Franklin Gothic Book" w:hAnsi="Franklin Gothic Book"/>
        </w:rPr>
        <w:t xml:space="preserve"> (or whether number also includes carriers of VUSs)</w:t>
      </w:r>
      <w:r w:rsidRPr="004B4694">
        <w:rPr>
          <w:rFonts w:ascii="Franklin Gothic Book" w:hAnsi="Franklin Gothic Book"/>
        </w:rPr>
        <w:t xml:space="preserve">. </w:t>
      </w:r>
    </w:p>
    <w:p w14:paraId="65B654D5" w14:textId="77777777" w:rsidR="00ED5CB7" w:rsidRPr="00D3265E" w:rsidRDefault="00ED5CB7" w:rsidP="002739C5">
      <w:pPr>
        <w:pStyle w:val="Dash"/>
        <w:spacing w:after="120"/>
        <w:ind w:left="714" w:hanging="357"/>
      </w:pPr>
      <w:r>
        <w:rPr>
          <w:rFonts w:ascii="Franklin Gothic Book" w:hAnsi="Franklin Gothic Book"/>
        </w:rPr>
        <w:t xml:space="preserve">15.2 </w:t>
      </w:r>
      <w:r w:rsidRPr="004B4694">
        <w:rPr>
          <w:rFonts w:ascii="Franklin Gothic Book" w:hAnsi="Franklin Gothic Book"/>
        </w:rPr>
        <w:t>with no</w:t>
      </w:r>
      <w:r w:rsidRPr="6983B9F2">
        <w:rPr>
          <w:rFonts w:ascii="Franklin Gothic Book" w:hAnsi="Franklin Gothic Book"/>
        </w:rPr>
        <w:t xml:space="preserve"> known</w:t>
      </w:r>
      <w:r w:rsidRPr="004B4694">
        <w:rPr>
          <w:rFonts w:ascii="Franklin Gothic Book" w:hAnsi="Franklin Gothic Book"/>
        </w:rPr>
        <w:t xml:space="preserve"> GSD II variant found. ESC noted that these might not really be FPs if developing the condition in the future was still possible. ESC questioned if this result would be more likely for babies with non-European ancestry (as VUS are more common in people with non-European ancestry</w:t>
      </w:r>
      <w:r>
        <w:rPr>
          <w:rFonts w:ascii="Franklin Gothic Book" w:hAnsi="Franklin Gothic Book"/>
        </w:rPr>
        <w:t xml:space="preserve"> </w:t>
      </w:r>
      <w:r w:rsidRPr="00BA705A">
        <w:rPr>
          <w:rFonts w:ascii="Franklin Gothic Book" w:hAnsi="Franklin Gothic Book"/>
        </w:rPr>
        <w:t>due to underrepresentation in genetic databases</w:t>
      </w:r>
      <w:r w:rsidRPr="004B4694">
        <w:rPr>
          <w:rFonts w:ascii="Franklin Gothic Book" w:hAnsi="Franklin Gothic Book"/>
        </w:rPr>
        <w:t xml:space="preserve">). ESC considered the distinction between no </w:t>
      </w:r>
      <w:r w:rsidRPr="6983B9F2">
        <w:rPr>
          <w:rFonts w:ascii="Franklin Gothic Book" w:hAnsi="Franklin Gothic Book"/>
        </w:rPr>
        <w:t xml:space="preserve">known </w:t>
      </w:r>
      <w:r w:rsidRPr="004B4694">
        <w:rPr>
          <w:rFonts w:ascii="Franklin Gothic Book" w:hAnsi="Franklin Gothic Book"/>
        </w:rPr>
        <w:t>variant found vs LOGSD II to be unclear, and it was uncertain how these infants would be clinically managed.</w:t>
      </w:r>
    </w:p>
    <w:p w14:paraId="4820E8B5" w14:textId="77777777" w:rsidR="00ED5CB7" w:rsidRDefault="00ED5CB7" w:rsidP="00ED5CB7">
      <w:pPr>
        <w:pStyle w:val="BodyText"/>
      </w:pPr>
      <w:r w:rsidRPr="02E2EE7D">
        <w:t xml:space="preserve">ESC </w:t>
      </w:r>
      <w:r>
        <w:t>considered</w:t>
      </w:r>
      <w:r w:rsidRPr="02E2EE7D">
        <w:t xml:space="preserve"> that, based on this analysis,</w:t>
      </w:r>
      <w:r>
        <w:t xml:space="preserve"> out of </w:t>
      </w:r>
      <w:r w:rsidRPr="000A6F60">
        <w:t>30</w:t>
      </w:r>
      <w:r>
        <w:t>4</w:t>
      </w:r>
      <w:r w:rsidRPr="000A6F60">
        <w:t>,</w:t>
      </w:r>
      <w:r>
        <w:t xml:space="preserve">655 newborns screened annually, fewer </w:t>
      </w:r>
      <w:r w:rsidRPr="02E2EE7D">
        <w:t xml:space="preserve">than </w:t>
      </w:r>
      <w:r>
        <w:t>6 individuals</w:t>
      </w:r>
      <w:r w:rsidRPr="02E2EE7D">
        <w:t xml:space="preserve"> </w:t>
      </w:r>
      <w:r w:rsidRPr="00717A75">
        <w:t>(1 with IOGSD II, 4.8 with LOGSD II)</w:t>
      </w:r>
      <w:r w:rsidRPr="02E2EE7D">
        <w:t xml:space="preserve"> are likely to benefit from NBS early diagnosis and treatment</w:t>
      </w:r>
      <w:r>
        <w:t>. ESC considered that</w:t>
      </w:r>
      <w:r w:rsidRPr="02E2EE7D">
        <w:t xml:space="preserve"> more than </w:t>
      </w:r>
      <w:r>
        <w:t xml:space="preserve">4 people </w:t>
      </w:r>
      <w:r w:rsidRPr="02E2EE7D">
        <w:t>are likely to be harmed through being labelled as having a condition that will likely never be symptomatic or only causes mild symptoms</w:t>
      </w:r>
      <w:r>
        <w:t xml:space="preserve">. This </w:t>
      </w:r>
      <w:proofErr w:type="gramStart"/>
      <w:r>
        <w:t>was based on the assumption</w:t>
      </w:r>
      <w:proofErr w:type="gramEnd"/>
      <w:r w:rsidRPr="02E2EE7D">
        <w:t xml:space="preserve"> that </w:t>
      </w:r>
      <w:r>
        <w:t xml:space="preserve">only half of “at risk for LOGSD II” </w:t>
      </w:r>
      <w:r w:rsidRPr="02E2EE7D">
        <w:t xml:space="preserve">cases would eventually become symptomatic based on current </w:t>
      </w:r>
      <w:r>
        <w:t xml:space="preserve">GSD II </w:t>
      </w:r>
      <w:r w:rsidRPr="02E2EE7D">
        <w:t xml:space="preserve">incidence. In addition, ESC considered that </w:t>
      </w:r>
      <w:r>
        <w:t>more than 47</w:t>
      </w:r>
      <w:r w:rsidRPr="02E2EE7D">
        <w:t xml:space="preserve"> </w:t>
      </w:r>
      <w:r>
        <w:t>individuals</w:t>
      </w:r>
      <w:r w:rsidRPr="02E2EE7D">
        <w:t xml:space="preserve"> and their families </w:t>
      </w:r>
      <w:r>
        <w:t>would</w:t>
      </w:r>
      <w:r w:rsidRPr="02E2EE7D">
        <w:t xml:space="preserve"> likely experience net harm through unnecessary worry, clinical visits and tests. It is also unclear how many of these </w:t>
      </w:r>
      <w:r>
        <w:t>individuals</w:t>
      </w:r>
      <w:r w:rsidRPr="02E2EE7D">
        <w:t xml:space="preserve"> would be managed clinically over the long term. ESC considered it important to </w:t>
      </w:r>
      <w:r w:rsidRPr="0F4ACA85">
        <w:t xml:space="preserve">confirm </w:t>
      </w:r>
      <w:r>
        <w:t>whether these different subgroups can be distinguished from each other</w:t>
      </w:r>
      <w:r w:rsidRPr="02E2EE7D">
        <w:t>, particularly th</w:t>
      </w:r>
      <w:r>
        <w:t>os</w:t>
      </w:r>
      <w:r w:rsidRPr="02E2EE7D">
        <w:t xml:space="preserve">e </w:t>
      </w:r>
      <w:r>
        <w:t xml:space="preserve">at risk for </w:t>
      </w:r>
      <w:r w:rsidRPr="02E2EE7D">
        <w:t xml:space="preserve">LOGSD II, </w:t>
      </w:r>
      <w:proofErr w:type="spellStart"/>
      <w:r w:rsidRPr="02E2EE7D">
        <w:t>pseudodeficiency</w:t>
      </w:r>
      <w:proofErr w:type="spellEnd"/>
      <w:r w:rsidRPr="02E2EE7D">
        <w:t xml:space="preserve">, carriers and no GSD II cases. </w:t>
      </w:r>
    </w:p>
    <w:p w14:paraId="318C4950" w14:textId="77777777" w:rsidR="00ED5CB7" w:rsidRDefault="00ED5CB7" w:rsidP="00ED5CB7">
      <w:pPr>
        <w:pStyle w:val="BodyText"/>
      </w:pPr>
      <w:r>
        <w:t xml:space="preserve">Overall, ESC agreed with the clinical claim that NBS for GSD II has </w:t>
      </w:r>
      <w:r w:rsidRPr="00A21A6B">
        <w:rPr>
          <w:lang w:val="en-US"/>
        </w:rPr>
        <w:t>superior effectiveness</w:t>
      </w:r>
      <w:r>
        <w:rPr>
          <w:lang w:val="en-US"/>
        </w:rPr>
        <w:t xml:space="preserve"> and </w:t>
      </w:r>
      <w:r w:rsidRPr="00A21A6B">
        <w:rPr>
          <w:lang w:val="en-US"/>
        </w:rPr>
        <w:t>noninferior safety</w:t>
      </w:r>
      <w:r>
        <w:rPr>
          <w:lang w:val="en-US"/>
        </w:rPr>
        <w:t xml:space="preserve"> for the IOGSD</w:t>
      </w:r>
      <w:r w:rsidRPr="1D15C065">
        <w:rPr>
          <w:lang w:val="en-US"/>
        </w:rPr>
        <w:t xml:space="preserve"> </w:t>
      </w:r>
      <w:r>
        <w:rPr>
          <w:lang w:val="en-US"/>
        </w:rPr>
        <w:t xml:space="preserve">II cases. However, for individuals at risk for LOGSD II, ESC concluded that clinical effectiveness is potentially superior, while safety may be inferior compared to no screening. </w:t>
      </w:r>
    </w:p>
    <w:p w14:paraId="6DE54891" w14:textId="18ECAABB" w:rsidR="00ED5CB7" w:rsidRPr="000B42DA" w:rsidRDefault="00ED5CB7" w:rsidP="00ED5CB7">
      <w:pPr>
        <w:pStyle w:val="BodyText"/>
        <w:rPr>
          <w:rStyle w:val="Strong"/>
          <w:b w:val="0"/>
          <w:bCs w:val="0"/>
        </w:rPr>
      </w:pPr>
      <w:r>
        <w:rPr>
          <w:rStyle w:val="Strong"/>
          <w:b w:val="0"/>
          <w:bCs w:val="0"/>
        </w:rPr>
        <w:t xml:space="preserve">For the </w:t>
      </w:r>
      <w:r w:rsidRPr="00424CE6">
        <w:rPr>
          <w:lang w:val="en-US"/>
        </w:rPr>
        <w:t>the relevant ethical (incl</w:t>
      </w:r>
      <w:r>
        <w:rPr>
          <w:lang w:val="en-US"/>
        </w:rPr>
        <w:t>uding</w:t>
      </w:r>
      <w:r w:rsidRPr="00424CE6">
        <w:rPr>
          <w:lang w:val="en-US"/>
        </w:rPr>
        <w:t xml:space="preserve"> equity), legal, social or </w:t>
      </w:r>
      <w:proofErr w:type="spellStart"/>
      <w:r w:rsidRPr="00424CE6">
        <w:rPr>
          <w:lang w:val="en-US"/>
        </w:rPr>
        <w:t>organisational</w:t>
      </w:r>
      <w:proofErr w:type="spellEnd"/>
      <w:r w:rsidRPr="00424CE6">
        <w:rPr>
          <w:lang w:val="en-US"/>
        </w:rPr>
        <w:t xml:space="preserve"> aspects specific to screening for </w:t>
      </w:r>
      <w:r>
        <w:rPr>
          <w:lang w:val="en-US"/>
        </w:rPr>
        <w:t xml:space="preserve">GSD II, </w:t>
      </w:r>
      <w:r w:rsidRPr="274351F7">
        <w:rPr>
          <w:lang w:val="en-US"/>
        </w:rPr>
        <w:t>ESC noted</w:t>
      </w:r>
      <w:r>
        <w:rPr>
          <w:lang w:val="en-US"/>
        </w:rPr>
        <w:t xml:space="preserve"> the</w:t>
      </w:r>
      <w:r w:rsidRPr="274351F7">
        <w:rPr>
          <w:lang w:val="en-US"/>
        </w:rPr>
        <w:t xml:space="preserve"> </w:t>
      </w:r>
      <w:r w:rsidRPr="274351F7">
        <w:rPr>
          <w:rFonts w:eastAsia="Franklin Gothic Book" w:cs="Franklin Gothic Book"/>
          <w:szCs w:val="22"/>
          <w:lang w:val="en-US"/>
        </w:rPr>
        <w:t xml:space="preserve">screening, diagnostic and clinical management pathway will identify individuals who are at-risk for late, </w:t>
      </w:r>
      <w:r>
        <w:rPr>
          <w:rFonts w:eastAsia="Franklin Gothic Book" w:cs="Franklin Gothic Book"/>
          <w:szCs w:val="22"/>
          <w:lang w:val="en-US"/>
        </w:rPr>
        <w:t>including</w:t>
      </w:r>
      <w:r w:rsidRPr="274351F7">
        <w:rPr>
          <w:rFonts w:eastAsia="Franklin Gothic Book" w:cs="Franklin Gothic Book"/>
          <w:szCs w:val="22"/>
          <w:lang w:val="en-US"/>
        </w:rPr>
        <w:t xml:space="preserve"> adult-onset disease, </w:t>
      </w:r>
      <w:proofErr w:type="gramStart"/>
      <w:r w:rsidRPr="274351F7">
        <w:rPr>
          <w:rFonts w:eastAsia="Franklin Gothic Book" w:cs="Franklin Gothic Book"/>
          <w:szCs w:val="22"/>
          <w:lang w:val="en-US"/>
        </w:rPr>
        <w:t>and also</w:t>
      </w:r>
      <w:proofErr w:type="gramEnd"/>
      <w:r w:rsidRPr="274351F7">
        <w:rPr>
          <w:rFonts w:eastAsia="Franklin Gothic Book" w:cs="Franklin Gothic Book"/>
          <w:szCs w:val="22"/>
          <w:lang w:val="en-US"/>
        </w:rPr>
        <w:t xml:space="preserve"> cases where disease does not eventuate. </w:t>
      </w:r>
      <w:r w:rsidRPr="274351F7">
        <w:rPr>
          <w:rStyle w:val="Strong"/>
          <w:b w:val="0"/>
          <w:bCs w:val="0"/>
        </w:rPr>
        <w:t>ESC</w:t>
      </w:r>
      <w:r w:rsidRPr="02E2EE7D">
        <w:rPr>
          <w:rStyle w:val="Strong"/>
          <w:b w:val="0"/>
          <w:bCs w:val="0"/>
        </w:rPr>
        <w:t xml:space="preserve"> acknowledged there are benefits of avoiding a diagnostic </w:t>
      </w:r>
      <w:r w:rsidR="00931D42">
        <w:rPr>
          <w:rStyle w:val="Strong"/>
          <w:b w:val="0"/>
          <w:bCs w:val="0"/>
        </w:rPr>
        <w:t xml:space="preserve">delay </w:t>
      </w:r>
      <w:r>
        <w:rPr>
          <w:rStyle w:val="Strong"/>
          <w:b w:val="0"/>
          <w:bCs w:val="0"/>
        </w:rPr>
        <w:t xml:space="preserve">resulting in </w:t>
      </w:r>
      <w:r w:rsidRPr="02E2EE7D">
        <w:rPr>
          <w:rStyle w:val="Strong"/>
          <w:b w:val="0"/>
          <w:bCs w:val="0"/>
        </w:rPr>
        <w:t>delay</w:t>
      </w:r>
      <w:r>
        <w:rPr>
          <w:rStyle w:val="Strong"/>
          <w:b w:val="0"/>
          <w:bCs w:val="0"/>
        </w:rPr>
        <w:t>ing the</w:t>
      </w:r>
      <w:r w:rsidRPr="02E2EE7D">
        <w:rPr>
          <w:rStyle w:val="Strong"/>
          <w:b w:val="0"/>
          <w:bCs w:val="0"/>
        </w:rPr>
        <w:t xml:space="preserve"> diagnosis </w:t>
      </w:r>
      <w:r>
        <w:rPr>
          <w:rStyle w:val="Strong"/>
          <w:b w:val="0"/>
          <w:bCs w:val="0"/>
        </w:rPr>
        <w:t>by 5 years or more</w:t>
      </w:r>
      <w:r w:rsidRPr="02E2EE7D">
        <w:rPr>
          <w:rStyle w:val="Strong"/>
          <w:b w:val="0"/>
          <w:bCs w:val="0"/>
        </w:rPr>
        <w:t>, as commonly occurs for the late onset form</w:t>
      </w:r>
      <w:r>
        <w:rPr>
          <w:rStyle w:val="Strong"/>
          <w:b w:val="0"/>
          <w:bCs w:val="0"/>
        </w:rPr>
        <w:t xml:space="preserve"> of the disease</w:t>
      </w:r>
      <w:r w:rsidRPr="02E2EE7D">
        <w:rPr>
          <w:rStyle w:val="Strong"/>
          <w:b w:val="0"/>
          <w:bCs w:val="0"/>
        </w:rPr>
        <w:t xml:space="preserve">. Other non-health benefits of the NBS include autonomy, reproductive decision-making and an ability to address the diagnosis throughout the person’s life. However, ESC noted potential burdens to families of late-onset patients diagnosed through the NBS, such as </w:t>
      </w:r>
      <w:r>
        <w:rPr>
          <w:rStyle w:val="Strong"/>
          <w:b w:val="0"/>
          <w:bCs w:val="0"/>
        </w:rPr>
        <w:t xml:space="preserve">unnecessary </w:t>
      </w:r>
      <w:r w:rsidRPr="00F330FB">
        <w:t>medicalisation and parental vigilance, s</w:t>
      </w:r>
      <w:r w:rsidRPr="004B4694">
        <w:rPr>
          <w:rStyle w:val="Strong"/>
          <w:b w:val="0"/>
        </w:rPr>
        <w:t>tigma</w:t>
      </w:r>
      <w:r w:rsidRPr="00F330FB">
        <w:rPr>
          <w:rStyle w:val="Strong"/>
        </w:rPr>
        <w:t xml:space="preserve"> </w:t>
      </w:r>
      <w:r w:rsidRPr="02E2EE7D">
        <w:rPr>
          <w:rStyle w:val="Strong"/>
          <w:b w:val="0"/>
          <w:bCs w:val="0"/>
        </w:rPr>
        <w:t>and discrimination, inequity of access to follow-up</w:t>
      </w:r>
      <w:r>
        <w:rPr>
          <w:rStyle w:val="Strong"/>
          <w:b w:val="0"/>
          <w:bCs w:val="0"/>
        </w:rPr>
        <w:t xml:space="preserve"> care,</w:t>
      </w:r>
      <w:r w:rsidRPr="02E2EE7D">
        <w:rPr>
          <w:rStyle w:val="Strong"/>
          <w:b w:val="0"/>
          <w:bCs w:val="0"/>
        </w:rPr>
        <w:t xml:space="preserve"> and financial issues.</w:t>
      </w:r>
    </w:p>
    <w:p w14:paraId="101DDFF6" w14:textId="77777777" w:rsidR="00ED5CB7" w:rsidRDefault="00ED5CB7" w:rsidP="00ED5CB7">
      <w:pPr>
        <w:pStyle w:val="BodyText"/>
      </w:pPr>
      <w:r w:rsidRPr="02E2EE7D">
        <w:rPr>
          <w:rStyle w:val="Strong"/>
          <w:b w:val="0"/>
          <w:bCs w:val="0"/>
        </w:rPr>
        <w:t xml:space="preserve">ESC noted possible </w:t>
      </w:r>
      <w:r w:rsidRPr="146F015D">
        <w:rPr>
          <w:rStyle w:val="Strong"/>
          <w:b w:val="0"/>
          <w:bCs w:val="0"/>
        </w:rPr>
        <w:t xml:space="preserve">higher rate of </w:t>
      </w:r>
      <w:r w:rsidRPr="02E2EE7D">
        <w:rPr>
          <w:rStyle w:val="Strong"/>
          <w:b w:val="0"/>
          <w:bCs w:val="0"/>
        </w:rPr>
        <w:t>survival, ventilation-free survival and motor function improvement associated with higher doses of</w:t>
      </w:r>
      <w:r w:rsidRPr="02E2EE7D">
        <w:rPr>
          <w:rStyle w:val="Strong"/>
        </w:rPr>
        <w:t xml:space="preserve"> </w:t>
      </w:r>
      <w:r w:rsidRPr="02E2EE7D">
        <w:t>ERT</w:t>
      </w:r>
      <w:r>
        <w:t>, compared to the</w:t>
      </w:r>
      <w:r w:rsidRPr="02E2EE7D">
        <w:t xml:space="preserve"> recommended dose for </w:t>
      </w:r>
      <w:proofErr w:type="spellStart"/>
      <w:r>
        <w:t>a</w:t>
      </w:r>
      <w:r w:rsidRPr="00C72D7F">
        <w:t>lglucosidase</w:t>
      </w:r>
      <w:proofErr w:type="spellEnd"/>
      <w:r w:rsidRPr="00C72D7F">
        <w:t xml:space="preserve"> alfa</w:t>
      </w:r>
      <w:r w:rsidRPr="02E2EE7D">
        <w:t xml:space="preserve"> and </w:t>
      </w:r>
      <w:proofErr w:type="spellStart"/>
      <w:r>
        <w:t>a</w:t>
      </w:r>
      <w:r w:rsidRPr="00C72D7F">
        <w:t>valglucosidase</w:t>
      </w:r>
      <w:proofErr w:type="spellEnd"/>
      <w:r w:rsidRPr="00C72D7F">
        <w:t xml:space="preserve"> alfa</w:t>
      </w:r>
      <w:r>
        <w:t>, which</w:t>
      </w:r>
      <w:r w:rsidRPr="02E2EE7D">
        <w:t xml:space="preserve"> is 20 mg/kg administered every other week (</w:t>
      </w:r>
      <w:proofErr w:type="spellStart"/>
      <w:r w:rsidRPr="02E2EE7D">
        <w:t>eow</w:t>
      </w:r>
      <w:proofErr w:type="spellEnd"/>
      <w:r w:rsidRPr="02E2EE7D">
        <w:t>). The Therapeutic Goods Administration (TGA) states that dose escalation to 40 mg/kg/</w:t>
      </w:r>
      <w:proofErr w:type="spellStart"/>
      <w:r w:rsidRPr="02E2EE7D">
        <w:t>eow</w:t>
      </w:r>
      <w:proofErr w:type="spellEnd"/>
      <w:r w:rsidRPr="02E2EE7D">
        <w:t xml:space="preserve"> may be considered for patients with IOGSD II who experience insufficient control. However, </w:t>
      </w:r>
      <w:r>
        <w:t xml:space="preserve">ESC noted </w:t>
      </w:r>
      <w:r w:rsidRPr="02E2EE7D">
        <w:t xml:space="preserve">higher doses of ERT have not been approved for subsidised access in Australia according to </w:t>
      </w:r>
      <w:r>
        <w:t xml:space="preserve">current </w:t>
      </w:r>
      <w:r w:rsidRPr="02E2EE7D">
        <w:t>LSDP criteria</w:t>
      </w:r>
      <w:r>
        <w:t>, and any potential change to LSDP criteria is out of scope of this application</w:t>
      </w:r>
      <w:r w:rsidRPr="02E2EE7D">
        <w:t>.</w:t>
      </w:r>
      <w:r w:rsidRPr="00BA705A">
        <w:t xml:space="preserve"> </w:t>
      </w:r>
      <w:r>
        <w:t>ESC considered that MSAC may wish to refer these and other matters to the LSDP Expert Panel (see discussion below).</w:t>
      </w:r>
    </w:p>
    <w:p w14:paraId="65258874" w14:textId="77777777" w:rsidR="00ED5CB7" w:rsidRDefault="00ED5CB7" w:rsidP="00ED5CB7">
      <w:pPr>
        <w:pStyle w:val="BodyText"/>
      </w:pPr>
      <w:r w:rsidRPr="02E2EE7D">
        <w:rPr>
          <w:rStyle w:val="Strong"/>
          <w:b w:val="0"/>
          <w:bCs w:val="0"/>
        </w:rPr>
        <w:t xml:space="preserve">ESC noted and agreed with many aspects of the pre-ESC response, including that early access to ERT benefits infants with IOGSD II. However, ESC reiterated that this benefit does not extend to all patients diagnosed with LOGSD II, or to those who have FPs or </w:t>
      </w:r>
      <w:proofErr w:type="spellStart"/>
      <w:r w:rsidRPr="02E2EE7D">
        <w:rPr>
          <w:rStyle w:val="Strong"/>
          <w:b w:val="0"/>
          <w:bCs w:val="0"/>
        </w:rPr>
        <w:t>pseudodeficiencies</w:t>
      </w:r>
      <w:proofErr w:type="spellEnd"/>
      <w:r w:rsidRPr="02E2EE7D">
        <w:rPr>
          <w:rStyle w:val="Strong"/>
          <w:b w:val="0"/>
          <w:bCs w:val="0"/>
        </w:rPr>
        <w:t>. ESC also</w:t>
      </w:r>
      <w:r w:rsidRPr="0F4ACA85" w:rsidDel="0078218A">
        <w:rPr>
          <w:rStyle w:val="Strong"/>
          <w:b w:val="0"/>
          <w:bCs w:val="0"/>
        </w:rPr>
        <w:t xml:space="preserve"> </w:t>
      </w:r>
      <w:r w:rsidRPr="0F4ACA85">
        <w:rPr>
          <w:rStyle w:val="Strong"/>
          <w:b w:val="0"/>
          <w:bCs w:val="0"/>
        </w:rPr>
        <w:t>recommended</w:t>
      </w:r>
      <w:r w:rsidRPr="02E2EE7D">
        <w:rPr>
          <w:rStyle w:val="Strong"/>
          <w:b w:val="0"/>
          <w:bCs w:val="0"/>
        </w:rPr>
        <w:t xml:space="preserve"> caution about placing too much emphasis on the Taiwan NBS outcomes, as </w:t>
      </w:r>
      <w:r w:rsidRPr="02E2EE7D">
        <w:t>Taiwan has unique variants and variant frequency, and numerical estimates cannot be applied directly to the Australian context.</w:t>
      </w:r>
    </w:p>
    <w:p w14:paraId="6BF0AACC" w14:textId="77777777" w:rsidR="00ED5CB7" w:rsidRDefault="00ED5CB7" w:rsidP="00ED5CB7">
      <w:pPr>
        <w:pStyle w:val="BodyText"/>
      </w:pPr>
      <w:r>
        <w:t xml:space="preserve">ESC noted </w:t>
      </w:r>
      <w:r w:rsidRPr="005247F0">
        <w:t xml:space="preserve">the pattern of </w:t>
      </w:r>
      <w:r w:rsidRPr="005247F0">
        <w:rPr>
          <w:i/>
          <w:iCs/>
        </w:rPr>
        <w:t>GAA</w:t>
      </w:r>
      <w:r w:rsidRPr="005247F0">
        <w:t xml:space="preserve"> variants in Australian sub-populations may differ from those observed in populations where NBS has been implemented or those reported in the literature and cannot be assumed to be the same.</w:t>
      </w:r>
    </w:p>
    <w:p w14:paraId="0AD53A17" w14:textId="77777777" w:rsidR="00ED5CB7" w:rsidRDefault="00ED5CB7" w:rsidP="00ED5CB7">
      <w:pPr>
        <w:pStyle w:val="BodyText"/>
      </w:pPr>
      <w:r w:rsidRPr="02E2EE7D">
        <w:t xml:space="preserve">ESC noted that </w:t>
      </w:r>
      <w:r>
        <w:t xml:space="preserve">it </w:t>
      </w:r>
      <w:r w:rsidRPr="02E2EE7D">
        <w:t xml:space="preserve">is unclear how VUS will be reported and/or reanalysed and reported on. ESC recalled MSAC’s </w:t>
      </w:r>
      <w:r>
        <w:t xml:space="preserve">previous </w:t>
      </w:r>
      <w:r w:rsidRPr="02E2EE7D">
        <w:t>recommendation</w:t>
      </w:r>
      <w:r>
        <w:t xml:space="preserve"> in application 1775</w:t>
      </w:r>
      <w:r w:rsidRPr="02E2EE7D">
        <w:t xml:space="preserve"> that a national registry be established for the NBS program</w:t>
      </w:r>
      <w:r>
        <w:t>s</w:t>
      </w:r>
      <w:r w:rsidRPr="02E2EE7D">
        <w:t xml:space="preserve">, which would also need to </w:t>
      </w:r>
      <w:r>
        <w:t>incorporate a variant database</w:t>
      </w:r>
      <w:r w:rsidRPr="02E2EE7D">
        <w:t xml:space="preserve"> to </w:t>
      </w:r>
      <w:r>
        <w:t xml:space="preserve">ensure </w:t>
      </w:r>
      <w:r w:rsidRPr="02E2EE7D">
        <w:t xml:space="preserve">follow up </w:t>
      </w:r>
      <w:r>
        <w:t>is able to link uncertain genotypes to phenotype</w:t>
      </w:r>
      <w:r w:rsidRPr="02E2EE7D">
        <w:t xml:space="preserve">. ESC noted that this registry does not yet exist, but that its establishment could help </w:t>
      </w:r>
      <w:r>
        <w:t>address</w:t>
      </w:r>
      <w:r w:rsidRPr="02E2EE7D">
        <w:t xml:space="preserve"> some </w:t>
      </w:r>
      <w:r>
        <w:t xml:space="preserve">clinical and </w:t>
      </w:r>
      <w:r w:rsidRPr="02E2EE7D">
        <w:t>ethical issues with variants and reporting.</w:t>
      </w:r>
      <w:r>
        <w:t xml:space="preserve"> ESC further noted that the pre-test consent process would need to be informed by the approach to variant reporting and the need for longitudinal follow-up in relation to managing the uncertainty of predicting future disease phenotype and severity.</w:t>
      </w:r>
    </w:p>
    <w:p w14:paraId="31224013" w14:textId="0FC7F1A7" w:rsidR="00ED5CB7" w:rsidRDefault="00ED5CB7" w:rsidP="00ED5CB7">
      <w:pPr>
        <w:pStyle w:val="BodyText"/>
        <w:rPr>
          <w:lang w:val="en-US"/>
        </w:rPr>
      </w:pPr>
      <w:r>
        <w:t xml:space="preserve">ESC noted the proposed population for cascade testing following diagnosis of an index case is biological parents and siblings of the index case with two pathogenic/likely pathogenic (P/LP) variants in the </w:t>
      </w:r>
      <w:r w:rsidRPr="004B4694">
        <w:rPr>
          <w:i/>
        </w:rPr>
        <w:t>GAA</w:t>
      </w:r>
      <w:r>
        <w:t xml:space="preserve"> gene (PICO set 2).</w:t>
      </w:r>
      <w:r w:rsidRPr="00D82436">
        <w:rPr>
          <w:rFonts w:asciiTheme="minorHAnsi" w:eastAsiaTheme="minorEastAsia" w:hAnsi="Arial"/>
          <w:color w:val="000000" w:themeColor="text1"/>
          <w:kern w:val="24"/>
          <w:sz w:val="32"/>
          <w:szCs w:val="32"/>
          <w:lang w:val="en-US"/>
        </w:rPr>
        <w:t xml:space="preserve"> </w:t>
      </w:r>
      <w:r>
        <w:rPr>
          <w:lang w:val="en-US"/>
        </w:rPr>
        <w:t xml:space="preserve">ESC noted that, with GSD II being an autosomal </w:t>
      </w:r>
      <w:r w:rsidRPr="00D82436">
        <w:rPr>
          <w:lang w:val="en-US"/>
        </w:rPr>
        <w:t>recessive</w:t>
      </w:r>
      <w:r>
        <w:rPr>
          <w:lang w:val="en-US"/>
        </w:rPr>
        <w:t xml:space="preserve"> condition</w:t>
      </w:r>
      <w:r w:rsidRPr="00D82436">
        <w:rPr>
          <w:lang w:val="en-US"/>
        </w:rPr>
        <w:t xml:space="preserve">, both parents of an index case with two P/LP variants can be assumed to be carriers, with a one in four chance that future offspring would also be affected. </w:t>
      </w:r>
      <w:r>
        <w:rPr>
          <w:lang w:val="en-US"/>
        </w:rPr>
        <w:t>For IOGSD II cases, cascade testing</w:t>
      </w:r>
      <w:r w:rsidRPr="008458CC">
        <w:rPr>
          <w:lang w:val="en-US"/>
        </w:rPr>
        <w:t xml:space="preserve"> may inform </w:t>
      </w:r>
      <w:r>
        <w:rPr>
          <w:lang w:val="en-US"/>
        </w:rPr>
        <w:t xml:space="preserve">biological parents for </w:t>
      </w:r>
      <w:r w:rsidRPr="008458CC">
        <w:rPr>
          <w:lang w:val="en-US"/>
        </w:rPr>
        <w:t>reproductive decision making and planning</w:t>
      </w:r>
      <w:r>
        <w:rPr>
          <w:lang w:val="en-US"/>
        </w:rPr>
        <w:t>. For the o</w:t>
      </w:r>
      <w:r w:rsidRPr="008458CC">
        <w:rPr>
          <w:lang w:val="en-US"/>
        </w:rPr>
        <w:t xml:space="preserve">lder siblings </w:t>
      </w:r>
      <w:r>
        <w:rPr>
          <w:lang w:val="en-US"/>
        </w:rPr>
        <w:t xml:space="preserve">who </w:t>
      </w:r>
      <w:r w:rsidRPr="008458CC">
        <w:rPr>
          <w:lang w:val="en-US"/>
        </w:rPr>
        <w:t>may also be carriers</w:t>
      </w:r>
      <w:r>
        <w:rPr>
          <w:lang w:val="en-US"/>
        </w:rPr>
        <w:t xml:space="preserve">, ESC advised </w:t>
      </w:r>
      <w:r w:rsidRPr="008458CC">
        <w:rPr>
          <w:lang w:val="en-US"/>
        </w:rPr>
        <w:t>genetic counselling and carrier testing upon reaching reproductive age</w:t>
      </w:r>
      <w:r>
        <w:rPr>
          <w:lang w:val="en-US"/>
        </w:rPr>
        <w:t xml:space="preserve"> should be considered</w:t>
      </w:r>
      <w:r w:rsidRPr="008458CC">
        <w:rPr>
          <w:lang w:val="en-US"/>
        </w:rPr>
        <w:t>.</w:t>
      </w:r>
      <w:r>
        <w:rPr>
          <w:lang w:val="en-US"/>
        </w:rPr>
        <w:t xml:space="preserve"> </w:t>
      </w:r>
    </w:p>
    <w:p w14:paraId="0A00E9D4" w14:textId="77777777" w:rsidR="00ED5CB7" w:rsidRPr="008458CC" w:rsidRDefault="00ED5CB7" w:rsidP="00ED5CB7">
      <w:pPr>
        <w:pStyle w:val="BodyText"/>
      </w:pPr>
      <w:r>
        <w:rPr>
          <w:lang w:val="en-US"/>
        </w:rPr>
        <w:t xml:space="preserve">ESC considered for </w:t>
      </w:r>
      <w:r w:rsidRPr="008458CC">
        <w:rPr>
          <w:lang w:val="en-US"/>
        </w:rPr>
        <w:t xml:space="preserve">LOGSD II </w:t>
      </w:r>
      <w:r>
        <w:rPr>
          <w:lang w:val="en-US"/>
        </w:rPr>
        <w:t xml:space="preserve">cases, it may be appropriate to </w:t>
      </w:r>
      <w:r w:rsidRPr="008458CC">
        <w:rPr>
          <w:lang w:val="en-US"/>
        </w:rPr>
        <w:t xml:space="preserve">also offer cascade testing to other members of the broader family and their children, as LOGSD II symptoms may not yet have been observed or diagnosed. </w:t>
      </w:r>
    </w:p>
    <w:p w14:paraId="60172415" w14:textId="77777777" w:rsidR="00ED5CB7" w:rsidRPr="008458CC" w:rsidRDefault="00ED5CB7" w:rsidP="00ED5CB7">
      <w:pPr>
        <w:pStyle w:val="BodyText"/>
      </w:pPr>
      <w:r>
        <w:t xml:space="preserve">ESC noted the evidence presented for cascade testing was based on case series. Overall, ESC agreed that for PICO set 2 for IOGSD II cases the claim is </w:t>
      </w:r>
      <w:r w:rsidRPr="00963A78">
        <w:rPr>
          <w:lang w:val="en-US"/>
        </w:rPr>
        <w:t xml:space="preserve">likely non-inferior effectiveness </w:t>
      </w:r>
      <w:r>
        <w:rPr>
          <w:lang w:val="en-US"/>
        </w:rPr>
        <w:t>and non-inferior</w:t>
      </w:r>
      <w:r w:rsidRPr="00963A78">
        <w:rPr>
          <w:lang w:val="en-US"/>
        </w:rPr>
        <w:t xml:space="preserve"> safety</w:t>
      </w:r>
      <w:r>
        <w:rPr>
          <w:lang w:val="en-US"/>
        </w:rPr>
        <w:t xml:space="preserve">. However, ESC considered that when the index case has LOGSD II the clinical claim is </w:t>
      </w:r>
      <w:r w:rsidRPr="00963A78">
        <w:rPr>
          <w:lang w:val="en-US"/>
        </w:rPr>
        <w:t>potentially superior effectiveness and inferior safety</w:t>
      </w:r>
      <w:r>
        <w:rPr>
          <w:lang w:val="en-US"/>
        </w:rPr>
        <w:t xml:space="preserve">. </w:t>
      </w:r>
    </w:p>
    <w:p w14:paraId="72D03110" w14:textId="0902185F" w:rsidR="00ED5CB7" w:rsidRDefault="00ED5CB7" w:rsidP="00ED5CB7">
      <w:pPr>
        <w:pStyle w:val="BodyText"/>
      </w:pPr>
      <w:r w:rsidRPr="02E2EE7D">
        <w:t xml:space="preserve">ESC considered that the stepped economic evaluation in the DCAR was broadly reliable for MSAC decision-making, and </w:t>
      </w:r>
      <w:r>
        <w:t xml:space="preserve">its stepped approach </w:t>
      </w:r>
      <w:r w:rsidRPr="02E2EE7D">
        <w:t xml:space="preserve">is structurally </w:t>
      </w:r>
      <w:proofErr w:type="gramStart"/>
      <w:r w:rsidRPr="02E2EE7D">
        <w:t>similar to</w:t>
      </w:r>
      <w:proofErr w:type="gramEnd"/>
      <w:r w:rsidRPr="02E2EE7D">
        <w:t xml:space="preserve"> related NBS applications </w:t>
      </w:r>
      <w:r w:rsidRPr="004B4694">
        <w:t>1775</w:t>
      </w:r>
      <w:r w:rsidRPr="02E2EE7D">
        <w:t xml:space="preserve"> </w:t>
      </w:r>
      <w:r>
        <w:t xml:space="preserve">(MPS I) </w:t>
      </w:r>
      <w:r w:rsidRPr="02E2EE7D">
        <w:t xml:space="preserve">and </w:t>
      </w:r>
      <w:r w:rsidRPr="004B4694">
        <w:t>1776</w:t>
      </w:r>
      <w:r>
        <w:t xml:space="preserve"> (MPS II)</w:t>
      </w:r>
      <w:r w:rsidRPr="02E2EE7D">
        <w:t>. The model structure (comparing 100,000 newborns) and time horizon (50 years) were reasonable, as were the validity of model inputs and appropriateness to the Australian setting</w:t>
      </w:r>
      <w:r>
        <w:t>. However,</w:t>
      </w:r>
      <w:r w:rsidRPr="02E2EE7D">
        <w:t xml:space="preserve"> ESC highlighted that the </w:t>
      </w:r>
      <w:r>
        <w:t xml:space="preserve">current approach of accounting for reduced costs from </w:t>
      </w:r>
      <w:r w:rsidRPr="02E2EE7D">
        <w:t xml:space="preserve">multiplexing </w:t>
      </w:r>
      <w:r>
        <w:t>(essentially by dividing the screening cost per sample by three)</w:t>
      </w:r>
      <w:r w:rsidRPr="02E2EE7D">
        <w:t xml:space="preserve"> provides a rough approximation</w:t>
      </w:r>
      <w:r w:rsidRPr="02E2EE7D" w:rsidDel="00D526EE">
        <w:t xml:space="preserve"> only</w:t>
      </w:r>
      <w:r>
        <w:t xml:space="preserve"> of the effect of multiplexing on the cost-effectiveness estimates</w:t>
      </w:r>
      <w:r w:rsidRPr="02E2EE7D">
        <w:t xml:space="preserve">. </w:t>
      </w:r>
      <w:r>
        <w:t>ESC considered that a better approach for taking account of multiplexing would have been to undertake a bundled economic evaluation of screening for all three conditions covered in the three NBS applications before MSAC (</w:t>
      </w:r>
      <w:r w:rsidRPr="00D526EE">
        <w:t>mucopolysaccharidosis Type 1</w:t>
      </w:r>
      <w:r>
        <w:t xml:space="preserve">, </w:t>
      </w:r>
      <w:r w:rsidRPr="00D526EE">
        <w:t xml:space="preserve">mucopolysaccharidosis Type </w:t>
      </w:r>
      <w:r>
        <w:t>2, GSD II) taking account of the joint (shared) incremental costs of screening for the added conditions and the ‘true’ (i.e. not double counted) incremental costs and health increments associated with screening for each condition to derive the Incremental Cost Effectiveness Ratio (ICER) of screening for each condition and the average ICER of screening for all three. ESC also noted that t</w:t>
      </w:r>
      <w:r w:rsidRPr="008B5F63">
        <w:t>he $</w:t>
      </w:r>
      <w:r w:rsidR="00E025B8" w:rsidRPr="00E025B8">
        <w:rPr>
          <w:b/>
          <w:bCs/>
        </w:rPr>
        <w:t>REDACTED</w:t>
      </w:r>
      <w:r w:rsidRPr="008B5F63">
        <w:t xml:space="preserve"> program implementation costs calculated for the financial analysis </w:t>
      </w:r>
      <w:r>
        <w:t>were not included in</w:t>
      </w:r>
      <w:r w:rsidRPr="008B5F63">
        <w:t xml:space="preserve"> the economic evaluations (after adjust</w:t>
      </w:r>
      <w:r>
        <w:t>ing for</w:t>
      </w:r>
      <w:r w:rsidRPr="008B5F63">
        <w:t xml:space="preserve"> the 100,000-member cohort size).</w:t>
      </w:r>
    </w:p>
    <w:p w14:paraId="37F7212F" w14:textId="306DBB05" w:rsidR="00ED5CB7" w:rsidRDefault="00ED5CB7" w:rsidP="00ED5CB7">
      <w:pPr>
        <w:pStyle w:val="BodyText"/>
      </w:pPr>
      <w:r>
        <w:t>ESC considered t</w:t>
      </w:r>
      <w:r w:rsidRPr="02E2EE7D">
        <w:t xml:space="preserve">he model transition probabilities, variables and extrapolation were all reasonable, including the </w:t>
      </w:r>
      <w:r>
        <w:t xml:space="preserve">estimated </w:t>
      </w:r>
      <w:r w:rsidRPr="02E2EE7D">
        <w:t xml:space="preserve">increase in LOGSD II incidence only and the ‘upper bound’ and ‘lower bound’ survival extrapolations. ESC considered the health outcomes and quality of life data to be mostly reasonable, except that sensitivity of </w:t>
      </w:r>
      <w:r>
        <w:t xml:space="preserve">the modelled ICER to </w:t>
      </w:r>
      <w:r w:rsidRPr="02E2EE7D">
        <w:t xml:space="preserve">the trial results </w:t>
      </w:r>
      <w:r>
        <w:t>was</w:t>
      </w:r>
      <w:r w:rsidRPr="02E2EE7D">
        <w:t xml:space="preserve"> not assessed. The health care resource use and costs were mostly reasonable, except </w:t>
      </w:r>
      <w:r>
        <w:t xml:space="preserve">for the omission of the </w:t>
      </w:r>
      <w:r w:rsidRPr="02E2EE7D" w:rsidDel="00D3265E">
        <w:t>o</w:t>
      </w:r>
      <w:r w:rsidRPr="02E2EE7D">
        <w:t xml:space="preserve">ne-off </w:t>
      </w:r>
      <w:r w:rsidR="00E025B8" w:rsidRPr="00E025B8">
        <w:rPr>
          <w:b/>
          <w:bCs/>
        </w:rPr>
        <w:t>REDACTED</w:t>
      </w:r>
      <w:r w:rsidRPr="00524AC3">
        <w:t xml:space="preserve"> program implementation costs</w:t>
      </w:r>
      <w:r w:rsidRPr="02E2EE7D">
        <w:t xml:space="preserve"> </w:t>
      </w:r>
      <w:r>
        <w:t xml:space="preserve">of NBS and the likely underestimate of </w:t>
      </w:r>
      <w:r w:rsidRPr="02E2EE7D">
        <w:t>ERT costs for patients</w:t>
      </w:r>
      <w:r>
        <w:t xml:space="preserve"> identified via NBS</w:t>
      </w:r>
      <w:r w:rsidRPr="02E2EE7D">
        <w:t xml:space="preserve"> who do not have IOGSD II.</w:t>
      </w:r>
      <w:r>
        <w:t xml:space="preserve"> </w:t>
      </w:r>
      <w:r w:rsidRPr="02E2EE7D">
        <w:t>ESC</w:t>
      </w:r>
      <w:r w:rsidRPr="02E2EE7D" w:rsidDel="00875D41">
        <w:t xml:space="preserve"> </w:t>
      </w:r>
      <w:r>
        <w:t>concluded that</w:t>
      </w:r>
      <w:r w:rsidRPr="02E2EE7D">
        <w:t xml:space="preserve"> the model validation </w:t>
      </w:r>
      <w:r>
        <w:t>w</w:t>
      </w:r>
      <w:r w:rsidRPr="02E2EE7D">
        <w:t>as reasonable</w:t>
      </w:r>
      <w:r>
        <w:t xml:space="preserve"> although it would have been preferable if the DCAR also reported Markov traces for the modelled health states</w:t>
      </w:r>
      <w:r w:rsidRPr="02E2EE7D">
        <w:t>.</w:t>
      </w:r>
    </w:p>
    <w:p w14:paraId="1EC0D0FB" w14:textId="77777777" w:rsidR="00ED5CB7" w:rsidRDefault="00ED5CB7" w:rsidP="00ED5CB7">
      <w:pPr>
        <w:pStyle w:val="BodyText"/>
      </w:pPr>
      <w:r w:rsidRPr="02E2EE7D">
        <w:t>ESC noted that the modelled and observed survival curves showed a survival benefit associated with a</w:t>
      </w:r>
      <w:r>
        <w:t xml:space="preserve"> GSD II</w:t>
      </w:r>
      <w:r w:rsidRPr="02E2EE7D">
        <w:t xml:space="preserve"> NBS program</w:t>
      </w:r>
      <w:r>
        <w:t>s</w:t>
      </w:r>
      <w:r w:rsidRPr="02E2EE7D">
        <w:t>, albeit based on low sample sizes. A partitioned survival analysis demonstrated similar ventilation-free survival benefits.</w:t>
      </w:r>
    </w:p>
    <w:p w14:paraId="661DFCE8" w14:textId="4A5E8D64" w:rsidR="00ED5CB7" w:rsidRDefault="00ED5CB7" w:rsidP="00ED5CB7">
      <w:pPr>
        <w:pStyle w:val="BodyText"/>
      </w:pPr>
      <w:r>
        <w:t xml:space="preserve">ESC noted that the health increments captured in the model mostly arise from treating IOGSD II while the health effects from LOGSD II are not quantified </w:t>
      </w:r>
      <w:proofErr w:type="gramStart"/>
      <w:r>
        <w:t>with the exception of</w:t>
      </w:r>
      <w:proofErr w:type="gramEnd"/>
      <w:r>
        <w:t xml:space="preserve"> the reduced disutility of diagnostic </w:t>
      </w:r>
      <w:r w:rsidR="00931D42">
        <w:t xml:space="preserve">delay </w:t>
      </w:r>
      <w:r>
        <w:t>under NBS which had a miniscule impact on health increments. ESC noted that cascade testing also only had a miniscule impact on incremental costs.</w:t>
      </w:r>
      <w:r w:rsidRPr="00D3265E">
        <w:rPr>
          <w:rFonts w:eastAsiaTheme="minorHAnsi" w:cstheme="minorBidi"/>
          <w:color w:val="auto"/>
          <w:szCs w:val="22"/>
          <w:lang w:eastAsia="en-US"/>
        </w:rPr>
        <w:t xml:space="preserve"> </w:t>
      </w:r>
      <w:r>
        <w:rPr>
          <w:rFonts w:eastAsiaTheme="minorHAnsi" w:cstheme="minorBidi"/>
          <w:color w:val="auto"/>
          <w:szCs w:val="22"/>
          <w:lang w:eastAsia="en-US"/>
        </w:rPr>
        <w:t xml:space="preserve">ESC noted that the main </w:t>
      </w:r>
      <w:r>
        <w:t>d</w:t>
      </w:r>
      <w:r w:rsidRPr="00D3265E">
        <w:t>rivers of incremental costs</w:t>
      </w:r>
      <w:r>
        <w:t xml:space="preserve"> in the model</w:t>
      </w:r>
      <w:r w:rsidRPr="00D3265E">
        <w:t xml:space="preserve"> are Tier 1 screening and </w:t>
      </w:r>
      <w:r>
        <w:t>ERT.</w:t>
      </w:r>
    </w:p>
    <w:p w14:paraId="277C3450" w14:textId="28631DC8" w:rsidR="00ED5CB7" w:rsidRDefault="00ED5CB7" w:rsidP="00ED5CB7">
      <w:pPr>
        <w:pStyle w:val="BodyText"/>
      </w:pPr>
      <w:r w:rsidRPr="02E2EE7D">
        <w:t>ESC noted that the ICERs were</w:t>
      </w:r>
      <w:r w:rsidRPr="02E2EE7D" w:rsidDel="00C57CAF">
        <w:t xml:space="preserve"> </w:t>
      </w:r>
      <w:r>
        <w:t>high</w:t>
      </w:r>
      <w:r w:rsidRPr="02E2EE7D">
        <w:t xml:space="preserve"> – the base case ICER</w:t>
      </w:r>
      <w:r>
        <w:t xml:space="preserve"> that</w:t>
      </w:r>
      <w:r w:rsidRPr="02E2EE7D">
        <w:t xml:space="preserve"> </w:t>
      </w:r>
      <w:r>
        <w:t xml:space="preserve">included the test costs for diagnostic </w:t>
      </w:r>
      <w:r w:rsidR="00931D42">
        <w:t xml:space="preserve">delay </w:t>
      </w:r>
      <w:r w:rsidRPr="02E2EE7D">
        <w:t>was $</w:t>
      </w:r>
      <w:r w:rsidR="00E025B8" w:rsidRPr="00E025B8">
        <w:rPr>
          <w:b/>
          <w:bCs/>
        </w:rPr>
        <w:t>REDACTED</w:t>
      </w:r>
      <w:r w:rsidR="00093B2A">
        <w:rPr>
          <w:b/>
          <w:bCs/>
        </w:rPr>
        <w:t xml:space="preserve"> </w:t>
      </w:r>
      <w:r w:rsidRPr="02E2EE7D">
        <w:t>per additional GSD II diagnosis. This ICER increased to $</w:t>
      </w:r>
      <w:r w:rsidR="00E025B8" w:rsidRPr="00E025B8">
        <w:rPr>
          <w:b/>
          <w:bCs/>
        </w:rPr>
        <w:t>REDACTED</w:t>
      </w:r>
      <w:r w:rsidRPr="02E2EE7D">
        <w:t xml:space="preserve"> per additional diagnosis when the annual surveillance and ERT costs were </w:t>
      </w:r>
      <w:proofErr w:type="gramStart"/>
      <w:r>
        <w:t>taken into account</w:t>
      </w:r>
      <w:proofErr w:type="gramEnd"/>
      <w:r w:rsidRPr="02E2EE7D">
        <w:t xml:space="preserve">. The ICER </w:t>
      </w:r>
      <w:r>
        <w:t>per Quality Adjusted Life Year (QALY) was between</w:t>
      </w:r>
      <w:r w:rsidRPr="02E2EE7D">
        <w:t xml:space="preserve"> $</w:t>
      </w:r>
      <w:r w:rsidR="00E025B8" w:rsidRPr="00E025B8">
        <w:rPr>
          <w:b/>
          <w:bCs/>
        </w:rPr>
        <w:t>REDACTED</w:t>
      </w:r>
      <w:r w:rsidRPr="02E2EE7D">
        <w:t xml:space="preserve"> </w:t>
      </w:r>
      <w:r>
        <w:t>and</w:t>
      </w:r>
      <w:r w:rsidRPr="02E2EE7D">
        <w:t xml:space="preserve"> $</w:t>
      </w:r>
      <w:r w:rsidR="00E025B8" w:rsidRPr="00E025B8">
        <w:rPr>
          <w:b/>
          <w:bCs/>
        </w:rPr>
        <w:t>REDACTED</w:t>
      </w:r>
      <w:r w:rsidRPr="02E2EE7D">
        <w:t xml:space="preserve"> when the discounted survival and quality of life gains and prolonged ERT costs were included (mostly driven by ERT costs). ESC noted that most modelled incremental health gains ar</w:t>
      </w:r>
      <w:r>
        <w:t>o</w:t>
      </w:r>
      <w:r w:rsidRPr="02E2EE7D">
        <w:t>se from survival gains rather than quality of life gains.</w:t>
      </w:r>
    </w:p>
    <w:p w14:paraId="62EFA758" w14:textId="49B018B9" w:rsidR="00ED5CB7" w:rsidRDefault="00ED5CB7" w:rsidP="00ED5CB7">
      <w:pPr>
        <w:pStyle w:val="BodyText"/>
      </w:pPr>
      <w:r w:rsidRPr="02E2EE7D">
        <w:t>ESC noted that, if using a multiplex kit</w:t>
      </w:r>
      <w:r>
        <w:t xml:space="preserve"> such as </w:t>
      </w:r>
      <w:r w:rsidRPr="004D630C">
        <w:t xml:space="preserve">the </w:t>
      </w:r>
      <w:r w:rsidR="00606312">
        <w:rPr>
          <w:rFonts w:cs="Calibri"/>
          <w:b/>
          <w:bCs/>
        </w:rPr>
        <w:t>REDACTED</w:t>
      </w:r>
      <w:r w:rsidRPr="004D630C">
        <w:t xml:space="preserve"> kit (which can screen for multiple conditions, including those </w:t>
      </w:r>
      <w:r>
        <w:t>covered by</w:t>
      </w:r>
      <w:r w:rsidRPr="004D630C">
        <w:t xml:space="preserve"> applications 1775 and 1776), the screening costs and hence resulting ICERs decreased. However, using a </w:t>
      </w:r>
      <w:proofErr w:type="spellStart"/>
      <w:r w:rsidRPr="004D630C">
        <w:t>Revvity</w:t>
      </w:r>
      <w:proofErr w:type="spellEnd"/>
      <w:r w:rsidRPr="004D630C">
        <w:t xml:space="preserve"> </w:t>
      </w:r>
      <w:proofErr w:type="spellStart"/>
      <w:r w:rsidRPr="004D630C">
        <w:t>NeoLSD</w:t>
      </w:r>
      <w:proofErr w:type="spellEnd"/>
      <w:r w:rsidRPr="006404F8">
        <w:t>™</w:t>
      </w:r>
      <w:r w:rsidRPr="004D630C">
        <w:t xml:space="preserve"> MS/MS multiplex kit</w:t>
      </w:r>
      <w:r w:rsidRPr="004D630C" w:rsidDel="00740CBA">
        <w:t xml:space="preserve"> </w:t>
      </w:r>
      <w:r w:rsidRPr="004D630C">
        <w:t xml:space="preserve">increased the costs (and ICERs) as it is significantly more expensive than the </w:t>
      </w:r>
      <w:r w:rsidR="00606312">
        <w:rPr>
          <w:rFonts w:cs="Calibri"/>
          <w:b/>
          <w:bCs/>
        </w:rPr>
        <w:t>REDACTED</w:t>
      </w:r>
      <w:r w:rsidRPr="02E2EE7D">
        <w:t xml:space="preserve"> multiplex kit.</w:t>
      </w:r>
    </w:p>
    <w:p w14:paraId="1EF3C359" w14:textId="7D7A3D12" w:rsidR="00ED5CB7" w:rsidRDefault="00ED5CB7" w:rsidP="00ED5CB7">
      <w:pPr>
        <w:pStyle w:val="BodyText"/>
      </w:pPr>
      <w:r>
        <w:t>ESC noted the pre-ESC response’s observation that the DCAR’s costing of a</w:t>
      </w:r>
      <w:r w:rsidRPr="000A6E99">
        <w:t>nnual surveillance of LOGSD</w:t>
      </w:r>
      <w:r>
        <w:t> </w:t>
      </w:r>
      <w:r w:rsidRPr="000A6E99">
        <w:t>II cases</w:t>
      </w:r>
      <w:r>
        <w:t xml:space="preserve"> is insufficient, and that </w:t>
      </w:r>
      <w:r w:rsidRPr="000A6E99">
        <w:t xml:space="preserve">most centres do not have multidisciplinary teams </w:t>
      </w:r>
      <w:r>
        <w:t>or</w:t>
      </w:r>
      <w:r w:rsidRPr="000A6E99">
        <w:t xml:space="preserve"> access to support staff</w:t>
      </w:r>
      <w:r>
        <w:t>. ESC a</w:t>
      </w:r>
      <w:r w:rsidRPr="000A6E99">
        <w:t>cknowledge</w:t>
      </w:r>
      <w:r>
        <w:t>d</w:t>
      </w:r>
      <w:r w:rsidRPr="000A6E99">
        <w:t xml:space="preserve"> that the cost of intensive surveillance of symptomatic </w:t>
      </w:r>
      <w:r>
        <w:t xml:space="preserve">cases </w:t>
      </w:r>
      <w:r w:rsidRPr="000A6E99">
        <w:t xml:space="preserve">diagnosed </w:t>
      </w:r>
      <w:r>
        <w:t>via NBS</w:t>
      </w:r>
      <w:r w:rsidRPr="000A6E99">
        <w:t xml:space="preserve"> </w:t>
      </w:r>
      <w:r>
        <w:t>(</w:t>
      </w:r>
      <w:r w:rsidRPr="000A6E99">
        <w:t xml:space="preserve">that occurs during the period that </w:t>
      </w:r>
      <w:r>
        <w:t xml:space="preserve">cases without a diagnosis via </w:t>
      </w:r>
      <w:r w:rsidRPr="000A6E99">
        <w:t xml:space="preserve">NBS are in a diagnostic </w:t>
      </w:r>
      <w:r w:rsidR="00931D42">
        <w:t>delay</w:t>
      </w:r>
      <w:r>
        <w:t>)</w:t>
      </w:r>
      <w:r w:rsidRPr="000A6E99">
        <w:t xml:space="preserve"> will contribute to an incremental cost difference between the modelled arms. </w:t>
      </w:r>
      <w:r>
        <w:t xml:space="preserve">ESC noted that the rejoinder presented a revised model that included these </w:t>
      </w:r>
      <w:proofErr w:type="gramStart"/>
      <w:r>
        <w:t>aforementioned increased</w:t>
      </w:r>
      <w:proofErr w:type="gramEnd"/>
      <w:r>
        <w:t xml:space="preserve"> costs of surveillance of symptomatic cases: this increased the ICER</w:t>
      </w:r>
      <w:r w:rsidRPr="000A6E99">
        <w:t xml:space="preserve"> to $</w:t>
      </w:r>
      <w:r w:rsidR="00E025B8" w:rsidRPr="00E025B8">
        <w:rPr>
          <w:b/>
          <w:bCs/>
        </w:rPr>
        <w:t>REDACTED</w:t>
      </w:r>
      <w:r>
        <w:t xml:space="preserve"> per quality-adjusted life year.</w:t>
      </w:r>
    </w:p>
    <w:p w14:paraId="0899E1C9" w14:textId="56D18918" w:rsidR="00ED5CB7" w:rsidRDefault="00ED5CB7" w:rsidP="00ED5CB7">
      <w:pPr>
        <w:pStyle w:val="BodyText"/>
      </w:pPr>
      <w:r>
        <w:t xml:space="preserve">ESC noted that the </w:t>
      </w:r>
      <w:r w:rsidRPr="00524AC3">
        <w:t xml:space="preserve">greatest uncertainty in generating the ICER/QALY estimate is the hazard ratio of overall survival from the Taiwan cohort comparison. </w:t>
      </w:r>
      <w:r>
        <w:t>As noted previously, t</w:t>
      </w:r>
      <w:r w:rsidRPr="00524AC3">
        <w:t xml:space="preserve">his was not assessed </w:t>
      </w:r>
      <w:r>
        <w:t xml:space="preserve">in the sensitivity analyses </w:t>
      </w:r>
      <w:r w:rsidRPr="00524AC3">
        <w:t xml:space="preserve">because the extent of </w:t>
      </w:r>
      <w:r>
        <w:t xml:space="preserve">this </w:t>
      </w:r>
      <w:r w:rsidRPr="00524AC3">
        <w:t>uncertainty is not straightforward to quantify</w:t>
      </w:r>
      <w:r>
        <w:t>.</w:t>
      </w:r>
      <w:r w:rsidRPr="00524AC3">
        <w:rPr>
          <w:rFonts w:eastAsiaTheme="minorHAnsi" w:cstheme="minorBidi"/>
          <w:color w:val="auto"/>
          <w:szCs w:val="22"/>
          <w:lang w:eastAsia="en-US"/>
        </w:rPr>
        <w:t xml:space="preserve"> </w:t>
      </w:r>
      <w:r>
        <w:rPr>
          <w:rFonts w:eastAsiaTheme="minorHAnsi" w:cstheme="minorBidi"/>
          <w:color w:val="auto"/>
          <w:szCs w:val="22"/>
          <w:lang w:eastAsia="en-US"/>
        </w:rPr>
        <w:t xml:space="preserve">ESC also noted that </w:t>
      </w:r>
      <w:r>
        <w:t>t</w:t>
      </w:r>
      <w:r w:rsidRPr="00524AC3">
        <w:t xml:space="preserve">he greatest cost uncertainty in </w:t>
      </w:r>
      <w:r>
        <w:t xml:space="preserve">the model is the </w:t>
      </w:r>
      <w:r w:rsidRPr="00524AC3">
        <w:t xml:space="preserve">best-case assumption that </w:t>
      </w:r>
      <w:r>
        <w:t xml:space="preserve">no NBS-identified patient with at-risk LOGSD II would commence </w:t>
      </w:r>
      <w:r w:rsidRPr="00524AC3">
        <w:t xml:space="preserve">ERT until symptoms emerge. However, </w:t>
      </w:r>
      <w:r>
        <w:t xml:space="preserve">ESC noted that </w:t>
      </w:r>
      <w:r w:rsidRPr="00524AC3">
        <w:t xml:space="preserve">the second scenario in the Rejoinder </w:t>
      </w:r>
      <w:r>
        <w:t>estimated the financial implications of a highest cost assumption that all NBS patients with at risk LOGSD II would commence ERT at birth</w:t>
      </w:r>
      <w:r w:rsidRPr="00CA013E">
        <w:fldChar w:fldCharType="begin"/>
      </w:r>
      <w:r w:rsidRPr="00CA013E">
        <w:instrText xml:space="preserve"> REF _Ref191567346 \h </w:instrText>
      </w:r>
      <w:r w:rsidRPr="00DF68C6">
        <w:instrText xml:space="preserve"> \* MERGEFORMAT </w:instrText>
      </w:r>
      <w:r w:rsidRPr="00CA013E">
        <w:fldChar w:fldCharType="end"/>
      </w:r>
      <w:r>
        <w:t xml:space="preserve">. </w:t>
      </w:r>
    </w:p>
    <w:p w14:paraId="12779531" w14:textId="77777777" w:rsidR="00ED5CB7" w:rsidRDefault="00ED5CB7" w:rsidP="00ED5CB7">
      <w:pPr>
        <w:pStyle w:val="BodyText"/>
      </w:pPr>
      <w:r w:rsidRPr="02E2EE7D">
        <w:t xml:space="preserve">ESC concluded that the ICERs are </w:t>
      </w:r>
      <w:r>
        <w:t>very</w:t>
      </w:r>
      <w:r w:rsidRPr="02E2EE7D">
        <w:t xml:space="preserve"> </w:t>
      </w:r>
      <w:proofErr w:type="gramStart"/>
      <w:r w:rsidRPr="02E2EE7D">
        <w:t xml:space="preserve">high, </w:t>
      </w:r>
      <w:bookmarkStart w:id="81" w:name="_Hlk192436658"/>
      <w:r>
        <w:t>but</w:t>
      </w:r>
      <w:proofErr w:type="gramEnd"/>
      <w:r>
        <w:t xml:space="preserve"> acknowledged this </w:t>
      </w:r>
      <w:proofErr w:type="gramStart"/>
      <w:r>
        <w:t>is a reflection of</w:t>
      </w:r>
      <w:proofErr w:type="gramEnd"/>
      <w:r>
        <w:t xml:space="preserve"> the rarity of the condition being screened.</w:t>
      </w:r>
      <w:bookmarkEnd w:id="81"/>
      <w:r>
        <w:t xml:space="preserve"> ESC advised that </w:t>
      </w:r>
      <w:r w:rsidRPr="02E2EE7D">
        <w:t xml:space="preserve">MSAC may </w:t>
      </w:r>
      <w:r>
        <w:t>wish</w:t>
      </w:r>
      <w:r w:rsidRPr="02E2EE7D">
        <w:t xml:space="preserve"> to consider </w:t>
      </w:r>
      <w:r>
        <w:t>the ICERs accepted by the</w:t>
      </w:r>
      <w:r w:rsidRPr="02E2EE7D">
        <w:t xml:space="preserve"> LSDP Expert Panel to provide context for ICERs for rare diseases</w:t>
      </w:r>
      <w:r>
        <w:t xml:space="preserve">. </w:t>
      </w:r>
      <w:bookmarkStart w:id="82" w:name="_Hlk192436747"/>
      <w:r>
        <w:t xml:space="preserve">ESC further noted that </w:t>
      </w:r>
      <w:bookmarkEnd w:id="82"/>
      <w:r w:rsidRPr="009873B4">
        <w:t xml:space="preserve">MSAC should </w:t>
      </w:r>
      <w:r>
        <w:t xml:space="preserve">also </w:t>
      </w:r>
      <w:r w:rsidRPr="009873B4">
        <w:t>be aware that the rule of rescue, which influences LSDP decision-making, is driven by small numbers of identifiable individuals in extremely severe circumstances, which may apply to some of the diagnosed cases, but not to all those screened.</w:t>
      </w:r>
    </w:p>
    <w:p w14:paraId="10A342FC" w14:textId="0B8836FC" w:rsidR="00ED5CB7" w:rsidRDefault="00ED5CB7" w:rsidP="00ED5CB7">
      <w:pPr>
        <w:pStyle w:val="BodyText"/>
      </w:pPr>
      <w:r>
        <w:t xml:space="preserve">ESC noted the applicant’s </w:t>
      </w:r>
      <w:r w:rsidRPr="00713F35">
        <w:t xml:space="preserve">request that ESC and MSAC not directly compare the ICER per </w:t>
      </w:r>
      <w:r>
        <w:t xml:space="preserve">QALY </w:t>
      </w:r>
      <w:r w:rsidRPr="00713F35">
        <w:t>of previous NBS applications, due to the high uncertainty of ICER calculations</w:t>
      </w:r>
      <w:r>
        <w:t>. However, ESC considered that the ‘</w:t>
      </w:r>
      <w:r w:rsidRPr="00713F35">
        <w:t>exploratory</w:t>
      </w:r>
      <w:r>
        <w:t xml:space="preserve">’ analyses reported in the DCAR </w:t>
      </w:r>
      <w:r w:rsidRPr="00713F35">
        <w:t>gives MSAC a basis for comparison with these other applications whilst being mindful of their uncertainties</w:t>
      </w:r>
      <w:r>
        <w:t xml:space="preserve">. While ESC acknowledged that the </w:t>
      </w:r>
      <w:r w:rsidRPr="00713F35">
        <w:t>CEA</w:t>
      </w:r>
      <w:r>
        <w:t xml:space="preserve"> </w:t>
      </w:r>
      <w:r w:rsidRPr="02E2EE7D">
        <w:t>per additional GSD II diagnosis</w:t>
      </w:r>
      <w:r w:rsidRPr="00713F35">
        <w:t xml:space="preserve"> was primarily used as the base case analysis due to high uncertainty in the comparative data for survival and quality of life benefits of NBS for GSD</w:t>
      </w:r>
      <w:r>
        <w:t xml:space="preserve"> II, it considered that even the base case analysis was difficult to interpret. ESC acknowledged the applicant’s argument that although the </w:t>
      </w:r>
      <w:r w:rsidRPr="00713F35">
        <w:t>monitoring</w:t>
      </w:r>
      <w:r>
        <w:t xml:space="preserve"> of individuals identified with LOGSD II </w:t>
      </w:r>
      <w:r w:rsidRPr="00713F35">
        <w:t xml:space="preserve">is an added cost to the health system, it offers several benefits that are difficult to quantify including avoidance of the diagnostic </w:t>
      </w:r>
      <w:r w:rsidR="00931D42">
        <w:t>delay</w:t>
      </w:r>
      <w:r w:rsidRPr="00713F35">
        <w:t xml:space="preserve">. </w:t>
      </w:r>
      <w:r>
        <w:t>However, ESC noted that t</w:t>
      </w:r>
      <w:r w:rsidRPr="00713F35">
        <w:t>he economic model</w:t>
      </w:r>
      <w:r>
        <w:t xml:space="preserve"> already</w:t>
      </w:r>
      <w:r w:rsidRPr="00713F35">
        <w:t xml:space="preserve"> includes </w:t>
      </w:r>
      <w:r>
        <w:t xml:space="preserve">increased utility </w:t>
      </w:r>
      <w:r w:rsidRPr="00713F35">
        <w:t xml:space="preserve">from minimising the diagnostic </w:t>
      </w:r>
      <w:r w:rsidR="00931D42">
        <w:t>delay</w:t>
      </w:r>
      <w:r>
        <w:t>.</w:t>
      </w:r>
    </w:p>
    <w:p w14:paraId="624D6A47" w14:textId="77777777" w:rsidR="00ED5CB7" w:rsidRDefault="00ED5CB7" w:rsidP="00ED5CB7">
      <w:pPr>
        <w:pStyle w:val="BodyText"/>
      </w:pPr>
      <w:r w:rsidRPr="02E2EE7D">
        <w:t>ESC considered the financial impact calculations to be appropriate and largely based on verifiable facts, such as the newborn population, NBS uptake rates, annual incidence rates and literature-based clinical management protocols. In addition, ESC considered the estimated use and financial implications of the proposed NBS expansion to be largely reasonable, except that:</w:t>
      </w:r>
    </w:p>
    <w:p w14:paraId="4EF3107E" w14:textId="77777777" w:rsidR="00ED5CB7" w:rsidRPr="00861155" w:rsidRDefault="00ED5CB7" w:rsidP="00ED5CB7">
      <w:pPr>
        <w:pStyle w:val="ListBullet"/>
      </w:pPr>
      <w:r w:rsidRPr="02E2EE7D">
        <w:t>use of ERT in</w:t>
      </w:r>
      <w:r w:rsidRPr="02E2EE7D" w:rsidDel="00507D8A">
        <w:t xml:space="preserve"> </w:t>
      </w:r>
      <w:r w:rsidRPr="02E2EE7D">
        <w:t>patients</w:t>
      </w:r>
      <w:r>
        <w:t xml:space="preserve"> identified via NBS</w:t>
      </w:r>
      <w:r w:rsidRPr="02E2EE7D">
        <w:t xml:space="preserve"> who </w:t>
      </w:r>
      <w:r>
        <w:t>are identified with L</w:t>
      </w:r>
      <w:r w:rsidRPr="02E2EE7D">
        <w:t>OGSD II is likely underestimated, and thus, the financial impact to the LSDP is also likely underestimated</w:t>
      </w:r>
    </w:p>
    <w:p w14:paraId="091AEE79" w14:textId="5F2B6BCB" w:rsidR="00ED5CB7" w:rsidRDefault="00ED5CB7" w:rsidP="003A63D1">
      <w:pPr>
        <w:pStyle w:val="ListBullet"/>
        <w:ind w:left="357" w:hanging="357"/>
        <w:contextualSpacing w:val="0"/>
      </w:pPr>
      <w:r>
        <w:t xml:space="preserve">the DCAR’s approach to estimating the effects of expanding via a multiplex test is only an approximation. As noted previously, MSAC should consider which costs will not be duplicated if 2 or more of applications 1774, </w:t>
      </w:r>
      <w:r w:rsidRPr="00D661B5">
        <w:t>1775</w:t>
      </w:r>
      <w:r>
        <w:t xml:space="preserve"> and </w:t>
      </w:r>
      <w:r w:rsidRPr="00D661B5">
        <w:t>1776</w:t>
      </w:r>
      <w:r>
        <w:t xml:space="preserve"> are supported and NBS implemented (such as some of the “once-off set up” program implementation costs and some of the non-test-kit costs of tier 1 screening</w:t>
      </w:r>
      <w:r w:rsidR="005E7445">
        <w:t>)</w:t>
      </w:r>
      <w:r>
        <w:t>.</w:t>
      </w:r>
    </w:p>
    <w:p w14:paraId="693B4762" w14:textId="77777777" w:rsidR="00ED5CB7" w:rsidRDefault="00ED5CB7" w:rsidP="003A63D1">
      <w:pPr>
        <w:pStyle w:val="ListBullet"/>
        <w:numPr>
          <w:ilvl w:val="0"/>
          <w:numId w:val="0"/>
        </w:numPr>
        <w:spacing w:before="240"/>
      </w:pPr>
      <w:r>
        <w:t>ESC noted that the difference between a liquid chromatography (LC)–MS/MS machine and an electrospray ionisation MS/MS machine was considered and the costs of purchasing the former machine appropriately added to the implementation costs for this application. ESC recalled that MSAC supported the use of the latter machine in its consideration of sickle cell disease testing on the NBS (Application 1737.1).</w:t>
      </w:r>
    </w:p>
    <w:p w14:paraId="222E79FB" w14:textId="5DF04F14" w:rsidR="00ED5CB7" w:rsidRDefault="00ED5CB7" w:rsidP="00ED5CB7">
      <w:pPr>
        <w:pStyle w:val="BodyText"/>
      </w:pPr>
      <w:r w:rsidRPr="02E2EE7D">
        <w:t>ESC noted the largest financial impact would be to the NBS ($</w:t>
      </w:r>
      <w:r w:rsidR="00E025B8" w:rsidRPr="00E025B8">
        <w:rPr>
          <w:b/>
          <w:bCs/>
        </w:rPr>
        <w:t>REDACTED</w:t>
      </w:r>
      <w:r w:rsidRPr="02E2EE7D">
        <w:t xml:space="preserve"> in </w:t>
      </w:r>
      <w:r>
        <w:t>Y</w:t>
      </w:r>
      <w:r w:rsidRPr="02E2EE7D">
        <w:t>ear 1 to $</w:t>
      </w:r>
      <w:r w:rsidR="00E025B8" w:rsidRPr="00E025B8">
        <w:rPr>
          <w:b/>
          <w:bCs/>
        </w:rPr>
        <w:t>REDACTED</w:t>
      </w:r>
      <w:r w:rsidRPr="02E2EE7D">
        <w:t xml:space="preserve"> in </w:t>
      </w:r>
      <w:r>
        <w:t>Y</w:t>
      </w:r>
      <w:r w:rsidRPr="02E2EE7D">
        <w:t xml:space="preserve">ear 6), with a total cost to government health budgets </w:t>
      </w:r>
      <w:r>
        <w:t>inclusive of the NBS</w:t>
      </w:r>
      <w:r w:rsidRPr="02E2EE7D">
        <w:t xml:space="preserve"> of $</w:t>
      </w:r>
      <w:r w:rsidR="00E025B8" w:rsidRPr="00E025B8">
        <w:rPr>
          <w:b/>
          <w:bCs/>
        </w:rPr>
        <w:t>REDACTED</w:t>
      </w:r>
      <w:r w:rsidRPr="02E2EE7D">
        <w:t xml:space="preserve"> in </w:t>
      </w:r>
      <w:r>
        <w:t>Y</w:t>
      </w:r>
      <w:r w:rsidRPr="02E2EE7D">
        <w:t>ear 1 and $</w:t>
      </w:r>
      <w:r w:rsidR="00E025B8" w:rsidRPr="00E025B8">
        <w:rPr>
          <w:b/>
          <w:bCs/>
        </w:rPr>
        <w:t>REDACTED</w:t>
      </w:r>
      <w:r w:rsidRPr="02E2EE7D">
        <w:t xml:space="preserve"> in </w:t>
      </w:r>
      <w:r>
        <w:t>Y</w:t>
      </w:r>
      <w:r w:rsidRPr="02E2EE7D">
        <w:t xml:space="preserve">ear 6. </w:t>
      </w:r>
    </w:p>
    <w:p w14:paraId="6C0A63EE" w14:textId="77777777" w:rsidR="00ED5CB7" w:rsidRDefault="00ED5CB7" w:rsidP="00ED5CB7">
      <w:pPr>
        <w:pStyle w:val="BodyText"/>
      </w:pPr>
      <w:r w:rsidRPr="02E2EE7D">
        <w:t>ESC</w:t>
      </w:r>
      <w:r w:rsidRPr="02E2EE7D" w:rsidDel="00002A11">
        <w:t xml:space="preserve"> </w:t>
      </w:r>
      <w:r>
        <w:t>recognised</w:t>
      </w:r>
      <w:r w:rsidRPr="02E2EE7D">
        <w:t xml:space="preserve"> an ethical obligation to inform parents of a </w:t>
      </w:r>
      <w:r>
        <w:t>potential</w:t>
      </w:r>
      <w:r w:rsidRPr="02E2EE7D">
        <w:t xml:space="preserve"> diagnosis of GSD II, </w:t>
      </w:r>
      <w:r>
        <w:t>because</w:t>
      </w:r>
      <w:r w:rsidRPr="02E2EE7D">
        <w:t xml:space="preserve"> further investigation of the child </w:t>
      </w:r>
      <w:r>
        <w:t xml:space="preserve">would </w:t>
      </w:r>
      <w:r w:rsidRPr="02E2EE7D">
        <w:t xml:space="preserve">require parental consent to proceed beyond the original bloodspot sample. </w:t>
      </w:r>
      <w:r>
        <w:t xml:space="preserve">Additionally, once further investigation is conducted, </w:t>
      </w:r>
      <w:r w:rsidRPr="02E2EE7D">
        <w:t>ethical principles of transparency and full disclosure</w:t>
      </w:r>
      <w:r>
        <w:t xml:space="preserve"> would necessitate informing </w:t>
      </w:r>
      <w:r w:rsidRPr="02E2EE7D">
        <w:t>parents of the outcome of the further investigation</w:t>
      </w:r>
      <w:r>
        <w:t xml:space="preserve"> including results indicating an adult-onset condition</w:t>
      </w:r>
      <w:r w:rsidRPr="02E2EE7D">
        <w:t>.</w:t>
      </w:r>
    </w:p>
    <w:p w14:paraId="65A881D1" w14:textId="03B13FA9" w:rsidR="00ED5CB7" w:rsidRPr="00321D35" w:rsidRDefault="00ED5CB7" w:rsidP="00ED5CB7">
      <w:pPr>
        <w:pStyle w:val="BodyText"/>
      </w:pPr>
      <w:r w:rsidRPr="02E2EE7D">
        <w:t xml:space="preserve">ESC </w:t>
      </w:r>
      <w:r>
        <w:t xml:space="preserve">queried whether </w:t>
      </w:r>
      <w:r w:rsidRPr="006B3E69">
        <w:t xml:space="preserve">the </w:t>
      </w:r>
      <w:proofErr w:type="spellStart"/>
      <w:r w:rsidRPr="006B3E69">
        <w:t>Revvity</w:t>
      </w:r>
      <w:proofErr w:type="spellEnd"/>
      <w:r w:rsidRPr="006B3E69">
        <w:t xml:space="preserve"> multiplex kit options should be excluded from consideration for use as part of the NBS given that they are </w:t>
      </w:r>
      <w:r>
        <w:t xml:space="preserve">dominated by the </w:t>
      </w:r>
      <w:r w:rsidR="00606312">
        <w:rPr>
          <w:rFonts w:cs="Calibri"/>
          <w:b/>
          <w:bCs/>
        </w:rPr>
        <w:t>REDACTED</w:t>
      </w:r>
      <w:r w:rsidRPr="006B3E69">
        <w:t xml:space="preserve"> </w:t>
      </w:r>
      <w:r>
        <w:t xml:space="preserve">options (that is, they are </w:t>
      </w:r>
      <w:r w:rsidRPr="006B3E69">
        <w:t>more expensive but are not more accurate</w:t>
      </w:r>
      <w:r>
        <w:t>)</w:t>
      </w:r>
      <w:r w:rsidRPr="006B3E69">
        <w:t xml:space="preserve"> and may </w:t>
      </w:r>
      <w:r>
        <w:t xml:space="preserve">also </w:t>
      </w:r>
      <w:r w:rsidRPr="006B3E69">
        <w:t xml:space="preserve">report results for MPS conditions that health ministers have agreed should not progress to MSAC for possible inclusion in the NBS. Given the last point, ESC queried whether this may create ethical difficulties for the reporting pathologist that could be avoided by not using this test kit. However, the </w:t>
      </w:r>
      <w:r>
        <w:t xml:space="preserve">applicant </w:t>
      </w:r>
      <w:r w:rsidRPr="006B3E69">
        <w:t xml:space="preserve">clarified that pathologists have the option of not testing for all </w:t>
      </w:r>
      <w:r>
        <w:t>disorders</w:t>
      </w:r>
      <w:r w:rsidRPr="006B3E69">
        <w:t xml:space="preserve"> when using the </w:t>
      </w:r>
      <w:proofErr w:type="spellStart"/>
      <w:r w:rsidRPr="006B3E69">
        <w:t>Revvity</w:t>
      </w:r>
      <w:proofErr w:type="spellEnd"/>
      <w:r>
        <w:t xml:space="preserve"> multiplex kits options</w:t>
      </w:r>
      <w:r w:rsidRPr="02E2EE7D">
        <w:t>, which may eliminate this ethical issue.</w:t>
      </w:r>
    </w:p>
    <w:p w14:paraId="0C891F8C" w14:textId="77777777" w:rsidR="00ED5CB7" w:rsidRPr="009A3DA3" w:rsidRDefault="00ED5CB7" w:rsidP="00ED5CB7">
      <w:pPr>
        <w:pStyle w:val="BodyText"/>
      </w:pPr>
      <w:r w:rsidRPr="02E2EE7D">
        <w:t xml:space="preserve">ESC noted the LSDP Expert Panel’s </w:t>
      </w:r>
      <w:proofErr w:type="spellStart"/>
      <w:r w:rsidRPr="00C20E33">
        <w:t>avalglucosidase</w:t>
      </w:r>
      <w:proofErr w:type="spellEnd"/>
      <w:r w:rsidRPr="00C20E33">
        <w:t xml:space="preserve"> alfa 24-month review</w:t>
      </w:r>
      <w:r>
        <w:rPr>
          <w:rStyle w:val="FootnoteReference"/>
        </w:rPr>
        <w:footnoteReference w:id="39"/>
      </w:r>
      <w:r w:rsidRPr="02E2EE7D">
        <w:t xml:space="preserve"> in December 2024, and raised that MSAC may wish to refer the following matters to the LSDP Expert Panel:</w:t>
      </w:r>
    </w:p>
    <w:p w14:paraId="038BF190" w14:textId="77777777" w:rsidR="00ED5CB7" w:rsidRPr="00321D35" w:rsidRDefault="00ED5CB7" w:rsidP="00ED5CB7">
      <w:pPr>
        <w:pStyle w:val="ListBullet"/>
      </w:pPr>
      <w:r w:rsidRPr="00321D35">
        <w:t xml:space="preserve">the prevalence of GSD II is already beyond </w:t>
      </w:r>
      <w:r>
        <w:t xml:space="preserve">the </w:t>
      </w:r>
      <w:r w:rsidRPr="00321D35">
        <w:t>LSDP threshold, and projected to increase further with proposed expansion of the NBS</w:t>
      </w:r>
    </w:p>
    <w:p w14:paraId="2ABEE187" w14:textId="77777777" w:rsidR="00ED5CB7" w:rsidRPr="00321D35" w:rsidRDefault="00ED5CB7" w:rsidP="00ED5CB7">
      <w:pPr>
        <w:pStyle w:val="ListBullet"/>
      </w:pPr>
      <w:r w:rsidRPr="02E2EE7D">
        <w:t xml:space="preserve">whether to </w:t>
      </w:r>
      <w:r>
        <w:t>consider</w:t>
      </w:r>
      <w:r w:rsidRPr="02E2EE7D">
        <w:t xml:space="preserve"> the basis for current </w:t>
      </w:r>
      <w:r>
        <w:t>LSDP criteria to</w:t>
      </w:r>
      <w:r w:rsidRPr="02E2EE7D">
        <w:t xml:space="preserve"> permit ERT </w:t>
      </w:r>
      <w:r>
        <w:t>initiation</w:t>
      </w:r>
      <w:r w:rsidRPr="02E2EE7D">
        <w:t xml:space="preserve"> in asymptomatic patients between the ages of 24 months and 18 years </w:t>
      </w:r>
      <w:r>
        <w:t xml:space="preserve">for individuals </w:t>
      </w:r>
      <w:r w:rsidRPr="02E2EE7D">
        <w:t>diagnos</w:t>
      </w:r>
      <w:r>
        <w:t>ed via the NBS and</w:t>
      </w:r>
      <w:r w:rsidRPr="02E2EE7D">
        <w:t xml:space="preserve"> suggestive of GSD II</w:t>
      </w:r>
    </w:p>
    <w:p w14:paraId="383B12E4" w14:textId="547B661B" w:rsidR="00ED5CB7" w:rsidRDefault="00ED5CB7" w:rsidP="003A63D1">
      <w:pPr>
        <w:pStyle w:val="ListBullet"/>
      </w:pPr>
      <w:r w:rsidRPr="02E2EE7D">
        <w:t xml:space="preserve">whether to </w:t>
      </w:r>
      <w:r>
        <w:t>(</w:t>
      </w:r>
      <w:r w:rsidRPr="02E2EE7D">
        <w:t>continue to</w:t>
      </w:r>
      <w:r>
        <w:t>)</w:t>
      </w:r>
      <w:r w:rsidRPr="02E2EE7D">
        <w:t xml:space="preserve"> permit a dose of 40 mg/kg/</w:t>
      </w:r>
      <w:proofErr w:type="spellStart"/>
      <w:r w:rsidRPr="02E2EE7D">
        <w:t>eow</w:t>
      </w:r>
      <w:proofErr w:type="spellEnd"/>
      <w:r>
        <w:t xml:space="preserve"> (every other week) </w:t>
      </w:r>
      <w:r w:rsidRPr="00D526EE">
        <w:t xml:space="preserve">for patients with IOGSD II </w:t>
      </w:r>
      <w:r w:rsidRPr="00D7226F">
        <w:rPr>
          <w:bCs/>
        </w:rPr>
        <w:t xml:space="preserve">who experience insufficient control, or declining response to ERT at the </w:t>
      </w:r>
      <w:r>
        <w:rPr>
          <w:bCs/>
        </w:rPr>
        <w:t>TGA-</w:t>
      </w:r>
      <w:r w:rsidRPr="00D7226F">
        <w:rPr>
          <w:bCs/>
        </w:rPr>
        <w:t xml:space="preserve">approved </w:t>
      </w:r>
      <w:r>
        <w:rPr>
          <w:bCs/>
        </w:rPr>
        <w:t xml:space="preserve">initial </w:t>
      </w:r>
      <w:r w:rsidRPr="00D7226F">
        <w:rPr>
          <w:bCs/>
        </w:rPr>
        <w:t>dose</w:t>
      </w:r>
      <w:r>
        <w:rPr>
          <w:bCs/>
        </w:rPr>
        <w:t xml:space="preserve"> </w:t>
      </w:r>
      <w:r w:rsidRPr="00670DCE">
        <w:rPr>
          <w:bCs/>
        </w:rPr>
        <w:t>as evidence suggested possible benefits associated with higher doses of ERT, compared to the recommended dose</w:t>
      </w:r>
      <w:r w:rsidRPr="008414D1">
        <w:rPr>
          <w:b/>
        </w:rPr>
        <w:t>.</w:t>
      </w:r>
    </w:p>
    <w:p w14:paraId="4D507617" w14:textId="77777777" w:rsidR="00ED5CB7" w:rsidRPr="007161E7" w:rsidRDefault="00ED5CB7" w:rsidP="00ED5CB7">
      <w:pPr>
        <w:pStyle w:val="ListBullet"/>
      </w:pPr>
      <w:r>
        <w:t xml:space="preserve">ESC considered a </w:t>
      </w:r>
      <w:r w:rsidRPr="00AD5A31">
        <w:t>revis</w:t>
      </w:r>
      <w:r>
        <w:t>ion to</w:t>
      </w:r>
      <w:r w:rsidRPr="00AD5A31">
        <w:t xml:space="preserve"> the current approach to assess the effects of multiplexing through undertaking a “bundled” stepped evaluation of applications 1774, 1775 and 1776</w:t>
      </w:r>
      <w:r>
        <w:t>. This approach should address</w:t>
      </w:r>
      <w:r w:rsidRPr="00AD5A31">
        <w:t xml:space="preserve"> any duplication of costs and </w:t>
      </w:r>
      <w:r>
        <w:t xml:space="preserve">ensure an appropriate assessment of </w:t>
      </w:r>
      <w:r w:rsidRPr="00AD5A31">
        <w:t xml:space="preserve">cumulative diagnostic yield across the three </w:t>
      </w:r>
      <w:r>
        <w:t xml:space="preserve">applications. ESC recommended this work could be undertaken after MSAC has considered all three NBS applications and provided </w:t>
      </w:r>
      <w:r w:rsidRPr="007161E7">
        <w:t xml:space="preserve">advice regarding the order in which the analyses should be stepped. ESC noted that ideally the order would be based on the base case ICER for each application (with the application having the lowest ICER included as the first step, then the next highest ICER). </w:t>
      </w:r>
      <w:r>
        <w:t>However,</w:t>
      </w:r>
      <w:r w:rsidRPr="007161E7">
        <w:t xml:space="preserve"> ESC </w:t>
      </w:r>
      <w:r>
        <w:t xml:space="preserve">recognised </w:t>
      </w:r>
      <w:r w:rsidRPr="007161E7">
        <w:t>that MSAC may have an alternative view where it may prefer to nominate the application with the strongest case for NBS as the first step.</w:t>
      </w:r>
    </w:p>
    <w:p w14:paraId="295FDA6F" w14:textId="77777777" w:rsidR="00ED5CB7" w:rsidRDefault="00ED5CB7" w:rsidP="00ED5CB7">
      <w:pPr>
        <w:pStyle w:val="BodyText"/>
      </w:pPr>
      <w:r w:rsidRPr="02E2EE7D">
        <w:t xml:space="preserve">ESC </w:t>
      </w:r>
      <w:r>
        <w:t xml:space="preserve">further </w:t>
      </w:r>
      <w:r w:rsidRPr="02E2EE7D">
        <w:t>recommended that the following additional work be undertaken before MSAC consideration:</w:t>
      </w:r>
    </w:p>
    <w:p w14:paraId="5D4BA446" w14:textId="77777777" w:rsidR="00ED5CB7" w:rsidRPr="002A362A" w:rsidRDefault="00ED5CB7" w:rsidP="00ED5CB7">
      <w:pPr>
        <w:pStyle w:val="Bullet"/>
        <w:numPr>
          <w:ilvl w:val="0"/>
          <w:numId w:val="23"/>
        </w:numPr>
        <w:spacing w:before="0"/>
        <w:rPr>
          <w:rFonts w:ascii="Franklin Gothic Book" w:hAnsi="Franklin Gothic Book"/>
        </w:rPr>
      </w:pPr>
      <w:r w:rsidRPr="00085B34">
        <w:rPr>
          <w:rFonts w:ascii="Franklin Gothic Book" w:hAnsi="Franklin Gothic Book"/>
        </w:rPr>
        <w:t xml:space="preserve">Clarify whether the </w:t>
      </w:r>
      <w:r w:rsidRPr="009C5D5C">
        <w:rPr>
          <w:rFonts w:ascii="Franklin Gothic Book" w:hAnsi="Franklin Gothic Book"/>
        </w:rPr>
        <w:t xml:space="preserve">unit </w:t>
      </w:r>
      <w:r w:rsidRPr="00085B34">
        <w:rPr>
          <w:rFonts w:ascii="Franklin Gothic Book" w:hAnsi="Franklin Gothic Book"/>
        </w:rPr>
        <w:t xml:space="preserve">cost of </w:t>
      </w:r>
      <w:r w:rsidRPr="009C5D5C">
        <w:rPr>
          <w:rFonts w:ascii="Franklin Gothic Book" w:hAnsi="Franklin Gothic Book"/>
        </w:rPr>
        <w:t>the proposed N</w:t>
      </w:r>
      <w:r w:rsidRPr="00085B34">
        <w:rPr>
          <w:rFonts w:ascii="Franklin Gothic Book" w:hAnsi="Franklin Gothic Book"/>
        </w:rPr>
        <w:t xml:space="preserve">BS Tier 1 testing should be benchmarked (as per PSD for Application 1737.1) and if </w:t>
      </w:r>
      <w:proofErr w:type="gramStart"/>
      <w:r w:rsidRPr="00085B34">
        <w:rPr>
          <w:rFonts w:ascii="Franklin Gothic Book" w:hAnsi="Franklin Gothic Book"/>
        </w:rPr>
        <w:t>so</w:t>
      </w:r>
      <w:proofErr w:type="gramEnd"/>
      <w:r w:rsidRPr="00085B34">
        <w:rPr>
          <w:rFonts w:ascii="Franklin Gothic Book" w:hAnsi="Franklin Gothic Book"/>
        </w:rPr>
        <w:t xml:space="preserve"> which test components are to be included in the benchmark</w:t>
      </w:r>
      <w:r>
        <w:rPr>
          <w:rFonts w:ascii="Franklin Gothic Book" w:hAnsi="Franklin Gothic Book"/>
        </w:rPr>
        <w:t xml:space="preserve">. </w:t>
      </w:r>
      <w:r w:rsidRPr="009C5D5C">
        <w:rPr>
          <w:rFonts w:ascii="Franklin Gothic Book" w:hAnsi="Franklin Gothic Book"/>
        </w:rPr>
        <w:t>MSAC should also be aware that this approach will not accurately reflect comparative cost-effectiveness because the ICER/diagnosis will vary by the genotypic prevalence of each disease and other incremental costs, and the ICER/QALY will also vary by the incremental health gains.</w:t>
      </w:r>
    </w:p>
    <w:p w14:paraId="39E9FB01" w14:textId="77777777" w:rsidR="00ED5CB7" w:rsidRDefault="00ED5CB7" w:rsidP="00ED5CB7">
      <w:pPr>
        <w:pStyle w:val="Bullet"/>
        <w:numPr>
          <w:ilvl w:val="0"/>
          <w:numId w:val="23"/>
        </w:numPr>
        <w:spacing w:before="0"/>
        <w:rPr>
          <w:rFonts w:ascii="Franklin Gothic Book" w:hAnsi="Franklin Gothic Book"/>
        </w:rPr>
      </w:pPr>
      <w:r w:rsidRPr="00AD5A31">
        <w:rPr>
          <w:rFonts w:ascii="Franklin Gothic Book" w:hAnsi="Franklin Gothic Book"/>
        </w:rPr>
        <w:t>obtain expert clinical advice on how all screen positive results would be managed, including</w:t>
      </w:r>
    </w:p>
    <w:p w14:paraId="604F2C94" w14:textId="77777777" w:rsidR="00ED5CB7" w:rsidRPr="00AD5A31" w:rsidRDefault="00ED5CB7" w:rsidP="00ED5CB7">
      <w:pPr>
        <w:pStyle w:val="Dash"/>
        <w:tabs>
          <w:tab w:val="left" w:pos="720"/>
        </w:tabs>
        <w:spacing w:before="0" w:after="0"/>
        <w:rPr>
          <w:rFonts w:ascii="Franklin Gothic Book" w:hAnsi="Franklin Gothic Book"/>
        </w:rPr>
      </w:pPr>
      <w:proofErr w:type="spellStart"/>
      <w:r w:rsidRPr="00AD5A31">
        <w:rPr>
          <w:rFonts w:ascii="Franklin Gothic Book" w:hAnsi="Franklin Gothic Book"/>
        </w:rPr>
        <w:t>pseudodeficiency</w:t>
      </w:r>
      <w:proofErr w:type="spellEnd"/>
      <w:r w:rsidRPr="00AD5A31">
        <w:rPr>
          <w:rFonts w:ascii="Franklin Gothic Book" w:hAnsi="Franklin Gothic Book"/>
        </w:rPr>
        <w:t xml:space="preserve"> variants (are there some patients for whom disease would not be ruled out and would require monitoring?)</w:t>
      </w:r>
    </w:p>
    <w:p w14:paraId="586E1416" w14:textId="77777777" w:rsidR="00ED5CB7" w:rsidRPr="00AD5A31" w:rsidRDefault="00ED5CB7" w:rsidP="00ED5CB7">
      <w:pPr>
        <w:pStyle w:val="Dash"/>
        <w:tabs>
          <w:tab w:val="left" w:pos="720"/>
        </w:tabs>
        <w:spacing w:before="0" w:after="0"/>
        <w:rPr>
          <w:rFonts w:ascii="Franklin Gothic Book" w:hAnsi="Franklin Gothic Book"/>
        </w:rPr>
      </w:pPr>
      <w:r w:rsidRPr="00AD5A31">
        <w:rPr>
          <w:rFonts w:ascii="Franklin Gothic Book" w:hAnsi="Franklin Gothic Book"/>
        </w:rPr>
        <w:t xml:space="preserve">carriers </w:t>
      </w:r>
    </w:p>
    <w:p w14:paraId="12058688" w14:textId="77777777" w:rsidR="00ED5CB7" w:rsidRPr="001A1AD0" w:rsidRDefault="00ED5CB7" w:rsidP="00ED5CB7">
      <w:pPr>
        <w:pStyle w:val="DashLast"/>
      </w:pPr>
      <w:r w:rsidRPr="001A1AD0">
        <w:t>no GSD II variant found, and if this result is more likely in individuals with non-European ancestry.</w:t>
      </w:r>
    </w:p>
    <w:p w14:paraId="7906D084" w14:textId="77777777" w:rsidR="00ED5CB7" w:rsidRPr="00AD5A31" w:rsidRDefault="00ED5CB7" w:rsidP="00ED5CB7">
      <w:pPr>
        <w:pStyle w:val="Dash"/>
        <w:numPr>
          <w:ilvl w:val="0"/>
          <w:numId w:val="0"/>
        </w:numPr>
        <w:rPr>
          <w:rFonts w:ascii="Franklin Gothic Book" w:hAnsi="Franklin Gothic Book"/>
        </w:rPr>
      </w:pPr>
      <w:r w:rsidRPr="00AD5A31">
        <w:rPr>
          <w:rFonts w:ascii="Franklin Gothic Book" w:hAnsi="Franklin Gothic Book"/>
        </w:rPr>
        <w:t>ESC noted that out of</w:t>
      </w:r>
      <w:r w:rsidRPr="00AD5A31" w:rsidDel="00AF6366">
        <w:rPr>
          <w:rFonts w:ascii="Franklin Gothic Book" w:hAnsi="Franklin Gothic Book"/>
        </w:rPr>
        <w:t xml:space="preserve"> </w:t>
      </w:r>
      <w:r w:rsidRPr="00AD5A31">
        <w:rPr>
          <w:rFonts w:ascii="Franklin Gothic Book" w:hAnsi="Franklin Gothic Book"/>
        </w:rPr>
        <w:t xml:space="preserve">approximately </w:t>
      </w:r>
      <w:r w:rsidRPr="000A6F60">
        <w:rPr>
          <w:rFonts w:ascii="Franklin Gothic Book" w:hAnsi="Franklin Gothic Book"/>
        </w:rPr>
        <w:t>30</w:t>
      </w:r>
      <w:r>
        <w:rPr>
          <w:rFonts w:ascii="Franklin Gothic Book" w:hAnsi="Franklin Gothic Book"/>
        </w:rPr>
        <w:t>4</w:t>
      </w:r>
      <w:r w:rsidRPr="000A6F60">
        <w:rPr>
          <w:rFonts w:ascii="Franklin Gothic Book" w:hAnsi="Franklin Gothic Book"/>
        </w:rPr>
        <w:t>,</w:t>
      </w:r>
      <w:r>
        <w:rPr>
          <w:rFonts w:ascii="Franklin Gothic Book" w:hAnsi="Franklin Gothic Book"/>
        </w:rPr>
        <w:t>655</w:t>
      </w:r>
      <w:r w:rsidRPr="000A6F60">
        <w:rPr>
          <w:rFonts w:ascii="Franklin Gothic Book" w:hAnsi="Franklin Gothic Book"/>
        </w:rPr>
        <w:t xml:space="preserve"> </w:t>
      </w:r>
      <w:r w:rsidRPr="00AD5A31">
        <w:rPr>
          <w:rFonts w:ascii="Franklin Gothic Book" w:hAnsi="Franklin Gothic Book"/>
        </w:rPr>
        <w:t>newborns screened a year it is estimated based on results of previous studies that 5</w:t>
      </w:r>
      <w:r>
        <w:rPr>
          <w:rFonts w:ascii="Franklin Gothic Book" w:hAnsi="Franklin Gothic Book"/>
        </w:rPr>
        <w:t>8</w:t>
      </w:r>
      <w:r w:rsidRPr="00AD5A31">
        <w:rPr>
          <w:rFonts w:ascii="Franklin Gothic Book" w:hAnsi="Franklin Gothic Book"/>
        </w:rPr>
        <w:t xml:space="preserve"> will screen positive at Tier 1 and of these, 1.0 will be diagnosed with IOGSD II, 9.6 with LOGSD II, 11.</w:t>
      </w:r>
      <w:r>
        <w:rPr>
          <w:rFonts w:ascii="Franklin Gothic Book" w:hAnsi="Franklin Gothic Book"/>
        </w:rPr>
        <w:t>8</w:t>
      </w:r>
      <w:r w:rsidRPr="00AD5A31">
        <w:rPr>
          <w:rFonts w:ascii="Franklin Gothic Book" w:hAnsi="Franklin Gothic Book"/>
        </w:rPr>
        <w:t xml:space="preserve"> will be identified with </w:t>
      </w:r>
      <w:proofErr w:type="spellStart"/>
      <w:r w:rsidRPr="00AD5A31">
        <w:rPr>
          <w:rFonts w:ascii="Franklin Gothic Book" w:hAnsi="Franklin Gothic Book"/>
        </w:rPr>
        <w:t>pseudodeficiency</w:t>
      </w:r>
      <w:proofErr w:type="spellEnd"/>
      <w:r w:rsidRPr="00AD5A31">
        <w:rPr>
          <w:rFonts w:ascii="Franklin Gothic Book" w:hAnsi="Franklin Gothic Book"/>
        </w:rPr>
        <w:t xml:space="preserve">, </w:t>
      </w:r>
      <w:r>
        <w:rPr>
          <w:rFonts w:ascii="Franklin Gothic Book" w:hAnsi="Franklin Gothic Book"/>
        </w:rPr>
        <w:t>20.1</w:t>
      </w:r>
      <w:r w:rsidRPr="00AD5A31">
        <w:rPr>
          <w:rFonts w:ascii="Franklin Gothic Book" w:hAnsi="Franklin Gothic Book"/>
        </w:rPr>
        <w:t xml:space="preserve"> will be identified as carriers while a remaining 1</w:t>
      </w:r>
      <w:r>
        <w:rPr>
          <w:rFonts w:ascii="Franklin Gothic Book" w:hAnsi="Franklin Gothic Book"/>
        </w:rPr>
        <w:t>5</w:t>
      </w:r>
      <w:r w:rsidRPr="00AD5A31">
        <w:rPr>
          <w:rFonts w:ascii="Franklin Gothic Book" w:hAnsi="Franklin Gothic Book"/>
        </w:rPr>
        <w:t>.</w:t>
      </w:r>
      <w:r>
        <w:rPr>
          <w:rFonts w:ascii="Franklin Gothic Book" w:hAnsi="Franklin Gothic Book"/>
        </w:rPr>
        <w:t>2</w:t>
      </w:r>
      <w:r w:rsidRPr="00AD5A31">
        <w:rPr>
          <w:rFonts w:ascii="Franklin Gothic Book" w:hAnsi="Franklin Gothic Book"/>
        </w:rPr>
        <w:t xml:space="preserve"> will be confirmed as false Tier 1 positives. ESC sought further comment on the prognostic confidence of these respective subtypes at completion of NBS diagnostic confirmation i.e.</w:t>
      </w:r>
    </w:p>
    <w:p w14:paraId="157A523D" w14:textId="77777777" w:rsidR="00ED5CB7" w:rsidRPr="00AD5A31" w:rsidRDefault="00ED5CB7" w:rsidP="00ED5CB7">
      <w:pPr>
        <w:pStyle w:val="Dash"/>
        <w:rPr>
          <w:rFonts w:ascii="Franklin Gothic Book" w:hAnsi="Franklin Gothic Book"/>
        </w:rPr>
      </w:pPr>
      <w:r w:rsidRPr="00AD5A31">
        <w:rPr>
          <w:rFonts w:ascii="Franklin Gothic Book" w:hAnsi="Franklin Gothic Book"/>
        </w:rPr>
        <w:t>Of the screen positive individuals identified with IOGSD II (1) vs LOGSD II (9.6) what percentage will have clear 'yes/no' cardiomyop</w:t>
      </w:r>
      <w:r>
        <w:rPr>
          <w:rFonts w:ascii="Franklin Gothic Book" w:hAnsi="Franklin Gothic Book"/>
        </w:rPr>
        <w:t>a</w:t>
      </w:r>
      <w:r w:rsidRPr="00AD5A31">
        <w:rPr>
          <w:rFonts w:ascii="Franklin Gothic Book" w:hAnsi="Franklin Gothic Book"/>
        </w:rPr>
        <w:t>thy results and what percentage will have unclear results?</w:t>
      </w:r>
    </w:p>
    <w:p w14:paraId="10B1B26C" w14:textId="77777777" w:rsidR="00ED5CB7" w:rsidRPr="00AD5A31" w:rsidRDefault="00ED5CB7" w:rsidP="00ED5CB7">
      <w:pPr>
        <w:pStyle w:val="Dash"/>
        <w:rPr>
          <w:rFonts w:ascii="Franklin Gothic Book" w:hAnsi="Franklin Gothic Book"/>
        </w:rPr>
      </w:pPr>
      <w:r w:rsidRPr="00AD5A31">
        <w:rPr>
          <w:rFonts w:ascii="Franklin Gothic Book" w:hAnsi="Franklin Gothic Book"/>
        </w:rPr>
        <w:t xml:space="preserve">Of the screen positive individuals identified with LOGSD II (9.6) vs </w:t>
      </w:r>
      <w:proofErr w:type="spellStart"/>
      <w:r w:rsidRPr="00AD5A31">
        <w:rPr>
          <w:rFonts w:ascii="Franklin Gothic Book" w:hAnsi="Franklin Gothic Book"/>
        </w:rPr>
        <w:t>pseudodeficiency</w:t>
      </w:r>
      <w:proofErr w:type="spellEnd"/>
      <w:r w:rsidRPr="00AD5A31">
        <w:rPr>
          <w:rFonts w:ascii="Franklin Gothic Book" w:hAnsi="Franklin Gothic Book"/>
        </w:rPr>
        <w:t xml:space="preserve"> (11.</w:t>
      </w:r>
      <w:r>
        <w:rPr>
          <w:rFonts w:ascii="Franklin Gothic Book" w:hAnsi="Franklin Gothic Book"/>
        </w:rPr>
        <w:t>8</w:t>
      </w:r>
      <w:r w:rsidRPr="00AD5A31">
        <w:rPr>
          <w:rFonts w:ascii="Franklin Gothic Book" w:hAnsi="Franklin Gothic Book"/>
        </w:rPr>
        <w:t>) vs 'carriers' (</w:t>
      </w:r>
      <w:r>
        <w:rPr>
          <w:rFonts w:ascii="Franklin Gothic Book" w:hAnsi="Franklin Gothic Book"/>
        </w:rPr>
        <w:t>20.1</w:t>
      </w:r>
      <w:r w:rsidRPr="00AD5A31">
        <w:rPr>
          <w:rFonts w:ascii="Franklin Gothic Book" w:hAnsi="Franklin Gothic Book"/>
        </w:rPr>
        <w:t>) vs 'no GSD II' (1</w:t>
      </w:r>
      <w:r>
        <w:rPr>
          <w:rFonts w:ascii="Franklin Gothic Book" w:hAnsi="Franklin Gothic Book"/>
        </w:rPr>
        <w:t>5.2</w:t>
      </w:r>
      <w:r w:rsidRPr="00AD5A31">
        <w:rPr>
          <w:rFonts w:ascii="Franklin Gothic Book" w:hAnsi="Franklin Gothic Book"/>
        </w:rPr>
        <w:t>) what percentage of this combined group is likely to develop symptoms?</w:t>
      </w:r>
    </w:p>
    <w:p w14:paraId="0C169EEC" w14:textId="77777777" w:rsidR="00ED5CB7" w:rsidRPr="004A6910" w:rsidRDefault="00ED5CB7" w:rsidP="00ED5CB7">
      <w:pPr>
        <w:pStyle w:val="Dash"/>
        <w:numPr>
          <w:ilvl w:val="0"/>
          <w:numId w:val="0"/>
        </w:numPr>
        <w:ind w:left="360"/>
        <w:rPr>
          <w:rStyle w:val="Strong"/>
          <w:b w:val="0"/>
          <w:bCs w:val="0"/>
        </w:rPr>
      </w:pPr>
      <w:r w:rsidRPr="00AD5A31">
        <w:rPr>
          <w:rStyle w:val="Strong"/>
          <w:rFonts w:ascii="Franklin Gothic Book" w:hAnsi="Franklin Gothic Book"/>
          <w:b w:val="0"/>
        </w:rPr>
        <w:t xml:space="preserve">ESC noted that on 11 September 2024, the government announced it ‘will end the ability to discriminate based on adverse predictive genetic test results by banning their use in life insurance underwriting’; however, as of 4 February 2025, the appropriate legislation had not yet been </w:t>
      </w:r>
      <w:proofErr w:type="gramStart"/>
      <w:r w:rsidRPr="00AD5A31">
        <w:rPr>
          <w:rStyle w:val="Strong"/>
          <w:rFonts w:ascii="Franklin Gothic Book" w:hAnsi="Franklin Gothic Book"/>
          <w:b w:val="0"/>
        </w:rPr>
        <w:t>introduced</w:t>
      </w:r>
      <w:proofErr w:type="gramEnd"/>
      <w:r w:rsidRPr="00AD5A31">
        <w:rPr>
          <w:rStyle w:val="Strong"/>
          <w:rFonts w:ascii="Franklin Gothic Book" w:hAnsi="Franklin Gothic Book"/>
          <w:b w:val="0"/>
        </w:rPr>
        <w:t xml:space="preserve"> and public consultation is ongoing.</w:t>
      </w:r>
    </w:p>
    <w:p w14:paraId="5ADB745D" w14:textId="77777777" w:rsidR="00ED5CB7" w:rsidRDefault="00ED5CB7" w:rsidP="00ED5CB7">
      <w:pPr>
        <w:pStyle w:val="BodyText"/>
        <w:rPr>
          <w:rStyle w:val="Strong"/>
          <w:b w:val="0"/>
          <w:bCs w:val="0"/>
        </w:rPr>
        <w:sectPr w:rsidR="00ED5CB7" w:rsidSect="00FF022F">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276" w:left="1440" w:header="708" w:footer="708" w:gutter="0"/>
          <w:cols w:space="708"/>
          <w:docGrid w:linePitch="360"/>
        </w:sectPr>
      </w:pPr>
    </w:p>
    <w:p w14:paraId="53FE4C6D" w14:textId="61FB69C5" w:rsidR="00ED5CB7" w:rsidRDefault="00ED5CB7" w:rsidP="00ED5CB7">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rsidRPr="00E57833">
        <w:tab/>
        <w:t xml:space="preserve">Summary table </w:t>
      </w:r>
      <w:r>
        <w:t>for the key Health Technology Assessment (HTA) questions</w:t>
      </w:r>
      <w:r w:rsidR="00CC6071">
        <w:t xml:space="preserve"> </w:t>
      </w:r>
      <w:r w:rsidR="00945432">
        <w:t>for</w:t>
      </w:r>
      <w:r w:rsidR="00CC6071">
        <w:t xml:space="preserve"> MSAC</w:t>
      </w:r>
      <w:r w:rsidR="00945432">
        <w:t xml:space="preserve"> consideration</w:t>
      </w:r>
    </w:p>
    <w:tbl>
      <w:tblPr>
        <w:tblStyle w:val="TableGrid1"/>
        <w:tblW w:w="0" w:type="auto"/>
        <w:tblCellMar>
          <w:left w:w="28" w:type="dxa"/>
          <w:right w:w="28" w:type="dxa"/>
        </w:tblCellMar>
        <w:tblLook w:val="04A0" w:firstRow="1" w:lastRow="0" w:firstColumn="1" w:lastColumn="0" w:noHBand="0" w:noVBand="1"/>
      </w:tblPr>
      <w:tblGrid>
        <w:gridCol w:w="3681"/>
        <w:gridCol w:w="3392"/>
        <w:gridCol w:w="3393"/>
        <w:gridCol w:w="3393"/>
      </w:tblGrid>
      <w:tr w:rsidR="00ED5CB7" w:rsidRPr="00577F41" w14:paraId="2466F3C2" w14:textId="77777777" w:rsidTr="00175863">
        <w:trPr>
          <w:cnfStyle w:val="100000000000" w:firstRow="1" w:lastRow="0" w:firstColumn="0" w:lastColumn="0" w:oddVBand="0" w:evenVBand="0" w:oddHBand="0" w:evenHBand="0" w:firstRowFirstColumn="0" w:firstRowLastColumn="0" w:lastRowFirstColumn="0" w:lastRowLastColumn="0"/>
          <w:trHeight w:val="454"/>
          <w:tblHeader/>
        </w:trPr>
        <w:tc>
          <w:tcPr>
            <w:tcW w:w="3681" w:type="dxa"/>
            <w:tcBorders>
              <w:top w:val="single" w:sz="4" w:space="0" w:color="auto"/>
              <w:left w:val="single" w:sz="4" w:space="0" w:color="auto"/>
              <w:bottom w:val="single" w:sz="4" w:space="0" w:color="auto"/>
              <w:right w:val="single" w:sz="4" w:space="0" w:color="auto"/>
            </w:tcBorders>
            <w:hideMark/>
          </w:tcPr>
          <w:p w14:paraId="5DC6D7F3" w14:textId="77777777" w:rsidR="00ED5CB7" w:rsidRPr="00577F41" w:rsidRDefault="00ED5CB7" w:rsidP="00834258">
            <w:pPr>
              <w:spacing w:before="0" w:after="0"/>
              <w:rPr>
                <w:rFonts w:ascii="Arial Narrow" w:eastAsia="Calibri" w:hAnsi="Arial Narrow" w:cs="Arial"/>
                <w:b/>
                <w:bCs/>
              </w:rPr>
            </w:pPr>
            <w:r w:rsidRPr="00577F41">
              <w:rPr>
                <w:rFonts w:ascii="Arial Narrow" w:eastAsia="Calibri" w:hAnsi="Arial Narrow" w:cs="Arial"/>
                <w:b/>
                <w:bCs/>
              </w:rPr>
              <w:t>Parameter</w:t>
            </w:r>
          </w:p>
        </w:tc>
        <w:tc>
          <w:tcPr>
            <w:tcW w:w="3392" w:type="dxa"/>
            <w:tcBorders>
              <w:top w:val="single" w:sz="4" w:space="0" w:color="auto"/>
              <w:left w:val="single" w:sz="4" w:space="0" w:color="auto"/>
              <w:bottom w:val="single" w:sz="4" w:space="0" w:color="auto"/>
              <w:right w:val="single" w:sz="4" w:space="0" w:color="auto"/>
            </w:tcBorders>
            <w:hideMark/>
          </w:tcPr>
          <w:p w14:paraId="305763C3" w14:textId="77777777" w:rsidR="00ED5CB7" w:rsidRPr="00577F41" w:rsidRDefault="00ED5CB7" w:rsidP="00834258">
            <w:pPr>
              <w:spacing w:before="0" w:after="0"/>
              <w:rPr>
                <w:rFonts w:ascii="Arial Narrow" w:eastAsia="Calibri" w:hAnsi="Arial Narrow" w:cs="Arial"/>
                <w:b/>
                <w:bCs/>
              </w:rPr>
            </w:pPr>
            <w:r w:rsidRPr="00577F41">
              <w:rPr>
                <w:rFonts w:ascii="Arial Narrow" w:eastAsia="Calibri" w:hAnsi="Arial Narrow" w:cs="Arial"/>
                <w:b/>
                <w:bCs/>
              </w:rPr>
              <w:t>Proposed – Universal Newborn Bloodspot Screening (NBS) for GSD II</w:t>
            </w:r>
          </w:p>
        </w:tc>
        <w:tc>
          <w:tcPr>
            <w:tcW w:w="3393" w:type="dxa"/>
            <w:tcBorders>
              <w:top w:val="single" w:sz="4" w:space="0" w:color="auto"/>
              <w:left w:val="single" w:sz="4" w:space="0" w:color="auto"/>
              <w:bottom w:val="single" w:sz="4" w:space="0" w:color="auto"/>
              <w:right w:val="single" w:sz="4" w:space="0" w:color="auto"/>
            </w:tcBorders>
            <w:hideMark/>
          </w:tcPr>
          <w:p w14:paraId="239B0B8E" w14:textId="77777777" w:rsidR="00ED5CB7" w:rsidRPr="00577F41" w:rsidRDefault="00ED5CB7" w:rsidP="00834258">
            <w:pPr>
              <w:spacing w:before="0" w:after="0"/>
              <w:rPr>
                <w:rFonts w:ascii="Arial Narrow" w:eastAsia="Calibri" w:hAnsi="Arial Narrow" w:cs="Arial"/>
                <w:b/>
                <w:bCs/>
              </w:rPr>
            </w:pPr>
            <w:r w:rsidRPr="00577F41">
              <w:rPr>
                <w:rFonts w:ascii="Arial Narrow" w:eastAsia="Calibri" w:hAnsi="Arial Narrow" w:cs="Arial"/>
                <w:b/>
                <w:bCs/>
              </w:rPr>
              <w:t>Current (No universal NBS for GSD II) – diagnosis at symptom onset</w:t>
            </w:r>
          </w:p>
        </w:tc>
        <w:tc>
          <w:tcPr>
            <w:tcW w:w="3393" w:type="dxa"/>
            <w:tcBorders>
              <w:top w:val="single" w:sz="4" w:space="0" w:color="auto"/>
              <w:left w:val="single" w:sz="4" w:space="0" w:color="auto"/>
              <w:bottom w:val="single" w:sz="4" w:space="0" w:color="auto"/>
              <w:right w:val="single" w:sz="4" w:space="0" w:color="auto"/>
            </w:tcBorders>
            <w:hideMark/>
          </w:tcPr>
          <w:p w14:paraId="0E1706A7" w14:textId="77777777" w:rsidR="00ED5CB7" w:rsidRPr="00577F41" w:rsidRDefault="00ED5CB7" w:rsidP="00834258">
            <w:pPr>
              <w:spacing w:before="0" w:after="0"/>
              <w:rPr>
                <w:rFonts w:ascii="Arial Narrow" w:eastAsia="Calibri" w:hAnsi="Arial Narrow" w:cs="Arial"/>
                <w:b/>
                <w:bCs/>
              </w:rPr>
            </w:pPr>
            <w:r w:rsidRPr="00577F41">
              <w:rPr>
                <w:rFonts w:ascii="Arial Narrow" w:eastAsia="Calibri" w:hAnsi="Arial Narrow" w:cs="Arial"/>
                <w:b/>
                <w:bCs/>
              </w:rPr>
              <w:t>Other/Increment/Comment</w:t>
            </w:r>
          </w:p>
        </w:tc>
      </w:tr>
      <w:tr w:rsidR="00ED5CB7" w:rsidRPr="00F93C5B" w14:paraId="272C8DC3" w14:textId="77777777" w:rsidTr="00175863">
        <w:trPr>
          <w:trHeight w:val="227"/>
        </w:trPr>
        <w:tc>
          <w:tcPr>
            <w:tcW w:w="3681" w:type="dxa"/>
            <w:tcBorders>
              <w:top w:val="single" w:sz="4" w:space="0" w:color="auto"/>
              <w:left w:val="single" w:sz="4" w:space="0" w:color="auto"/>
              <w:bottom w:val="single" w:sz="4" w:space="0" w:color="auto"/>
              <w:right w:val="nil"/>
            </w:tcBorders>
          </w:tcPr>
          <w:p w14:paraId="1CA23112" w14:textId="77777777" w:rsidR="00ED5CB7" w:rsidRPr="00F93C5B" w:rsidRDefault="00ED5CB7" w:rsidP="00834258">
            <w:pPr>
              <w:spacing w:before="0" w:after="0"/>
              <w:rPr>
                <w:rFonts w:ascii="Arial Narrow" w:eastAsia="Calibri" w:hAnsi="Arial Narrow" w:cs="Arial"/>
                <w:b/>
                <w:bCs/>
              </w:rPr>
            </w:pPr>
            <w:r w:rsidRPr="00F93C5B">
              <w:rPr>
                <w:rFonts w:ascii="Arial Narrow" w:eastAsia="Calibri" w:hAnsi="Arial Narrow" w:cs="Arial"/>
                <w:b/>
                <w:bCs/>
              </w:rPr>
              <w:t>1) Suitable NBS tests?</w:t>
            </w:r>
          </w:p>
        </w:tc>
        <w:tc>
          <w:tcPr>
            <w:tcW w:w="3392" w:type="dxa"/>
            <w:tcBorders>
              <w:top w:val="single" w:sz="4" w:space="0" w:color="auto"/>
              <w:left w:val="nil"/>
              <w:bottom w:val="single" w:sz="4" w:space="0" w:color="auto"/>
              <w:right w:val="nil"/>
            </w:tcBorders>
          </w:tcPr>
          <w:p w14:paraId="15413FFB"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nil"/>
              <w:bottom w:val="single" w:sz="4" w:space="0" w:color="auto"/>
              <w:right w:val="nil"/>
            </w:tcBorders>
          </w:tcPr>
          <w:p w14:paraId="03403BC1"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nil"/>
              <w:bottom w:val="single" w:sz="4" w:space="0" w:color="auto"/>
              <w:right w:val="single" w:sz="4" w:space="0" w:color="auto"/>
            </w:tcBorders>
          </w:tcPr>
          <w:p w14:paraId="52411E19" w14:textId="77777777" w:rsidR="00ED5CB7" w:rsidRPr="00F93C5B" w:rsidRDefault="00ED5CB7" w:rsidP="00834258">
            <w:pPr>
              <w:spacing w:before="0" w:after="0"/>
              <w:rPr>
                <w:rFonts w:ascii="Arial Narrow" w:eastAsia="Calibri" w:hAnsi="Arial Narrow" w:cs="Arial"/>
              </w:rPr>
            </w:pPr>
          </w:p>
        </w:tc>
      </w:tr>
      <w:tr w:rsidR="00ED5CB7" w:rsidRPr="00F93C5B" w14:paraId="3C9C5806"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tcPr>
          <w:p w14:paraId="734732CD"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Availability</w:t>
            </w:r>
          </w:p>
        </w:tc>
        <w:tc>
          <w:tcPr>
            <w:tcW w:w="3392" w:type="dxa"/>
            <w:tcBorders>
              <w:top w:val="single" w:sz="4" w:space="0" w:color="auto"/>
              <w:left w:val="single" w:sz="4" w:space="0" w:color="auto"/>
              <w:bottom w:val="single" w:sz="4" w:space="0" w:color="auto"/>
              <w:right w:val="single" w:sz="4" w:space="0" w:color="auto"/>
            </w:tcBorders>
          </w:tcPr>
          <w:p w14:paraId="0D74CED3" w14:textId="5B1B097F"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Partially. Tier 1 screening options include the </w:t>
            </w:r>
            <w:proofErr w:type="spellStart"/>
            <w:r w:rsidRPr="00F076FA">
              <w:rPr>
                <w:rFonts w:ascii="Arial Narrow" w:eastAsia="Calibri" w:hAnsi="Arial Narrow" w:cs="Arial"/>
              </w:rPr>
              <w:t>GelbChem</w:t>
            </w:r>
            <w:proofErr w:type="spellEnd"/>
            <w:r w:rsidRPr="00F076FA">
              <w:rPr>
                <w:rFonts w:ascii="Arial Narrow" w:eastAsia="Calibri" w:hAnsi="Arial Narrow" w:cs="Arial"/>
              </w:rPr>
              <w:t xml:space="preserve"> SKU: CS5 (GAA) Kit </w:t>
            </w:r>
            <w:r w:rsidRPr="00E85DED">
              <w:rPr>
                <w:rFonts w:ascii="Arial Narrow" w:eastAsia="Calibri" w:hAnsi="Arial Narrow" w:cs="Arial"/>
              </w:rPr>
              <w:t>(</w:t>
            </w:r>
            <w:r w:rsidRPr="00F076FA">
              <w:rPr>
                <w:rFonts w:ascii="Arial Narrow" w:eastAsia="Calibri" w:hAnsi="Arial Narrow" w:cs="Arial"/>
              </w:rPr>
              <w:t>although NATA approval is yet to be obtained)</w:t>
            </w:r>
            <w:r w:rsidRPr="002E7754">
              <w:rPr>
                <w:rFonts w:ascii="Arial Narrow" w:eastAsia="Calibri" w:hAnsi="Arial Narrow" w:cs="Arial"/>
              </w:rPr>
              <w:t>.</w:t>
            </w:r>
            <w:r w:rsidRPr="00F93C5B">
              <w:rPr>
                <w:rFonts w:ascii="Arial Narrow" w:eastAsia="Calibri" w:hAnsi="Arial Narrow" w:cs="Arial"/>
              </w:rPr>
              <w:t xml:space="preserve"> Tier 2 options involve </w:t>
            </w:r>
            <w:r w:rsidR="0072622F" w:rsidRPr="00F93C5B">
              <w:rPr>
                <w:rFonts w:ascii="Arial Narrow" w:eastAsia="Calibri" w:hAnsi="Arial Narrow" w:cs="Arial"/>
              </w:rPr>
              <w:t>s</w:t>
            </w:r>
            <w:r w:rsidR="0072622F">
              <w:rPr>
                <w:rFonts w:ascii="Arial Narrow" w:eastAsia="Calibri" w:hAnsi="Arial Narrow" w:cs="Arial"/>
              </w:rPr>
              <w:t>mall</w:t>
            </w:r>
            <w:r w:rsidRPr="00F93C5B">
              <w:rPr>
                <w:rFonts w:ascii="Arial Narrow" w:eastAsia="Calibri" w:hAnsi="Arial Narrow" w:cs="Arial"/>
              </w:rPr>
              <w:t xml:space="preserve">-panel genetic analysis targeting </w:t>
            </w:r>
            <w:r w:rsidRPr="00F93C5B">
              <w:rPr>
                <w:rFonts w:ascii="Arial Narrow" w:eastAsia="Calibri" w:hAnsi="Arial Narrow" w:cs="Arial"/>
                <w:i/>
                <w:iCs/>
              </w:rPr>
              <w:t>GAA</w:t>
            </w:r>
            <w:r w:rsidRPr="00F93C5B">
              <w:rPr>
                <w:rFonts w:ascii="Arial Narrow" w:eastAsia="Calibri" w:hAnsi="Arial Narrow" w:cs="Arial"/>
              </w:rPr>
              <w:t xml:space="preserve"> sequencing, but these are yet to be defined. Tier 3 options such as urinary HEX4 may also be indicated. Cascade test options are already used and are determined by the proband’s results.</w:t>
            </w:r>
          </w:p>
        </w:tc>
        <w:tc>
          <w:tcPr>
            <w:tcW w:w="3393" w:type="dxa"/>
            <w:tcBorders>
              <w:top w:val="single" w:sz="4" w:space="0" w:color="auto"/>
              <w:left w:val="single" w:sz="4" w:space="0" w:color="auto"/>
              <w:bottom w:val="single" w:sz="4" w:space="0" w:color="auto"/>
              <w:right w:val="single" w:sz="4" w:space="0" w:color="auto"/>
            </w:tcBorders>
          </w:tcPr>
          <w:p w14:paraId="552F1AF1"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w:t>
            </w:r>
          </w:p>
        </w:tc>
        <w:tc>
          <w:tcPr>
            <w:tcW w:w="3393" w:type="dxa"/>
            <w:tcBorders>
              <w:top w:val="single" w:sz="4" w:space="0" w:color="auto"/>
              <w:left w:val="single" w:sz="4" w:space="0" w:color="auto"/>
              <w:bottom w:val="single" w:sz="4" w:space="0" w:color="auto"/>
              <w:right w:val="single" w:sz="4" w:space="0" w:color="auto"/>
            </w:tcBorders>
          </w:tcPr>
          <w:p w14:paraId="0B29626D"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MSAC should consider whether to advise that </w:t>
            </w:r>
            <w:r w:rsidRPr="00F93C5B">
              <w:rPr>
                <w:rFonts w:ascii="Arial Narrow" w:eastAsia="Calibri" w:hAnsi="Arial Narrow" w:cs="Arial"/>
                <w:lang w:val="en-US"/>
              </w:rPr>
              <w:t xml:space="preserve">possible </w:t>
            </w:r>
            <w:proofErr w:type="spellStart"/>
            <w:r w:rsidRPr="00F93C5B">
              <w:rPr>
                <w:rFonts w:ascii="Arial Narrow" w:eastAsia="Calibri" w:hAnsi="Arial Narrow" w:cs="Arial"/>
                <w:lang w:val="en-US"/>
              </w:rPr>
              <w:t>Revvity</w:t>
            </w:r>
            <w:proofErr w:type="spellEnd"/>
            <w:r w:rsidRPr="00F93C5B">
              <w:rPr>
                <w:rFonts w:ascii="Arial Narrow" w:eastAsia="Calibri" w:hAnsi="Arial Narrow" w:cs="Arial"/>
                <w:lang w:val="en-US"/>
              </w:rPr>
              <w:t xml:space="preserve"> multiplex test options be excluded from this expansion of the NBS because they are dominated by other test options:</w:t>
            </w:r>
          </w:p>
          <w:p w14:paraId="4DB19F07"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lang w:val="en-US"/>
              </w:rPr>
              <w:t>(a) they are more expensive</w:t>
            </w:r>
          </w:p>
          <w:p w14:paraId="322EA88F"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lang w:val="en-US"/>
              </w:rPr>
              <w:t>(b) they are not more accurate</w:t>
            </w:r>
          </w:p>
          <w:p w14:paraId="430547B2"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lang w:val="en-US"/>
              </w:rPr>
              <w:t xml:space="preserve">(c) they report results for conditions agreed by health ministers not to progress to MSAC for possible inclusion in the NBS, </w:t>
            </w:r>
            <w:r w:rsidRPr="00D07BE9">
              <w:rPr>
                <w:rFonts w:ascii="Arial Narrow" w:eastAsia="Calibri" w:hAnsi="Arial Narrow" w:cs="Arial"/>
                <w:lang w:val="en-US"/>
              </w:rPr>
              <w:t>thus creating avoidable ethical difficulties for the reporting pathologist.</w:t>
            </w:r>
          </w:p>
        </w:tc>
      </w:tr>
      <w:tr w:rsidR="00ED5CB7" w:rsidRPr="00F93C5B" w14:paraId="030C3930"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tcPr>
          <w:p w14:paraId="54E9A848"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Accuracy ranges</w:t>
            </w:r>
          </w:p>
        </w:tc>
        <w:tc>
          <w:tcPr>
            <w:tcW w:w="3392" w:type="dxa"/>
            <w:tcBorders>
              <w:top w:val="single" w:sz="4" w:space="0" w:color="auto"/>
              <w:left w:val="single" w:sz="4" w:space="0" w:color="auto"/>
              <w:bottom w:val="single" w:sz="4" w:space="0" w:color="auto"/>
              <w:right w:val="single" w:sz="4" w:space="0" w:color="auto"/>
            </w:tcBorders>
          </w:tcPr>
          <w:p w14:paraId="22E9C4A6"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First-tier screen positive: 0.015% - 0.41%</w:t>
            </w:r>
          </w:p>
          <w:p w14:paraId="7D29DCC2"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  positive predictive value: 3.5% - 50%</w:t>
            </w:r>
          </w:p>
          <w:p w14:paraId="4A06F11E"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  sensitivity: 100%</w:t>
            </w:r>
          </w:p>
          <w:p w14:paraId="075CE272"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  false positive rate: 50% - 96.5%</w:t>
            </w:r>
          </w:p>
          <w:p w14:paraId="1167DB07"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Re-test positive: 0.008% - 0.15%</w:t>
            </w:r>
          </w:p>
          <w:p w14:paraId="584A4414"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  positive predictive value: 15% - 80%</w:t>
            </w:r>
          </w:p>
          <w:p w14:paraId="3422975F"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  sensitivity: 100%</w:t>
            </w:r>
          </w:p>
          <w:p w14:paraId="2E15E4C4"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  false positive rate: 20% - 86%</w:t>
            </w:r>
          </w:p>
        </w:tc>
        <w:tc>
          <w:tcPr>
            <w:tcW w:w="3393" w:type="dxa"/>
            <w:tcBorders>
              <w:top w:val="single" w:sz="4" w:space="0" w:color="auto"/>
              <w:left w:val="single" w:sz="4" w:space="0" w:color="auto"/>
              <w:bottom w:val="single" w:sz="4" w:space="0" w:color="auto"/>
              <w:right w:val="single" w:sz="4" w:space="0" w:color="auto"/>
            </w:tcBorders>
          </w:tcPr>
          <w:p w14:paraId="18F5F119" w14:textId="77777777" w:rsidR="00ED5CB7" w:rsidRPr="00F93C5B" w:rsidRDefault="00ED5CB7" w:rsidP="00834258">
            <w:pPr>
              <w:spacing w:before="0" w:after="0"/>
              <w:rPr>
                <w:rFonts w:ascii="Arial Narrow" w:hAnsi="Arial Narrow"/>
              </w:rPr>
            </w:pPr>
            <w:r w:rsidRPr="00F93C5B">
              <w:rPr>
                <w:rFonts w:ascii="Arial Narrow" w:hAnsi="Arial Narrow"/>
              </w:rPr>
              <w:t>Positive GSD II cases of symptomatic patients tested: 0.8% - 2.9%</w:t>
            </w:r>
          </w:p>
          <w:p w14:paraId="2E2F00E8"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  positive predictive value: </w:t>
            </w:r>
            <w:r w:rsidRPr="00F93C5B">
              <w:rPr>
                <w:rFonts w:ascii="Arial Narrow" w:hAnsi="Arial Narrow"/>
              </w:rPr>
              <w:t>17.5% - 100% (these are the best results, which came from patients older than 1 year of age who presented with unexplained elevated CK and/or undiagnosed limb-girdle weakness)</w:t>
            </w:r>
          </w:p>
        </w:tc>
        <w:tc>
          <w:tcPr>
            <w:tcW w:w="3393" w:type="dxa"/>
            <w:tcBorders>
              <w:top w:val="single" w:sz="4" w:space="0" w:color="auto"/>
              <w:left w:val="single" w:sz="4" w:space="0" w:color="auto"/>
              <w:bottom w:val="single" w:sz="4" w:space="0" w:color="auto"/>
              <w:right w:val="single" w:sz="4" w:space="0" w:color="auto"/>
            </w:tcBorders>
          </w:tcPr>
          <w:p w14:paraId="5C42A04B"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MSAC should consider whether to advise that </w:t>
            </w:r>
            <w:r w:rsidRPr="00F93C5B">
              <w:rPr>
                <w:rFonts w:ascii="Arial Narrow" w:eastAsia="Calibri" w:hAnsi="Arial Narrow" w:cs="Arial"/>
                <w:lang w:val="en-US"/>
              </w:rPr>
              <w:t>an ethical obligation to inform parents of a possible GSD II diagnosis arises once further investigation of the child needs their consent to proceed beyond the original bloodspot sample and therefore an ethical obligation subsequently arises to inform the parents of the outcome of the further investigation</w:t>
            </w:r>
            <w:r w:rsidRPr="00F93C5B">
              <w:rPr>
                <w:rFonts w:ascii="Arial Narrow" w:eastAsia="Calibri" w:hAnsi="Arial Narrow" w:cs="Arial"/>
              </w:rPr>
              <w:t>.</w:t>
            </w:r>
          </w:p>
        </w:tc>
      </w:tr>
      <w:tr w:rsidR="00ED5CB7" w:rsidRPr="00F93C5B" w14:paraId="4240CC47" w14:textId="77777777" w:rsidTr="00175863">
        <w:trPr>
          <w:trHeight w:val="227"/>
        </w:trPr>
        <w:tc>
          <w:tcPr>
            <w:tcW w:w="7073" w:type="dxa"/>
            <w:gridSpan w:val="2"/>
            <w:tcBorders>
              <w:top w:val="single" w:sz="4" w:space="0" w:color="auto"/>
              <w:left w:val="single" w:sz="4" w:space="0" w:color="auto"/>
              <w:bottom w:val="single" w:sz="4" w:space="0" w:color="auto"/>
              <w:right w:val="nil"/>
            </w:tcBorders>
          </w:tcPr>
          <w:p w14:paraId="06FA950C"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b/>
                <w:bCs/>
              </w:rPr>
              <w:t>2) Determination of disease subtype and prognosis following NBS?</w:t>
            </w:r>
          </w:p>
        </w:tc>
        <w:tc>
          <w:tcPr>
            <w:tcW w:w="3393" w:type="dxa"/>
            <w:tcBorders>
              <w:top w:val="single" w:sz="4" w:space="0" w:color="auto"/>
              <w:left w:val="nil"/>
              <w:bottom w:val="single" w:sz="4" w:space="0" w:color="auto"/>
              <w:right w:val="nil"/>
            </w:tcBorders>
          </w:tcPr>
          <w:p w14:paraId="5634A016"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nil"/>
              <w:bottom w:val="single" w:sz="4" w:space="0" w:color="auto"/>
              <w:right w:val="single" w:sz="4" w:space="0" w:color="auto"/>
            </w:tcBorders>
          </w:tcPr>
          <w:p w14:paraId="3BEE5BB4" w14:textId="77777777" w:rsidR="00ED5CB7" w:rsidRPr="00F93C5B" w:rsidRDefault="00ED5CB7" w:rsidP="00834258">
            <w:pPr>
              <w:spacing w:before="0" w:after="0"/>
              <w:rPr>
                <w:rFonts w:ascii="Arial Narrow" w:eastAsia="Calibri" w:hAnsi="Arial Narrow" w:cs="Arial"/>
              </w:rPr>
            </w:pPr>
          </w:p>
        </w:tc>
      </w:tr>
      <w:tr w:rsidR="00ED5CB7" w:rsidRPr="00F93C5B" w14:paraId="78268CA4"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tcPr>
          <w:p w14:paraId="4AE988FF" w14:textId="77777777" w:rsidR="00ED5CB7" w:rsidRPr="00F93C5B" w:rsidRDefault="00ED5CB7" w:rsidP="00834258">
            <w:pPr>
              <w:spacing w:before="0" w:after="0"/>
              <w:rPr>
                <w:rFonts w:ascii="Arial Narrow" w:eastAsia="Calibri" w:hAnsi="Arial Narrow" w:cs="Arial"/>
              </w:rPr>
            </w:pPr>
          </w:p>
        </w:tc>
        <w:tc>
          <w:tcPr>
            <w:tcW w:w="3392" w:type="dxa"/>
            <w:tcBorders>
              <w:top w:val="single" w:sz="4" w:space="0" w:color="auto"/>
              <w:left w:val="single" w:sz="4" w:space="0" w:color="auto"/>
              <w:bottom w:val="single" w:sz="4" w:space="0" w:color="auto"/>
              <w:right w:val="single" w:sz="4" w:space="0" w:color="auto"/>
            </w:tcBorders>
          </w:tcPr>
          <w:p w14:paraId="7C398A3B"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Partially for disease sub-type. IOGSD II is determined via clinical evidence of cardiomyopathy, but for all other identified cases, LOGSD II cannot always be distinguished from </w:t>
            </w:r>
            <w:proofErr w:type="spellStart"/>
            <w:r w:rsidRPr="00F93C5B">
              <w:rPr>
                <w:rFonts w:ascii="Arial Narrow" w:eastAsia="Calibri" w:hAnsi="Arial Narrow" w:cs="Arial"/>
              </w:rPr>
              <w:t>pseudodeficiency</w:t>
            </w:r>
            <w:proofErr w:type="spellEnd"/>
            <w:r w:rsidRPr="00F93C5B">
              <w:rPr>
                <w:rFonts w:ascii="Arial Narrow" w:eastAsia="Calibri" w:hAnsi="Arial Narrow" w:cs="Arial"/>
              </w:rPr>
              <w:t>.</w:t>
            </w:r>
          </w:p>
          <w:p w14:paraId="4678F358"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No for prognosis.</w:t>
            </w:r>
          </w:p>
        </w:tc>
        <w:tc>
          <w:tcPr>
            <w:tcW w:w="3393" w:type="dxa"/>
            <w:tcBorders>
              <w:top w:val="single" w:sz="4" w:space="0" w:color="auto"/>
              <w:left w:val="single" w:sz="4" w:space="0" w:color="auto"/>
              <w:bottom w:val="single" w:sz="4" w:space="0" w:color="auto"/>
              <w:right w:val="single" w:sz="4" w:space="0" w:color="auto"/>
            </w:tcBorders>
          </w:tcPr>
          <w:p w14:paraId="291C3ED4"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w:t>
            </w:r>
          </w:p>
        </w:tc>
        <w:tc>
          <w:tcPr>
            <w:tcW w:w="3393" w:type="dxa"/>
            <w:tcBorders>
              <w:top w:val="single" w:sz="4" w:space="0" w:color="auto"/>
              <w:left w:val="single" w:sz="4" w:space="0" w:color="auto"/>
              <w:bottom w:val="single" w:sz="4" w:space="0" w:color="auto"/>
              <w:right w:val="single" w:sz="4" w:space="0" w:color="auto"/>
            </w:tcBorders>
          </w:tcPr>
          <w:p w14:paraId="30B6A5FB" w14:textId="77777777" w:rsidR="00ED5CB7" w:rsidRDefault="00ED5CB7" w:rsidP="00834258">
            <w:pPr>
              <w:spacing w:before="0" w:after="0"/>
              <w:rPr>
                <w:rFonts w:ascii="Arial Narrow" w:eastAsia="Calibri" w:hAnsi="Arial Narrow" w:cs="Arial"/>
              </w:rPr>
            </w:pPr>
            <w:r w:rsidRPr="00F93C5B">
              <w:rPr>
                <w:rFonts w:ascii="Arial Narrow" w:eastAsia="Calibri" w:hAnsi="Arial Narrow" w:cs="Arial"/>
              </w:rPr>
              <w:t xml:space="preserve">The current treated prognosis for IOGSD II is a median of life expectancy of 23.5 months (interquartile range 14.5 months to 44.5 months), but this result is among the 88/332 </w:t>
            </w:r>
            <w:r w:rsidRPr="00F93C5B">
              <w:rPr>
                <w:rFonts w:ascii="Arial Narrow" w:hAnsi="Arial Narrow"/>
              </w:rPr>
              <w:t xml:space="preserve">Pompe </w:t>
            </w:r>
            <w:proofErr w:type="spellStart"/>
            <w:r w:rsidRPr="00F93C5B">
              <w:rPr>
                <w:rFonts w:ascii="Arial Narrow" w:hAnsi="Arial Narrow"/>
              </w:rPr>
              <w:t>Registry</w:t>
            </w:r>
            <w:r w:rsidRPr="00F93C5B">
              <w:rPr>
                <w:rFonts w:ascii="Arial Narrow" w:hAnsi="Arial Narrow"/>
                <w:vertAlign w:val="superscript"/>
              </w:rPr>
              <w:t>a</w:t>
            </w:r>
            <w:proofErr w:type="spellEnd"/>
            <w:r w:rsidRPr="00F93C5B">
              <w:rPr>
                <w:rFonts w:ascii="Arial Narrow" w:eastAsia="Calibri" w:hAnsi="Arial Narrow" w:cs="Arial"/>
              </w:rPr>
              <w:t xml:space="preserve"> patients who died within the study period, so is right-censored (that is, younger than the expected overall median and interquartile range). The current treated prognosis for LOGSD II is not reported. </w:t>
            </w:r>
            <w:proofErr w:type="spellStart"/>
            <w:r w:rsidRPr="00F93C5B">
              <w:rPr>
                <w:rFonts w:ascii="Arial Narrow" w:eastAsia="Calibri" w:hAnsi="Arial Narrow" w:cs="Arial"/>
              </w:rPr>
              <w:t>Pseudodeficiency</w:t>
            </w:r>
            <w:proofErr w:type="spellEnd"/>
            <w:r w:rsidRPr="00F93C5B">
              <w:rPr>
                <w:rFonts w:ascii="Arial Narrow" w:eastAsia="Calibri" w:hAnsi="Arial Narrow" w:cs="Arial"/>
              </w:rPr>
              <w:t xml:space="preserve"> remains asymptomatic for life.</w:t>
            </w:r>
          </w:p>
          <w:p w14:paraId="3BA305E9" w14:textId="77777777" w:rsidR="002739C5" w:rsidRPr="00F93C5B" w:rsidRDefault="002739C5" w:rsidP="00834258">
            <w:pPr>
              <w:spacing w:before="0" w:after="0"/>
              <w:rPr>
                <w:rFonts w:ascii="Arial Narrow" w:eastAsia="Calibri" w:hAnsi="Arial Narrow" w:cs="Arial"/>
              </w:rPr>
            </w:pPr>
          </w:p>
        </w:tc>
      </w:tr>
      <w:tr w:rsidR="00ED5CB7" w:rsidRPr="00F93C5B" w14:paraId="1446FBBC" w14:textId="77777777" w:rsidTr="00175863">
        <w:trPr>
          <w:trHeight w:val="227"/>
        </w:trPr>
        <w:tc>
          <w:tcPr>
            <w:tcW w:w="3681" w:type="dxa"/>
            <w:tcBorders>
              <w:top w:val="single" w:sz="4" w:space="0" w:color="auto"/>
              <w:left w:val="single" w:sz="4" w:space="0" w:color="auto"/>
              <w:bottom w:val="single" w:sz="4" w:space="0" w:color="auto"/>
              <w:right w:val="nil"/>
            </w:tcBorders>
            <w:hideMark/>
          </w:tcPr>
          <w:p w14:paraId="79EE56FA" w14:textId="77777777" w:rsidR="00ED5CB7" w:rsidRPr="00F93C5B" w:rsidRDefault="00ED5CB7" w:rsidP="00834258">
            <w:pPr>
              <w:spacing w:before="0" w:after="0"/>
              <w:rPr>
                <w:rFonts w:ascii="Arial Narrow" w:eastAsia="Calibri" w:hAnsi="Arial Narrow" w:cs="Arial"/>
                <w:b/>
                <w:bCs/>
              </w:rPr>
            </w:pPr>
            <w:r w:rsidRPr="00F93C5B">
              <w:rPr>
                <w:rFonts w:ascii="Arial Narrow" w:eastAsia="Calibri" w:hAnsi="Arial Narrow" w:cs="Arial"/>
                <w:b/>
                <w:bCs/>
              </w:rPr>
              <w:t>3) Effective treatment of each GSD II subtype?</w:t>
            </w:r>
          </w:p>
        </w:tc>
        <w:tc>
          <w:tcPr>
            <w:tcW w:w="3392" w:type="dxa"/>
            <w:tcBorders>
              <w:top w:val="single" w:sz="4" w:space="0" w:color="auto"/>
              <w:left w:val="nil"/>
              <w:bottom w:val="single" w:sz="4" w:space="0" w:color="auto"/>
              <w:right w:val="nil"/>
            </w:tcBorders>
          </w:tcPr>
          <w:p w14:paraId="478BA823"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nil"/>
              <w:bottom w:val="single" w:sz="4" w:space="0" w:color="auto"/>
              <w:right w:val="nil"/>
            </w:tcBorders>
          </w:tcPr>
          <w:p w14:paraId="53BE0F2B"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nil"/>
              <w:bottom w:val="single" w:sz="4" w:space="0" w:color="auto"/>
              <w:right w:val="single" w:sz="4" w:space="0" w:color="auto"/>
            </w:tcBorders>
          </w:tcPr>
          <w:p w14:paraId="3D58D743" w14:textId="77777777" w:rsidR="00ED5CB7" w:rsidRPr="00F93C5B" w:rsidRDefault="00ED5CB7" w:rsidP="00834258">
            <w:pPr>
              <w:spacing w:before="0" w:after="0"/>
              <w:rPr>
                <w:rFonts w:ascii="Arial Narrow" w:eastAsia="Calibri" w:hAnsi="Arial Narrow" w:cs="Arial"/>
              </w:rPr>
            </w:pPr>
          </w:p>
        </w:tc>
      </w:tr>
      <w:tr w:rsidR="00ED5CB7" w:rsidRPr="00F93C5B" w14:paraId="66D26D30" w14:textId="77777777" w:rsidTr="00175863">
        <w:trPr>
          <w:trHeight w:val="269"/>
        </w:trPr>
        <w:tc>
          <w:tcPr>
            <w:tcW w:w="3681" w:type="dxa"/>
            <w:tcBorders>
              <w:top w:val="single" w:sz="4" w:space="0" w:color="auto"/>
              <w:left w:val="single" w:sz="4" w:space="0" w:color="auto"/>
              <w:bottom w:val="single" w:sz="4" w:space="0" w:color="auto"/>
              <w:right w:val="single" w:sz="4" w:space="0" w:color="auto"/>
            </w:tcBorders>
            <w:hideMark/>
          </w:tcPr>
          <w:p w14:paraId="02341F56" w14:textId="77777777" w:rsidR="00ED5CB7" w:rsidRPr="00F93C5B" w:rsidRDefault="00ED5CB7" w:rsidP="00834258">
            <w:pPr>
              <w:spacing w:before="0" w:after="0"/>
              <w:ind w:left="112"/>
              <w:rPr>
                <w:rFonts w:ascii="Arial Narrow" w:eastAsia="Calibri" w:hAnsi="Arial Narrow" w:cs="Arial"/>
              </w:rPr>
            </w:pPr>
            <w:r w:rsidRPr="00F93C5B">
              <w:rPr>
                <w:rFonts w:ascii="Arial Narrow" w:hAnsi="Arial Narrow"/>
              </w:rPr>
              <w:t>IOGSD II</w:t>
            </w:r>
          </w:p>
        </w:tc>
        <w:tc>
          <w:tcPr>
            <w:tcW w:w="3392" w:type="dxa"/>
            <w:tcBorders>
              <w:top w:val="single" w:sz="4" w:space="0" w:color="auto"/>
              <w:left w:val="single" w:sz="4" w:space="0" w:color="auto"/>
              <w:bottom w:val="single" w:sz="4" w:space="0" w:color="auto"/>
              <w:right w:val="single" w:sz="4" w:space="0" w:color="auto"/>
            </w:tcBorders>
          </w:tcPr>
          <w:p w14:paraId="24A2D706"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Yes, ERT (</w:t>
            </w:r>
            <w:proofErr w:type="spellStart"/>
            <w:r w:rsidRPr="00F93C5B">
              <w:rPr>
                <w:rFonts w:ascii="Arial Narrow" w:eastAsia="Calibri" w:hAnsi="Arial Narrow" w:cs="Arial"/>
              </w:rPr>
              <w:t>alglucosidase</w:t>
            </w:r>
            <w:proofErr w:type="spellEnd"/>
            <w:r w:rsidRPr="00F93C5B">
              <w:rPr>
                <w:rFonts w:ascii="Arial Narrow" w:eastAsia="Calibri" w:hAnsi="Arial Narrow" w:cs="Arial"/>
              </w:rPr>
              <w:t xml:space="preserve"> alfa or </w:t>
            </w:r>
            <w:proofErr w:type="spellStart"/>
            <w:r w:rsidRPr="00F93C5B">
              <w:rPr>
                <w:rFonts w:ascii="Arial Narrow" w:eastAsia="Calibri" w:hAnsi="Arial Narrow" w:cs="Arial"/>
              </w:rPr>
              <w:t>avalglucosidase</w:t>
            </w:r>
            <w:proofErr w:type="spellEnd"/>
            <w:r w:rsidRPr="00F93C5B">
              <w:rPr>
                <w:rFonts w:ascii="Arial Narrow" w:eastAsia="Calibri" w:hAnsi="Arial Narrow" w:cs="Arial"/>
              </w:rPr>
              <w:t xml:space="preserve"> alfa) via the LSDP if the initial application is made before 24 months of age</w:t>
            </w:r>
          </w:p>
        </w:tc>
        <w:tc>
          <w:tcPr>
            <w:tcW w:w="3393" w:type="dxa"/>
            <w:tcBorders>
              <w:top w:val="single" w:sz="4" w:space="0" w:color="auto"/>
              <w:left w:val="single" w:sz="4" w:space="0" w:color="auto"/>
              <w:bottom w:val="single" w:sz="4" w:space="0" w:color="auto"/>
              <w:right w:val="single" w:sz="4" w:space="0" w:color="auto"/>
            </w:tcBorders>
            <w:hideMark/>
          </w:tcPr>
          <w:p w14:paraId="161FBE2D"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w:t>
            </w:r>
          </w:p>
        </w:tc>
        <w:tc>
          <w:tcPr>
            <w:tcW w:w="3393" w:type="dxa"/>
            <w:tcBorders>
              <w:top w:val="single" w:sz="4" w:space="0" w:color="auto"/>
              <w:left w:val="single" w:sz="4" w:space="0" w:color="auto"/>
              <w:bottom w:val="single" w:sz="4" w:space="0" w:color="auto"/>
              <w:right w:val="single" w:sz="4" w:space="0" w:color="auto"/>
            </w:tcBorders>
          </w:tcPr>
          <w:p w14:paraId="5ACF8948" w14:textId="77777777" w:rsidR="00ED5CB7" w:rsidRPr="00F93C5B" w:rsidRDefault="00ED5CB7" w:rsidP="00834258">
            <w:pPr>
              <w:spacing w:before="0" w:after="0"/>
              <w:rPr>
                <w:rFonts w:ascii="Arial Narrow" w:eastAsia="Calibri" w:hAnsi="Arial Narrow" w:cs="Arial"/>
              </w:rPr>
            </w:pPr>
            <w:proofErr w:type="spellStart"/>
            <w:r w:rsidRPr="00F93C5B">
              <w:rPr>
                <w:rFonts w:ascii="Arial Narrow" w:eastAsia="Calibri" w:hAnsi="Arial Narrow" w:cs="Arial"/>
              </w:rPr>
              <w:t>Avalglucosidase</w:t>
            </w:r>
            <w:proofErr w:type="spellEnd"/>
            <w:r w:rsidRPr="00F93C5B">
              <w:rPr>
                <w:rFonts w:ascii="Arial Narrow" w:eastAsia="Calibri" w:hAnsi="Arial Narrow" w:cs="Arial"/>
              </w:rPr>
              <w:t xml:space="preserve"> alfa is not LSDP-approved before 12 months of age.</w:t>
            </w:r>
          </w:p>
        </w:tc>
      </w:tr>
      <w:tr w:rsidR="00ED5CB7" w:rsidRPr="00F93C5B" w14:paraId="05F30FEB" w14:textId="77777777" w:rsidTr="00175863">
        <w:trPr>
          <w:trHeight w:val="269"/>
        </w:trPr>
        <w:tc>
          <w:tcPr>
            <w:tcW w:w="3681" w:type="dxa"/>
            <w:tcBorders>
              <w:top w:val="single" w:sz="4" w:space="0" w:color="auto"/>
              <w:left w:val="single" w:sz="4" w:space="0" w:color="auto"/>
              <w:bottom w:val="single" w:sz="4" w:space="0" w:color="auto"/>
              <w:right w:val="single" w:sz="4" w:space="0" w:color="auto"/>
            </w:tcBorders>
            <w:hideMark/>
          </w:tcPr>
          <w:p w14:paraId="31B3C911" w14:textId="77777777" w:rsidR="00ED5CB7" w:rsidRPr="00F93C5B" w:rsidRDefault="00ED5CB7" w:rsidP="00834258">
            <w:pPr>
              <w:spacing w:before="0" w:after="0"/>
              <w:ind w:left="112"/>
              <w:rPr>
                <w:rFonts w:ascii="Arial Narrow" w:eastAsia="Calibri" w:hAnsi="Arial Narrow" w:cs="Arial"/>
              </w:rPr>
            </w:pPr>
            <w:r w:rsidRPr="00F93C5B">
              <w:rPr>
                <w:rFonts w:ascii="Arial Narrow" w:hAnsi="Arial Narrow"/>
              </w:rPr>
              <w:t>LOGSD II, presymptomatic</w:t>
            </w:r>
          </w:p>
        </w:tc>
        <w:tc>
          <w:tcPr>
            <w:tcW w:w="3392" w:type="dxa"/>
            <w:tcBorders>
              <w:top w:val="single" w:sz="4" w:space="0" w:color="auto"/>
              <w:left w:val="single" w:sz="4" w:space="0" w:color="auto"/>
              <w:bottom w:val="single" w:sz="4" w:space="0" w:color="auto"/>
              <w:right w:val="single" w:sz="4" w:space="0" w:color="auto"/>
            </w:tcBorders>
          </w:tcPr>
          <w:p w14:paraId="593569F7"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Yes, </w:t>
            </w:r>
            <w:proofErr w:type="spellStart"/>
            <w:r w:rsidRPr="00F93C5B">
              <w:rPr>
                <w:rFonts w:ascii="Arial Narrow" w:eastAsia="Calibri" w:hAnsi="Arial Narrow" w:cs="Arial"/>
              </w:rPr>
              <w:t>alglucosidase</w:t>
            </w:r>
            <w:proofErr w:type="spellEnd"/>
            <w:r w:rsidRPr="00F93C5B">
              <w:rPr>
                <w:rFonts w:ascii="Arial Narrow" w:eastAsia="Calibri" w:hAnsi="Arial Narrow" w:cs="Arial"/>
              </w:rPr>
              <w:t xml:space="preserve"> alfa or </w:t>
            </w:r>
            <w:proofErr w:type="spellStart"/>
            <w:r w:rsidRPr="00F93C5B">
              <w:rPr>
                <w:rFonts w:ascii="Arial Narrow" w:eastAsia="Calibri" w:hAnsi="Arial Narrow" w:cs="Arial"/>
              </w:rPr>
              <w:t>avalglucosidase</w:t>
            </w:r>
            <w:proofErr w:type="spellEnd"/>
            <w:r w:rsidRPr="00F93C5B">
              <w:rPr>
                <w:rFonts w:ascii="Arial Narrow" w:eastAsia="Calibri" w:hAnsi="Arial Narrow" w:cs="Arial"/>
              </w:rPr>
              <w:t xml:space="preserve"> alfa via the LSDP if the initial application is made after 24 months and before 18 years of age</w:t>
            </w:r>
          </w:p>
        </w:tc>
        <w:tc>
          <w:tcPr>
            <w:tcW w:w="3393" w:type="dxa"/>
            <w:tcBorders>
              <w:top w:val="single" w:sz="4" w:space="0" w:color="auto"/>
              <w:left w:val="single" w:sz="4" w:space="0" w:color="auto"/>
              <w:bottom w:val="single" w:sz="4" w:space="0" w:color="auto"/>
              <w:right w:val="single" w:sz="4" w:space="0" w:color="auto"/>
            </w:tcBorders>
            <w:hideMark/>
          </w:tcPr>
          <w:p w14:paraId="712F0BEF"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w:t>
            </w:r>
          </w:p>
        </w:tc>
        <w:tc>
          <w:tcPr>
            <w:tcW w:w="3393" w:type="dxa"/>
            <w:tcBorders>
              <w:top w:val="single" w:sz="4" w:space="0" w:color="auto"/>
              <w:left w:val="single" w:sz="4" w:space="0" w:color="auto"/>
              <w:bottom w:val="single" w:sz="4" w:space="0" w:color="auto"/>
              <w:right w:val="single" w:sz="4" w:space="0" w:color="auto"/>
            </w:tcBorders>
          </w:tcPr>
          <w:p w14:paraId="34E9BC8C" w14:textId="77777777" w:rsidR="00ED5CB7" w:rsidRPr="00F93C5B" w:rsidRDefault="00ED5CB7" w:rsidP="00834258">
            <w:pPr>
              <w:spacing w:before="0" w:after="0"/>
              <w:rPr>
                <w:rFonts w:ascii="Arial Narrow" w:eastAsia="Calibri" w:hAnsi="Arial Narrow" w:cs="Arial"/>
              </w:rPr>
            </w:pPr>
          </w:p>
        </w:tc>
      </w:tr>
      <w:tr w:rsidR="00ED5CB7" w:rsidRPr="00F93C5B" w14:paraId="3EA423AD" w14:textId="77777777" w:rsidTr="00175863">
        <w:trPr>
          <w:trHeight w:val="269"/>
        </w:trPr>
        <w:tc>
          <w:tcPr>
            <w:tcW w:w="3681" w:type="dxa"/>
            <w:tcBorders>
              <w:top w:val="single" w:sz="4" w:space="0" w:color="auto"/>
              <w:left w:val="single" w:sz="4" w:space="0" w:color="auto"/>
              <w:bottom w:val="single" w:sz="4" w:space="0" w:color="auto"/>
              <w:right w:val="single" w:sz="4" w:space="0" w:color="auto"/>
            </w:tcBorders>
            <w:hideMark/>
          </w:tcPr>
          <w:p w14:paraId="58B661AB" w14:textId="77777777" w:rsidR="00ED5CB7" w:rsidRPr="00F93C5B" w:rsidRDefault="00ED5CB7" w:rsidP="00834258">
            <w:pPr>
              <w:spacing w:before="0" w:after="0"/>
              <w:ind w:left="112"/>
              <w:rPr>
                <w:rFonts w:ascii="Arial Narrow" w:eastAsia="Calibri" w:hAnsi="Arial Narrow" w:cs="Arial"/>
              </w:rPr>
            </w:pPr>
            <w:r w:rsidRPr="00F93C5B">
              <w:rPr>
                <w:rFonts w:ascii="Arial Narrow" w:hAnsi="Arial Narrow"/>
              </w:rPr>
              <w:t>LOGSD II, symptomatic</w:t>
            </w:r>
          </w:p>
        </w:tc>
        <w:tc>
          <w:tcPr>
            <w:tcW w:w="3392" w:type="dxa"/>
            <w:tcBorders>
              <w:top w:val="single" w:sz="4" w:space="0" w:color="auto"/>
              <w:left w:val="single" w:sz="4" w:space="0" w:color="auto"/>
              <w:bottom w:val="single" w:sz="4" w:space="0" w:color="auto"/>
              <w:right w:val="single" w:sz="4" w:space="0" w:color="auto"/>
            </w:tcBorders>
          </w:tcPr>
          <w:p w14:paraId="67CDB8E8"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Yes, </w:t>
            </w:r>
            <w:proofErr w:type="spellStart"/>
            <w:r w:rsidRPr="00F93C5B">
              <w:rPr>
                <w:rFonts w:ascii="Arial Narrow" w:eastAsia="Calibri" w:hAnsi="Arial Narrow" w:cs="Arial"/>
              </w:rPr>
              <w:t>alglucosidase</w:t>
            </w:r>
            <w:proofErr w:type="spellEnd"/>
            <w:r w:rsidRPr="00F93C5B">
              <w:rPr>
                <w:rFonts w:ascii="Arial Narrow" w:eastAsia="Calibri" w:hAnsi="Arial Narrow" w:cs="Arial"/>
              </w:rPr>
              <w:t xml:space="preserve"> alfa or </w:t>
            </w:r>
            <w:proofErr w:type="spellStart"/>
            <w:r w:rsidRPr="00F93C5B">
              <w:rPr>
                <w:rFonts w:ascii="Arial Narrow" w:eastAsia="Calibri" w:hAnsi="Arial Narrow" w:cs="Arial"/>
              </w:rPr>
              <w:t>avalglucosidase</w:t>
            </w:r>
            <w:proofErr w:type="spellEnd"/>
            <w:r w:rsidRPr="00F93C5B">
              <w:rPr>
                <w:rFonts w:ascii="Arial Narrow" w:eastAsia="Calibri" w:hAnsi="Arial Narrow" w:cs="Arial"/>
              </w:rPr>
              <w:t xml:space="preserve"> alfa via the LSDP if the initial application is made after 24 months of age</w:t>
            </w:r>
          </w:p>
        </w:tc>
        <w:tc>
          <w:tcPr>
            <w:tcW w:w="3393" w:type="dxa"/>
            <w:tcBorders>
              <w:top w:val="single" w:sz="4" w:space="0" w:color="auto"/>
              <w:left w:val="single" w:sz="4" w:space="0" w:color="auto"/>
              <w:bottom w:val="single" w:sz="4" w:space="0" w:color="auto"/>
              <w:right w:val="single" w:sz="4" w:space="0" w:color="auto"/>
            </w:tcBorders>
            <w:hideMark/>
          </w:tcPr>
          <w:p w14:paraId="5A3B89AD"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w:t>
            </w:r>
          </w:p>
        </w:tc>
        <w:tc>
          <w:tcPr>
            <w:tcW w:w="3393" w:type="dxa"/>
            <w:tcBorders>
              <w:top w:val="single" w:sz="4" w:space="0" w:color="auto"/>
              <w:left w:val="single" w:sz="4" w:space="0" w:color="auto"/>
              <w:bottom w:val="single" w:sz="4" w:space="0" w:color="auto"/>
              <w:right w:val="single" w:sz="4" w:space="0" w:color="auto"/>
            </w:tcBorders>
          </w:tcPr>
          <w:p w14:paraId="391D932E" w14:textId="77777777" w:rsidR="00ED5CB7" w:rsidRPr="00F93C5B" w:rsidRDefault="00ED5CB7" w:rsidP="00834258">
            <w:pPr>
              <w:spacing w:before="0" w:after="0"/>
              <w:rPr>
                <w:rFonts w:ascii="Arial Narrow" w:eastAsia="Calibri" w:hAnsi="Arial Narrow" w:cs="Arial"/>
              </w:rPr>
            </w:pPr>
          </w:p>
        </w:tc>
      </w:tr>
      <w:tr w:rsidR="00ED5CB7" w:rsidRPr="00F93C5B" w14:paraId="27BFBBE1" w14:textId="77777777" w:rsidTr="00175863">
        <w:trPr>
          <w:trHeight w:val="269"/>
        </w:trPr>
        <w:tc>
          <w:tcPr>
            <w:tcW w:w="3681" w:type="dxa"/>
            <w:tcBorders>
              <w:top w:val="single" w:sz="4" w:space="0" w:color="auto"/>
              <w:left w:val="single" w:sz="4" w:space="0" w:color="auto"/>
              <w:bottom w:val="single" w:sz="4" w:space="0" w:color="auto"/>
              <w:right w:val="single" w:sz="4" w:space="0" w:color="auto"/>
            </w:tcBorders>
            <w:hideMark/>
          </w:tcPr>
          <w:p w14:paraId="39F98721" w14:textId="77777777" w:rsidR="00ED5CB7" w:rsidRPr="00F93C5B" w:rsidRDefault="00ED5CB7" w:rsidP="00834258">
            <w:pPr>
              <w:spacing w:before="0" w:after="0"/>
              <w:ind w:left="112"/>
              <w:rPr>
                <w:rFonts w:ascii="Arial Narrow" w:eastAsia="Calibri" w:hAnsi="Arial Narrow" w:cs="Arial"/>
              </w:rPr>
            </w:pPr>
            <w:proofErr w:type="spellStart"/>
            <w:r w:rsidRPr="00F93C5B">
              <w:rPr>
                <w:rFonts w:ascii="Arial Narrow" w:hAnsi="Arial Narrow"/>
              </w:rPr>
              <w:t>Pseudodeficiency</w:t>
            </w:r>
            <w:proofErr w:type="spellEnd"/>
          </w:p>
        </w:tc>
        <w:tc>
          <w:tcPr>
            <w:tcW w:w="3392" w:type="dxa"/>
            <w:tcBorders>
              <w:top w:val="single" w:sz="4" w:space="0" w:color="auto"/>
              <w:left w:val="single" w:sz="4" w:space="0" w:color="auto"/>
              <w:bottom w:val="single" w:sz="4" w:space="0" w:color="auto"/>
              <w:right w:val="single" w:sz="4" w:space="0" w:color="auto"/>
            </w:tcBorders>
          </w:tcPr>
          <w:p w14:paraId="34C1CA51"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Not required</w:t>
            </w:r>
          </w:p>
        </w:tc>
        <w:tc>
          <w:tcPr>
            <w:tcW w:w="3393" w:type="dxa"/>
            <w:tcBorders>
              <w:top w:val="single" w:sz="4" w:space="0" w:color="auto"/>
              <w:left w:val="single" w:sz="4" w:space="0" w:color="auto"/>
              <w:bottom w:val="single" w:sz="4" w:space="0" w:color="auto"/>
              <w:right w:val="single" w:sz="4" w:space="0" w:color="auto"/>
            </w:tcBorders>
            <w:hideMark/>
          </w:tcPr>
          <w:p w14:paraId="097B4A4A"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w:t>
            </w:r>
          </w:p>
        </w:tc>
        <w:tc>
          <w:tcPr>
            <w:tcW w:w="3393" w:type="dxa"/>
            <w:tcBorders>
              <w:top w:val="single" w:sz="4" w:space="0" w:color="auto"/>
              <w:left w:val="single" w:sz="4" w:space="0" w:color="auto"/>
              <w:bottom w:val="single" w:sz="4" w:space="0" w:color="auto"/>
              <w:right w:val="single" w:sz="4" w:space="0" w:color="auto"/>
            </w:tcBorders>
          </w:tcPr>
          <w:p w14:paraId="59DDA996" w14:textId="77777777" w:rsidR="00ED5CB7" w:rsidRPr="00F93C5B" w:rsidRDefault="00ED5CB7" w:rsidP="00834258">
            <w:pPr>
              <w:spacing w:before="0" w:after="0"/>
              <w:rPr>
                <w:rFonts w:ascii="Arial Narrow" w:eastAsia="Calibri" w:hAnsi="Arial Narrow" w:cs="Arial"/>
              </w:rPr>
            </w:pPr>
          </w:p>
        </w:tc>
      </w:tr>
      <w:tr w:rsidR="00ED5CB7" w:rsidRPr="00F93C5B" w14:paraId="2BF5E1E5" w14:textId="77777777" w:rsidTr="00175863">
        <w:trPr>
          <w:trHeight w:val="227"/>
        </w:trPr>
        <w:tc>
          <w:tcPr>
            <w:tcW w:w="13859" w:type="dxa"/>
            <w:gridSpan w:val="4"/>
            <w:tcBorders>
              <w:top w:val="single" w:sz="4" w:space="0" w:color="auto"/>
              <w:left w:val="single" w:sz="4" w:space="0" w:color="auto"/>
              <w:bottom w:val="single" w:sz="4" w:space="0" w:color="auto"/>
              <w:right w:val="single" w:sz="4" w:space="0" w:color="auto"/>
            </w:tcBorders>
            <w:hideMark/>
          </w:tcPr>
          <w:p w14:paraId="01977F28"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b/>
                <w:bCs/>
              </w:rPr>
              <w:t>4) Increased effectiveness of earlier treatment start?</w:t>
            </w:r>
          </w:p>
        </w:tc>
      </w:tr>
      <w:tr w:rsidR="00ED5CB7" w:rsidRPr="00F93C5B" w14:paraId="65E87623" w14:textId="77777777" w:rsidTr="00175863">
        <w:trPr>
          <w:trHeight w:val="227"/>
        </w:trPr>
        <w:tc>
          <w:tcPr>
            <w:tcW w:w="13859" w:type="dxa"/>
            <w:gridSpan w:val="4"/>
            <w:tcBorders>
              <w:top w:val="single" w:sz="4" w:space="0" w:color="auto"/>
              <w:left w:val="single" w:sz="4" w:space="0" w:color="auto"/>
              <w:bottom w:val="single" w:sz="4" w:space="0" w:color="auto"/>
              <w:right w:val="single" w:sz="4" w:space="0" w:color="auto"/>
            </w:tcBorders>
            <w:hideMark/>
          </w:tcPr>
          <w:p w14:paraId="12E7E929"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b/>
                <w:bCs/>
              </w:rPr>
              <w:t>Evidentiary basis = Linked evidence: earlier diagnosis =&gt; earlier management change =&gt; better health outcomes</w:t>
            </w:r>
          </w:p>
        </w:tc>
      </w:tr>
      <w:tr w:rsidR="00ED5CB7" w:rsidRPr="00F93C5B" w14:paraId="3B096962"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hideMark/>
          </w:tcPr>
          <w:p w14:paraId="220913AA"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Age at symptom onset, median</w:t>
            </w:r>
          </w:p>
        </w:tc>
        <w:tc>
          <w:tcPr>
            <w:tcW w:w="3392" w:type="dxa"/>
            <w:tcBorders>
              <w:top w:val="single" w:sz="4" w:space="0" w:color="auto"/>
              <w:left w:val="single" w:sz="4" w:space="0" w:color="auto"/>
              <w:bottom w:val="single" w:sz="4" w:space="0" w:color="auto"/>
              <w:right w:val="single" w:sz="4" w:space="0" w:color="auto"/>
            </w:tcBorders>
          </w:tcPr>
          <w:p w14:paraId="514434FA"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tcPr>
          <w:p w14:paraId="40B13AF4"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tcPr>
          <w:p w14:paraId="6A2F7E33" w14:textId="77777777" w:rsidR="00ED5CB7" w:rsidRPr="00F93C5B" w:rsidRDefault="00ED5CB7" w:rsidP="00834258">
            <w:pPr>
              <w:spacing w:before="0" w:after="0"/>
              <w:rPr>
                <w:rFonts w:ascii="Arial Narrow" w:eastAsia="Calibri" w:hAnsi="Arial Narrow" w:cs="Arial"/>
              </w:rPr>
            </w:pPr>
          </w:p>
        </w:tc>
      </w:tr>
      <w:tr w:rsidR="00ED5CB7" w:rsidRPr="00F93C5B" w14:paraId="697431ED"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tcPr>
          <w:p w14:paraId="731C9BEE" w14:textId="77777777" w:rsidR="00ED5CB7" w:rsidRPr="00F93C5B" w:rsidRDefault="00ED5CB7" w:rsidP="00834258">
            <w:pPr>
              <w:spacing w:before="0" w:after="0"/>
              <w:ind w:left="112"/>
              <w:rPr>
                <w:rFonts w:ascii="Arial Narrow" w:eastAsia="Calibri" w:hAnsi="Arial Narrow" w:cs="Arial"/>
              </w:rPr>
            </w:pPr>
            <w:r w:rsidRPr="00F93C5B">
              <w:rPr>
                <w:rFonts w:ascii="Arial Narrow" w:hAnsi="Arial Narrow"/>
              </w:rPr>
              <w:t>IOGSD II</w:t>
            </w:r>
          </w:p>
        </w:tc>
        <w:tc>
          <w:tcPr>
            <w:tcW w:w="3392" w:type="dxa"/>
            <w:tcBorders>
              <w:top w:val="single" w:sz="4" w:space="0" w:color="auto"/>
              <w:left w:val="single" w:sz="4" w:space="0" w:color="auto"/>
              <w:bottom w:val="single" w:sz="4" w:space="0" w:color="auto"/>
              <w:right w:val="single" w:sz="4" w:space="0" w:color="auto"/>
            </w:tcBorders>
          </w:tcPr>
          <w:p w14:paraId="2B96F6AB"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tcPr>
          <w:p w14:paraId="5981C5AD" w14:textId="77777777" w:rsidR="00ED5CB7" w:rsidRPr="00F93C5B" w:rsidRDefault="00ED5CB7" w:rsidP="00834258">
            <w:pPr>
              <w:spacing w:before="0" w:after="0"/>
              <w:rPr>
                <w:rFonts w:ascii="Arial Narrow" w:hAnsi="Arial Narrow"/>
              </w:rPr>
            </w:pPr>
            <w:r w:rsidRPr="00F93C5B">
              <w:rPr>
                <w:rFonts w:ascii="Arial Narrow" w:hAnsi="Arial Narrow"/>
              </w:rPr>
              <w:t>26 days (economic model), compared to</w:t>
            </w:r>
          </w:p>
          <w:p w14:paraId="62896998" w14:textId="77777777" w:rsidR="00ED5CB7" w:rsidRPr="00F93C5B" w:rsidRDefault="00ED5CB7" w:rsidP="00834258">
            <w:pPr>
              <w:spacing w:before="0" w:after="0"/>
              <w:rPr>
                <w:rFonts w:ascii="Arial Narrow" w:eastAsia="Calibri" w:hAnsi="Arial Narrow" w:cs="Arial"/>
              </w:rPr>
            </w:pPr>
            <w:r w:rsidRPr="00F93C5B">
              <w:rPr>
                <w:rFonts w:ascii="Arial Narrow" w:hAnsi="Arial Narrow"/>
              </w:rPr>
              <w:t xml:space="preserve">2.0 months (Pompe </w:t>
            </w:r>
            <w:proofErr w:type="spellStart"/>
            <w:r w:rsidRPr="00F93C5B">
              <w:rPr>
                <w:rFonts w:ascii="Arial Narrow" w:hAnsi="Arial Narrow"/>
              </w:rPr>
              <w:t>Registry</w:t>
            </w:r>
            <w:r w:rsidRPr="00F93C5B">
              <w:rPr>
                <w:rFonts w:ascii="Arial Narrow" w:hAnsi="Arial Narrow"/>
                <w:vertAlign w:val="superscript"/>
              </w:rPr>
              <w:t>a</w:t>
            </w:r>
            <w:proofErr w:type="spellEnd"/>
            <w:r w:rsidRPr="00F93C5B">
              <w:rPr>
                <w:rFonts w:ascii="Arial Narrow" w:hAnsi="Arial Narrow"/>
              </w:rPr>
              <w:t>)</w:t>
            </w:r>
          </w:p>
        </w:tc>
        <w:tc>
          <w:tcPr>
            <w:tcW w:w="3393" w:type="dxa"/>
            <w:tcBorders>
              <w:top w:val="single" w:sz="4" w:space="0" w:color="auto"/>
              <w:left w:val="single" w:sz="4" w:space="0" w:color="auto"/>
              <w:bottom w:val="single" w:sz="4" w:space="0" w:color="auto"/>
              <w:right w:val="single" w:sz="4" w:space="0" w:color="auto"/>
            </w:tcBorders>
          </w:tcPr>
          <w:p w14:paraId="4CA4CDB3" w14:textId="77777777" w:rsidR="00ED5CB7" w:rsidRPr="00F93C5B" w:rsidRDefault="00ED5CB7" w:rsidP="00834258">
            <w:pPr>
              <w:spacing w:before="0" w:after="0"/>
              <w:rPr>
                <w:rFonts w:ascii="Arial Narrow" w:eastAsia="Calibri" w:hAnsi="Arial Narrow" w:cs="Arial"/>
              </w:rPr>
            </w:pPr>
          </w:p>
        </w:tc>
      </w:tr>
      <w:tr w:rsidR="00ED5CB7" w:rsidRPr="00F93C5B" w14:paraId="1EAA2A3C"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tcPr>
          <w:p w14:paraId="29AC5280" w14:textId="77777777" w:rsidR="00ED5CB7" w:rsidRPr="00F93C5B" w:rsidRDefault="00ED5CB7" w:rsidP="00834258">
            <w:pPr>
              <w:spacing w:before="0" w:after="0"/>
              <w:ind w:left="112"/>
              <w:rPr>
                <w:rFonts w:ascii="Arial Narrow" w:eastAsia="Calibri" w:hAnsi="Arial Narrow" w:cs="Arial"/>
              </w:rPr>
            </w:pPr>
            <w:r w:rsidRPr="00F93C5B">
              <w:rPr>
                <w:rFonts w:ascii="Arial Narrow" w:hAnsi="Arial Narrow"/>
              </w:rPr>
              <w:t>LOGSD II</w:t>
            </w:r>
          </w:p>
        </w:tc>
        <w:tc>
          <w:tcPr>
            <w:tcW w:w="3392" w:type="dxa"/>
            <w:tcBorders>
              <w:top w:val="single" w:sz="4" w:space="0" w:color="auto"/>
              <w:left w:val="single" w:sz="4" w:space="0" w:color="auto"/>
              <w:bottom w:val="single" w:sz="4" w:space="0" w:color="auto"/>
              <w:right w:val="single" w:sz="4" w:space="0" w:color="auto"/>
            </w:tcBorders>
          </w:tcPr>
          <w:p w14:paraId="52E5C693"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tcPr>
          <w:p w14:paraId="53FFD995" w14:textId="77777777" w:rsidR="00ED5CB7" w:rsidRPr="00F93C5B" w:rsidRDefault="00ED5CB7" w:rsidP="00834258">
            <w:pPr>
              <w:spacing w:before="0" w:after="0"/>
              <w:rPr>
                <w:rFonts w:ascii="Arial Narrow" w:eastAsia="Calibri" w:hAnsi="Arial Narrow" w:cs="Arial"/>
              </w:rPr>
            </w:pPr>
            <w:r w:rsidRPr="00F93C5B">
              <w:rPr>
                <w:rFonts w:ascii="Arial Narrow" w:hAnsi="Arial Narrow"/>
              </w:rPr>
              <w:t xml:space="preserve">in children ≤12 years: </w:t>
            </w:r>
            <w:r w:rsidRPr="00F93C5B">
              <w:rPr>
                <w:rFonts w:ascii="Arial Narrow" w:eastAsia="Calibri" w:hAnsi="Arial Narrow" w:cs="Arial"/>
              </w:rPr>
              <w:t>2 years</w:t>
            </w:r>
          </w:p>
          <w:p w14:paraId="194AFD5A" w14:textId="77777777" w:rsidR="00ED5CB7" w:rsidRPr="00F93C5B" w:rsidRDefault="00ED5CB7" w:rsidP="00834258">
            <w:pPr>
              <w:spacing w:before="0" w:after="0"/>
              <w:rPr>
                <w:rFonts w:ascii="Arial Narrow" w:hAnsi="Arial Narrow"/>
              </w:rPr>
            </w:pPr>
            <w:r w:rsidRPr="00F93C5B">
              <w:rPr>
                <w:rFonts w:ascii="Arial Narrow" w:hAnsi="Arial Narrow"/>
              </w:rPr>
              <w:t>in adults and children &gt;12 years: 38 years (economic model), compared to</w:t>
            </w:r>
          </w:p>
          <w:p w14:paraId="6CE61F76" w14:textId="77777777" w:rsidR="00ED5CB7" w:rsidRPr="00F93C5B" w:rsidRDefault="00ED5CB7" w:rsidP="00834258">
            <w:pPr>
              <w:spacing w:before="0" w:after="0"/>
              <w:rPr>
                <w:rFonts w:ascii="Arial Narrow" w:eastAsia="Calibri" w:hAnsi="Arial Narrow" w:cs="Arial"/>
              </w:rPr>
            </w:pPr>
            <w:r w:rsidRPr="00F93C5B">
              <w:rPr>
                <w:rFonts w:ascii="Arial Narrow" w:hAnsi="Arial Narrow"/>
              </w:rPr>
              <w:t>in children ≤12 years: 6</w:t>
            </w:r>
            <w:r w:rsidRPr="00F93C5B">
              <w:rPr>
                <w:rFonts w:ascii="Arial Narrow" w:eastAsia="Calibri" w:hAnsi="Arial Narrow" w:cs="Arial"/>
              </w:rPr>
              <w:t>.2 years</w:t>
            </w:r>
          </w:p>
          <w:p w14:paraId="5351F3CB" w14:textId="77777777" w:rsidR="00ED5CB7" w:rsidRPr="00F93C5B" w:rsidRDefault="00ED5CB7" w:rsidP="00834258">
            <w:pPr>
              <w:spacing w:before="0" w:after="0"/>
              <w:rPr>
                <w:rFonts w:ascii="Arial Narrow" w:eastAsia="Calibri" w:hAnsi="Arial Narrow" w:cs="Arial"/>
              </w:rPr>
            </w:pPr>
            <w:r w:rsidRPr="00F93C5B">
              <w:rPr>
                <w:rFonts w:ascii="Arial Narrow" w:hAnsi="Arial Narrow"/>
              </w:rPr>
              <w:t xml:space="preserve">in adults and children &gt;12 years: 35 years (Pompe </w:t>
            </w:r>
            <w:proofErr w:type="spellStart"/>
            <w:r w:rsidRPr="00F93C5B">
              <w:rPr>
                <w:rFonts w:ascii="Arial Narrow" w:hAnsi="Arial Narrow"/>
              </w:rPr>
              <w:t>Registry</w:t>
            </w:r>
            <w:r w:rsidRPr="00F93C5B">
              <w:rPr>
                <w:rFonts w:ascii="Arial Narrow" w:hAnsi="Arial Narrow"/>
                <w:vertAlign w:val="superscript"/>
              </w:rPr>
              <w:t>a</w:t>
            </w:r>
            <w:proofErr w:type="spellEnd"/>
            <w:r w:rsidRPr="00F93C5B">
              <w:rPr>
                <w:rFonts w:ascii="Arial Narrow" w:hAnsi="Arial Narrow"/>
              </w:rPr>
              <w:t>)</w:t>
            </w:r>
          </w:p>
        </w:tc>
        <w:tc>
          <w:tcPr>
            <w:tcW w:w="3393" w:type="dxa"/>
            <w:tcBorders>
              <w:top w:val="single" w:sz="4" w:space="0" w:color="auto"/>
              <w:left w:val="single" w:sz="4" w:space="0" w:color="auto"/>
              <w:bottom w:val="single" w:sz="4" w:space="0" w:color="auto"/>
              <w:right w:val="single" w:sz="4" w:space="0" w:color="auto"/>
            </w:tcBorders>
          </w:tcPr>
          <w:p w14:paraId="0A028B64" w14:textId="77777777" w:rsidR="00ED5CB7" w:rsidRPr="00F93C5B" w:rsidRDefault="00ED5CB7" w:rsidP="00834258">
            <w:pPr>
              <w:spacing w:before="0" w:after="0"/>
              <w:rPr>
                <w:rFonts w:ascii="Arial Narrow" w:eastAsia="Calibri" w:hAnsi="Arial Narrow" w:cs="Arial"/>
              </w:rPr>
            </w:pPr>
          </w:p>
        </w:tc>
      </w:tr>
      <w:tr w:rsidR="00ED5CB7" w:rsidRPr="00F93C5B" w14:paraId="1AA66CA3"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tcPr>
          <w:p w14:paraId="01230E67"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Age at diagnosis, median</w:t>
            </w:r>
          </w:p>
        </w:tc>
        <w:tc>
          <w:tcPr>
            <w:tcW w:w="3392" w:type="dxa"/>
            <w:tcBorders>
              <w:top w:val="single" w:sz="4" w:space="0" w:color="auto"/>
              <w:left w:val="single" w:sz="4" w:space="0" w:color="auto"/>
              <w:bottom w:val="single" w:sz="4" w:space="0" w:color="auto"/>
              <w:right w:val="single" w:sz="4" w:space="0" w:color="auto"/>
            </w:tcBorders>
          </w:tcPr>
          <w:p w14:paraId="38EC2749"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tcPr>
          <w:p w14:paraId="56ABF941"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tcPr>
          <w:p w14:paraId="1E8620D6" w14:textId="77777777" w:rsidR="00ED5CB7" w:rsidRPr="00F93C5B" w:rsidRDefault="00ED5CB7" w:rsidP="00834258">
            <w:pPr>
              <w:spacing w:before="0" w:after="0"/>
              <w:rPr>
                <w:rFonts w:ascii="Arial Narrow" w:eastAsia="Calibri" w:hAnsi="Arial Narrow" w:cs="Arial"/>
              </w:rPr>
            </w:pPr>
          </w:p>
        </w:tc>
      </w:tr>
      <w:tr w:rsidR="00ED5CB7" w:rsidRPr="00F93C5B" w14:paraId="476EBA01" w14:textId="77777777" w:rsidTr="00175863">
        <w:trPr>
          <w:trHeight w:val="535"/>
        </w:trPr>
        <w:tc>
          <w:tcPr>
            <w:tcW w:w="3681" w:type="dxa"/>
            <w:tcBorders>
              <w:top w:val="single" w:sz="4" w:space="0" w:color="auto"/>
              <w:left w:val="single" w:sz="4" w:space="0" w:color="auto"/>
              <w:bottom w:val="single" w:sz="4" w:space="0" w:color="auto"/>
              <w:right w:val="single" w:sz="4" w:space="0" w:color="auto"/>
            </w:tcBorders>
            <w:hideMark/>
          </w:tcPr>
          <w:p w14:paraId="7DA27A35" w14:textId="77777777" w:rsidR="00ED5CB7" w:rsidRPr="00F93C5B" w:rsidRDefault="00ED5CB7" w:rsidP="00834258">
            <w:pPr>
              <w:spacing w:before="0" w:after="0"/>
              <w:ind w:left="113"/>
              <w:rPr>
                <w:rFonts w:ascii="Arial Narrow" w:eastAsia="Calibri" w:hAnsi="Arial Narrow" w:cs="Arial"/>
              </w:rPr>
            </w:pPr>
            <w:r w:rsidRPr="00F93C5B">
              <w:rPr>
                <w:rFonts w:ascii="Arial Narrow" w:hAnsi="Arial Narrow"/>
              </w:rPr>
              <w:t>IOGSD II</w:t>
            </w:r>
          </w:p>
        </w:tc>
        <w:tc>
          <w:tcPr>
            <w:tcW w:w="3392" w:type="dxa"/>
            <w:tcBorders>
              <w:top w:val="single" w:sz="4" w:space="0" w:color="auto"/>
              <w:left w:val="single" w:sz="4" w:space="0" w:color="auto"/>
              <w:bottom w:val="single" w:sz="4" w:space="0" w:color="auto"/>
              <w:right w:val="single" w:sz="4" w:space="0" w:color="auto"/>
            </w:tcBorders>
            <w:hideMark/>
          </w:tcPr>
          <w:p w14:paraId="5D375104"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26 days (economic model)</w:t>
            </w:r>
          </w:p>
        </w:tc>
        <w:tc>
          <w:tcPr>
            <w:tcW w:w="3393" w:type="dxa"/>
            <w:tcBorders>
              <w:top w:val="single" w:sz="4" w:space="0" w:color="auto"/>
              <w:left w:val="single" w:sz="4" w:space="0" w:color="auto"/>
              <w:bottom w:val="single" w:sz="4" w:space="0" w:color="auto"/>
              <w:right w:val="single" w:sz="4" w:space="0" w:color="auto"/>
            </w:tcBorders>
            <w:hideMark/>
          </w:tcPr>
          <w:p w14:paraId="2E2BF9C5" w14:textId="640F7C38" w:rsidR="00ED5CB7" w:rsidRPr="00F93C5B" w:rsidRDefault="00C10768" w:rsidP="00834258">
            <w:pPr>
              <w:spacing w:before="0" w:after="0"/>
              <w:rPr>
                <w:rFonts w:ascii="Arial Narrow" w:eastAsia="Calibri" w:hAnsi="Arial Narrow" w:cs="Arial"/>
              </w:rPr>
            </w:pPr>
            <w:r>
              <w:rPr>
                <w:rFonts w:ascii="Arial Narrow" w:hAnsi="Arial Narrow" w:cs="Calibri"/>
                <w:b/>
                <w:bCs/>
                <w:color w:val="000000"/>
              </w:rPr>
              <w:t>Redacted</w:t>
            </w:r>
            <w:r w:rsidR="00ED5CB7" w:rsidRPr="00F93C5B">
              <w:rPr>
                <w:rFonts w:ascii="Arial Narrow" w:eastAsia="Calibri" w:hAnsi="Arial Narrow" w:cs="Arial"/>
              </w:rPr>
              <w:t xml:space="preserve"> (economic model and LSDP</w:t>
            </w:r>
            <w:r w:rsidR="00ED5CB7" w:rsidRPr="00F93C5B">
              <w:rPr>
                <w:rFonts w:ascii="Arial Narrow" w:hAnsi="Arial Narrow"/>
              </w:rPr>
              <w:t xml:space="preserve"> </w:t>
            </w:r>
            <w:proofErr w:type="spellStart"/>
            <w:r w:rsidR="00ED5CB7" w:rsidRPr="00F93C5B">
              <w:rPr>
                <w:rFonts w:ascii="Arial Narrow" w:hAnsi="Arial Narrow"/>
              </w:rPr>
              <w:t>Registry</w:t>
            </w:r>
            <w:r w:rsidR="00ED5CB7" w:rsidRPr="00F93C5B">
              <w:rPr>
                <w:rFonts w:ascii="Arial Narrow" w:hAnsi="Arial Narrow"/>
                <w:vertAlign w:val="superscript"/>
              </w:rPr>
              <w:t>b</w:t>
            </w:r>
            <w:proofErr w:type="spellEnd"/>
            <w:r w:rsidR="00ED5CB7" w:rsidRPr="00F93C5B">
              <w:rPr>
                <w:rFonts w:ascii="Arial Narrow" w:eastAsia="Calibri" w:hAnsi="Arial Narrow" w:cs="Arial"/>
              </w:rPr>
              <w:t>), compared to</w:t>
            </w:r>
          </w:p>
          <w:p w14:paraId="6819C2F2" w14:textId="77777777" w:rsidR="00ED5CB7" w:rsidRPr="00F93C5B" w:rsidRDefault="00ED5CB7" w:rsidP="00834258">
            <w:pPr>
              <w:spacing w:before="0" w:after="0"/>
              <w:rPr>
                <w:rFonts w:ascii="Arial Narrow" w:eastAsia="Calibri" w:hAnsi="Arial Narrow" w:cs="Arial"/>
              </w:rPr>
            </w:pPr>
            <w:r w:rsidRPr="00F93C5B">
              <w:rPr>
                <w:rFonts w:ascii="Arial Narrow" w:hAnsi="Arial Narrow"/>
              </w:rPr>
              <w:t xml:space="preserve">4.6 months (Pompe </w:t>
            </w:r>
            <w:proofErr w:type="spellStart"/>
            <w:r w:rsidRPr="00F93C5B">
              <w:rPr>
                <w:rFonts w:ascii="Arial Narrow" w:hAnsi="Arial Narrow"/>
              </w:rPr>
              <w:t>Registry</w:t>
            </w:r>
            <w:r w:rsidRPr="00F93C5B">
              <w:rPr>
                <w:rFonts w:ascii="Arial Narrow" w:hAnsi="Arial Narrow"/>
                <w:vertAlign w:val="superscript"/>
              </w:rPr>
              <w:t>a</w:t>
            </w:r>
            <w:proofErr w:type="spellEnd"/>
            <w:r w:rsidRPr="00F93C5B">
              <w:rPr>
                <w:rFonts w:ascii="Arial Narrow" w:hAnsi="Arial Narrow"/>
              </w:rPr>
              <w:t>)</w:t>
            </w:r>
          </w:p>
        </w:tc>
        <w:tc>
          <w:tcPr>
            <w:tcW w:w="3393" w:type="dxa"/>
            <w:tcBorders>
              <w:top w:val="single" w:sz="4" w:space="0" w:color="auto"/>
              <w:left w:val="single" w:sz="4" w:space="0" w:color="auto"/>
              <w:bottom w:val="single" w:sz="4" w:space="0" w:color="auto"/>
              <w:right w:val="single" w:sz="4" w:space="0" w:color="auto"/>
            </w:tcBorders>
          </w:tcPr>
          <w:p w14:paraId="3F58A996" w14:textId="77777777" w:rsidR="00ED5CB7" w:rsidRPr="00F93C5B" w:rsidRDefault="00ED5CB7" w:rsidP="00834258">
            <w:pPr>
              <w:spacing w:before="0" w:after="0"/>
              <w:rPr>
                <w:rFonts w:ascii="Arial Narrow" w:eastAsia="Calibri" w:hAnsi="Arial Narrow" w:cs="Arial"/>
              </w:rPr>
            </w:pPr>
          </w:p>
        </w:tc>
      </w:tr>
      <w:tr w:rsidR="00ED5CB7" w:rsidRPr="00F93C5B" w14:paraId="31EA3EAD"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hideMark/>
          </w:tcPr>
          <w:p w14:paraId="7DE2A262" w14:textId="77777777" w:rsidR="00ED5CB7" w:rsidRPr="00F93C5B" w:rsidRDefault="00ED5CB7" w:rsidP="00834258">
            <w:pPr>
              <w:spacing w:before="0" w:after="0"/>
              <w:ind w:left="113"/>
              <w:rPr>
                <w:rFonts w:ascii="Arial Narrow" w:eastAsia="Calibri" w:hAnsi="Arial Narrow" w:cs="Arial"/>
              </w:rPr>
            </w:pPr>
            <w:r w:rsidRPr="00F93C5B">
              <w:rPr>
                <w:rFonts w:ascii="Arial Narrow" w:hAnsi="Arial Narrow"/>
              </w:rPr>
              <w:t>LOGSD II</w:t>
            </w:r>
          </w:p>
        </w:tc>
        <w:tc>
          <w:tcPr>
            <w:tcW w:w="3392" w:type="dxa"/>
            <w:tcBorders>
              <w:top w:val="single" w:sz="4" w:space="0" w:color="auto"/>
              <w:left w:val="single" w:sz="4" w:space="0" w:color="auto"/>
              <w:bottom w:val="single" w:sz="4" w:space="0" w:color="auto"/>
              <w:right w:val="single" w:sz="4" w:space="0" w:color="auto"/>
            </w:tcBorders>
          </w:tcPr>
          <w:p w14:paraId="7A7C8AA0"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26 days (economic model)</w:t>
            </w:r>
          </w:p>
        </w:tc>
        <w:tc>
          <w:tcPr>
            <w:tcW w:w="3393" w:type="dxa"/>
            <w:tcBorders>
              <w:top w:val="single" w:sz="4" w:space="0" w:color="auto"/>
              <w:left w:val="single" w:sz="4" w:space="0" w:color="auto"/>
              <w:bottom w:val="single" w:sz="4" w:space="0" w:color="auto"/>
              <w:right w:val="single" w:sz="4" w:space="0" w:color="auto"/>
            </w:tcBorders>
            <w:hideMark/>
          </w:tcPr>
          <w:p w14:paraId="16DF143D" w14:textId="411D5114" w:rsidR="00ED5CB7" w:rsidRPr="00F93C5B" w:rsidRDefault="00ED5CB7" w:rsidP="00834258">
            <w:pPr>
              <w:spacing w:before="0" w:after="0"/>
              <w:rPr>
                <w:rFonts w:ascii="Arial Narrow" w:eastAsia="Calibri" w:hAnsi="Arial Narrow" w:cs="Arial"/>
              </w:rPr>
            </w:pPr>
            <w:r w:rsidRPr="00F93C5B">
              <w:rPr>
                <w:rFonts w:ascii="Arial Narrow" w:hAnsi="Arial Narrow"/>
              </w:rPr>
              <w:t xml:space="preserve">in children ≤12 years: </w:t>
            </w:r>
            <w:r w:rsidR="00C10768">
              <w:rPr>
                <w:rFonts w:ascii="Arial Narrow" w:hAnsi="Arial Narrow" w:cs="Calibri"/>
                <w:b/>
                <w:bCs/>
                <w:color w:val="000000"/>
              </w:rPr>
              <w:t>Redacted</w:t>
            </w:r>
            <w:r w:rsidRPr="00F93C5B">
              <w:rPr>
                <w:rFonts w:ascii="Arial Narrow" w:eastAsia="Calibri" w:hAnsi="Arial Narrow" w:cs="Arial"/>
              </w:rPr>
              <w:t xml:space="preserve"> </w:t>
            </w:r>
          </w:p>
          <w:p w14:paraId="0718223C" w14:textId="7AF78CB7" w:rsidR="00ED5CB7" w:rsidRPr="00F93C5B" w:rsidRDefault="00ED5CB7" w:rsidP="00834258">
            <w:pPr>
              <w:spacing w:before="0" w:after="0"/>
              <w:rPr>
                <w:rFonts w:ascii="Arial Narrow" w:hAnsi="Arial Narrow"/>
              </w:rPr>
            </w:pPr>
            <w:r w:rsidRPr="00F93C5B">
              <w:rPr>
                <w:rFonts w:ascii="Arial Narrow" w:hAnsi="Arial Narrow"/>
              </w:rPr>
              <w:t xml:space="preserve">in adults and children &gt;12 years: </w:t>
            </w:r>
            <w:r w:rsidR="00C10768">
              <w:rPr>
                <w:rFonts w:ascii="Arial Narrow" w:hAnsi="Arial Narrow" w:cs="Calibri"/>
                <w:b/>
                <w:bCs/>
                <w:color w:val="000000"/>
              </w:rPr>
              <w:t>Redacted</w:t>
            </w:r>
            <w:r w:rsidRPr="00F93C5B">
              <w:rPr>
                <w:rFonts w:ascii="Arial Narrow" w:hAnsi="Arial Narrow"/>
              </w:rPr>
              <w:t xml:space="preserve"> (economic model and LSDP </w:t>
            </w:r>
            <w:proofErr w:type="spellStart"/>
            <w:r w:rsidRPr="00F93C5B">
              <w:rPr>
                <w:rFonts w:ascii="Arial Narrow" w:hAnsi="Arial Narrow"/>
              </w:rPr>
              <w:t>Registry</w:t>
            </w:r>
            <w:r w:rsidRPr="00F93C5B">
              <w:rPr>
                <w:rFonts w:ascii="Arial Narrow" w:hAnsi="Arial Narrow"/>
                <w:vertAlign w:val="superscript"/>
              </w:rPr>
              <w:t>b</w:t>
            </w:r>
            <w:proofErr w:type="spellEnd"/>
            <w:r w:rsidRPr="00F93C5B">
              <w:rPr>
                <w:rFonts w:ascii="Arial Narrow" w:hAnsi="Arial Narrow"/>
              </w:rPr>
              <w:t>) compared to</w:t>
            </w:r>
          </w:p>
          <w:p w14:paraId="43E60282" w14:textId="77777777" w:rsidR="00ED5CB7" w:rsidRPr="00F93C5B" w:rsidRDefault="00ED5CB7" w:rsidP="00834258">
            <w:pPr>
              <w:spacing w:before="0" w:after="0"/>
              <w:rPr>
                <w:rFonts w:ascii="Arial Narrow" w:eastAsia="Calibri" w:hAnsi="Arial Narrow" w:cs="Arial"/>
              </w:rPr>
            </w:pPr>
            <w:r w:rsidRPr="00F93C5B">
              <w:rPr>
                <w:rFonts w:ascii="Arial Narrow" w:hAnsi="Arial Narrow"/>
              </w:rPr>
              <w:t xml:space="preserve">in children ≤12 years: </w:t>
            </w:r>
            <w:r w:rsidRPr="00F93C5B">
              <w:rPr>
                <w:rFonts w:ascii="Arial Narrow" w:eastAsia="Calibri" w:hAnsi="Arial Narrow" w:cs="Arial"/>
              </w:rPr>
              <w:t>18.5 years</w:t>
            </w:r>
          </w:p>
          <w:p w14:paraId="69FAFD3B" w14:textId="77777777" w:rsidR="00ED5CB7" w:rsidRPr="00F93C5B" w:rsidRDefault="00ED5CB7" w:rsidP="00834258">
            <w:pPr>
              <w:spacing w:before="0" w:after="0"/>
              <w:rPr>
                <w:rFonts w:ascii="Arial Narrow" w:eastAsia="Calibri" w:hAnsi="Arial Narrow" w:cs="Arial"/>
              </w:rPr>
            </w:pPr>
            <w:r w:rsidRPr="00F93C5B">
              <w:rPr>
                <w:rFonts w:ascii="Arial Narrow" w:hAnsi="Arial Narrow"/>
              </w:rPr>
              <w:t xml:space="preserve">in adults and children &gt;12 years: 43 years (Pompe </w:t>
            </w:r>
            <w:proofErr w:type="spellStart"/>
            <w:r w:rsidRPr="00F93C5B">
              <w:rPr>
                <w:rFonts w:ascii="Arial Narrow" w:hAnsi="Arial Narrow"/>
              </w:rPr>
              <w:t>Registry</w:t>
            </w:r>
            <w:r w:rsidRPr="00F93C5B">
              <w:rPr>
                <w:rFonts w:ascii="Arial Narrow" w:hAnsi="Arial Narrow"/>
                <w:vertAlign w:val="superscript"/>
              </w:rPr>
              <w:t>a</w:t>
            </w:r>
            <w:proofErr w:type="spellEnd"/>
            <w:r w:rsidRPr="00F93C5B">
              <w:rPr>
                <w:rFonts w:ascii="Arial Narrow" w:hAnsi="Arial Narrow"/>
              </w:rPr>
              <w:t>)</w:t>
            </w:r>
          </w:p>
        </w:tc>
        <w:tc>
          <w:tcPr>
            <w:tcW w:w="3393" w:type="dxa"/>
            <w:tcBorders>
              <w:top w:val="single" w:sz="4" w:space="0" w:color="auto"/>
              <w:left w:val="single" w:sz="4" w:space="0" w:color="auto"/>
              <w:bottom w:val="single" w:sz="4" w:space="0" w:color="auto"/>
              <w:right w:val="single" w:sz="4" w:space="0" w:color="auto"/>
            </w:tcBorders>
          </w:tcPr>
          <w:p w14:paraId="5CD1AFA0" w14:textId="05DE392D" w:rsidR="00ED5CB7" w:rsidRPr="00F93C5B" w:rsidRDefault="00C10768" w:rsidP="00834258">
            <w:pPr>
              <w:spacing w:before="0" w:after="0"/>
              <w:rPr>
                <w:rFonts w:ascii="Arial Narrow" w:eastAsia="Calibri" w:hAnsi="Arial Narrow" w:cs="Arial"/>
              </w:rPr>
            </w:pPr>
            <w:r>
              <w:rPr>
                <w:rFonts w:ascii="Arial Narrow" w:hAnsi="Arial Narrow" w:cs="Calibri"/>
                <w:b/>
                <w:bCs/>
                <w:color w:val="000000"/>
              </w:rPr>
              <w:t>Redacted</w:t>
            </w:r>
            <w:r w:rsidRPr="00E025B8" w:rsidDel="00C10768">
              <w:rPr>
                <w:rFonts w:ascii="Arial Narrow" w:eastAsia="Calibri" w:hAnsi="Arial Narrow" w:cs="Arial"/>
                <w:b/>
                <w:bCs/>
              </w:rPr>
              <w:t xml:space="preserve"> </w:t>
            </w:r>
            <w:r w:rsidR="00ED5CB7" w:rsidRPr="00F93C5B">
              <w:rPr>
                <w:rFonts w:ascii="Arial Narrow" w:eastAsia="Calibri" w:hAnsi="Arial Narrow" w:cs="Arial"/>
              </w:rPr>
              <w:t>% of LOGSD II “onset” (present with diagnosis before 12 years of age</w:t>
            </w:r>
          </w:p>
          <w:p w14:paraId="734B7C3E" w14:textId="03B20AC3" w:rsidR="00ED5CB7" w:rsidRPr="00F93C5B" w:rsidRDefault="00C10768" w:rsidP="00834258">
            <w:pPr>
              <w:spacing w:before="0" w:after="0"/>
              <w:rPr>
                <w:rFonts w:ascii="Arial Narrow" w:eastAsia="Calibri" w:hAnsi="Arial Narrow" w:cs="Arial"/>
              </w:rPr>
            </w:pPr>
            <w:r>
              <w:rPr>
                <w:rFonts w:ascii="Arial Narrow" w:hAnsi="Arial Narrow" w:cs="Calibri"/>
                <w:b/>
                <w:bCs/>
                <w:color w:val="000000"/>
              </w:rPr>
              <w:t>Redacted</w:t>
            </w:r>
            <w:r w:rsidRPr="00E025B8" w:rsidDel="00C10768">
              <w:rPr>
                <w:rFonts w:ascii="Arial Narrow" w:eastAsia="Calibri" w:hAnsi="Arial Narrow" w:cs="Arial"/>
                <w:b/>
                <w:bCs/>
              </w:rPr>
              <w:t xml:space="preserve"> </w:t>
            </w:r>
            <w:r w:rsidR="00ED5CB7" w:rsidRPr="00F93C5B">
              <w:rPr>
                <w:rFonts w:ascii="Arial Narrow" w:eastAsia="Calibri" w:hAnsi="Arial Narrow" w:cs="Arial"/>
              </w:rPr>
              <w:t xml:space="preserve">% of LOGSD II “onset” after 12 years of age (economic model and LSDP </w:t>
            </w:r>
            <w:proofErr w:type="spellStart"/>
            <w:r w:rsidR="00ED5CB7" w:rsidRPr="00F93C5B">
              <w:rPr>
                <w:rFonts w:ascii="Arial Narrow" w:eastAsia="Calibri" w:hAnsi="Arial Narrow" w:cs="Arial"/>
              </w:rPr>
              <w:t>Registry</w:t>
            </w:r>
            <w:r w:rsidR="00ED5CB7" w:rsidRPr="00F93C5B">
              <w:rPr>
                <w:rFonts w:ascii="Arial Narrow" w:eastAsia="Calibri" w:hAnsi="Arial Narrow" w:cs="Arial"/>
                <w:vertAlign w:val="superscript"/>
              </w:rPr>
              <w:t>b</w:t>
            </w:r>
            <w:proofErr w:type="spellEnd"/>
            <w:r w:rsidR="00ED5CB7" w:rsidRPr="00F93C5B">
              <w:rPr>
                <w:rFonts w:ascii="Arial Narrow" w:eastAsia="Calibri" w:hAnsi="Arial Narrow" w:cs="Arial"/>
              </w:rPr>
              <w:t xml:space="preserve">) compared to 30% and 70% respectively </w:t>
            </w:r>
            <w:r w:rsidR="00ED5CB7" w:rsidRPr="00F93C5B">
              <w:rPr>
                <w:rFonts w:ascii="Arial Narrow" w:hAnsi="Arial Narrow"/>
              </w:rPr>
              <w:t xml:space="preserve">(Pompe </w:t>
            </w:r>
            <w:proofErr w:type="spellStart"/>
            <w:r w:rsidR="00ED5CB7" w:rsidRPr="00F93C5B">
              <w:rPr>
                <w:rFonts w:ascii="Arial Narrow" w:hAnsi="Arial Narrow"/>
              </w:rPr>
              <w:t>Registry</w:t>
            </w:r>
            <w:r w:rsidR="00ED5CB7" w:rsidRPr="00F93C5B">
              <w:rPr>
                <w:rFonts w:ascii="Arial Narrow" w:hAnsi="Arial Narrow"/>
                <w:vertAlign w:val="superscript"/>
              </w:rPr>
              <w:t>a</w:t>
            </w:r>
            <w:proofErr w:type="spellEnd"/>
            <w:r w:rsidR="00ED5CB7" w:rsidRPr="00F93C5B">
              <w:rPr>
                <w:rFonts w:ascii="Arial Narrow" w:hAnsi="Arial Narrow"/>
              </w:rPr>
              <w:t>)</w:t>
            </w:r>
            <w:r w:rsidR="00ED5CB7" w:rsidRPr="00F93C5B">
              <w:rPr>
                <w:rFonts w:ascii="Arial Narrow" w:eastAsia="Calibri" w:hAnsi="Arial Narrow" w:cs="Arial"/>
              </w:rPr>
              <w:t xml:space="preserve"> derived from Table 65 </w:t>
            </w:r>
            <w:r w:rsidR="004E6FF0">
              <w:rPr>
                <w:rFonts w:ascii="Arial Narrow" w:eastAsia="Calibri" w:hAnsi="Arial Narrow" w:cs="Arial"/>
              </w:rPr>
              <w:t xml:space="preserve">in the DCAR </w:t>
            </w:r>
            <w:r w:rsidR="00ED5CB7" w:rsidRPr="00F93C5B">
              <w:rPr>
                <w:rFonts w:ascii="Arial Narrow" w:eastAsia="Calibri" w:hAnsi="Arial Narrow" w:cs="Arial"/>
              </w:rPr>
              <w:t xml:space="preserve">(It appears the modeller has interpreted this as onset of symptoms rather than diagnosis, which is inconsistent with the basis of an LSDP application, , which may explain the greater – but largely inconsequential – discrepancy between the model estimates and the Pompe registry estimates of age of symptom onset, age at diagnosis and length of diagnostic </w:t>
            </w:r>
            <w:r w:rsidR="00931D42">
              <w:rPr>
                <w:rFonts w:ascii="Arial Narrow" w:eastAsia="Calibri" w:hAnsi="Arial Narrow" w:cs="Arial"/>
              </w:rPr>
              <w:t>delay</w:t>
            </w:r>
            <w:r w:rsidR="00931D42" w:rsidRPr="00F93C5B">
              <w:rPr>
                <w:rFonts w:ascii="Arial Narrow" w:eastAsia="Calibri" w:hAnsi="Arial Narrow" w:cs="Arial"/>
              </w:rPr>
              <w:t xml:space="preserve"> </w:t>
            </w:r>
            <w:r w:rsidR="00ED5CB7" w:rsidRPr="00F93C5B">
              <w:rPr>
                <w:rFonts w:ascii="Arial Narrow" w:eastAsia="Calibri" w:hAnsi="Arial Narrow" w:cs="Arial"/>
              </w:rPr>
              <w:t xml:space="preserve">for LOGSD II </w:t>
            </w:r>
            <w:r w:rsidR="00ED5CB7" w:rsidRPr="00F93C5B">
              <w:rPr>
                <w:rFonts w:ascii="Arial Narrow" w:hAnsi="Arial Narrow"/>
              </w:rPr>
              <w:t>children ≤12 years)</w:t>
            </w:r>
          </w:p>
        </w:tc>
      </w:tr>
      <w:tr w:rsidR="00ED5CB7" w:rsidRPr="00F93C5B" w14:paraId="1FE51945" w14:textId="77777777" w:rsidTr="00175863">
        <w:trPr>
          <w:trHeight w:val="281"/>
        </w:trPr>
        <w:tc>
          <w:tcPr>
            <w:tcW w:w="3681" w:type="dxa"/>
            <w:tcBorders>
              <w:top w:val="single" w:sz="4" w:space="0" w:color="auto"/>
              <w:left w:val="single" w:sz="4" w:space="0" w:color="auto"/>
              <w:bottom w:val="single" w:sz="4" w:space="0" w:color="auto"/>
              <w:right w:val="single" w:sz="4" w:space="0" w:color="auto"/>
            </w:tcBorders>
            <w:hideMark/>
          </w:tcPr>
          <w:p w14:paraId="027338E9"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Age at ERT treatment initiation after diagnosis</w:t>
            </w:r>
          </w:p>
        </w:tc>
        <w:tc>
          <w:tcPr>
            <w:tcW w:w="3392" w:type="dxa"/>
            <w:tcBorders>
              <w:top w:val="single" w:sz="4" w:space="0" w:color="auto"/>
              <w:left w:val="single" w:sz="4" w:space="0" w:color="auto"/>
              <w:bottom w:val="single" w:sz="4" w:space="0" w:color="auto"/>
              <w:right w:val="single" w:sz="4" w:space="0" w:color="auto"/>
            </w:tcBorders>
            <w:hideMark/>
          </w:tcPr>
          <w:p w14:paraId="195AEFC1"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tcPr>
          <w:p w14:paraId="50AC7FEE"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tcPr>
          <w:p w14:paraId="04B49C84" w14:textId="77777777" w:rsidR="00ED5CB7" w:rsidRPr="00F93C5B" w:rsidRDefault="00ED5CB7" w:rsidP="00834258">
            <w:pPr>
              <w:spacing w:before="0" w:after="0"/>
              <w:rPr>
                <w:rFonts w:ascii="Arial Narrow" w:eastAsia="Calibri" w:hAnsi="Arial Narrow" w:cs="Arial"/>
              </w:rPr>
            </w:pPr>
          </w:p>
        </w:tc>
      </w:tr>
      <w:tr w:rsidR="00ED5CB7" w:rsidRPr="00F93C5B" w14:paraId="74BAD885" w14:textId="77777777" w:rsidTr="00175863">
        <w:trPr>
          <w:trHeight w:val="289"/>
        </w:trPr>
        <w:tc>
          <w:tcPr>
            <w:tcW w:w="3681" w:type="dxa"/>
            <w:tcBorders>
              <w:top w:val="single" w:sz="4" w:space="0" w:color="auto"/>
              <w:left w:val="single" w:sz="4" w:space="0" w:color="auto"/>
              <w:bottom w:val="single" w:sz="4" w:space="0" w:color="auto"/>
              <w:right w:val="single" w:sz="4" w:space="0" w:color="auto"/>
            </w:tcBorders>
            <w:hideMark/>
          </w:tcPr>
          <w:p w14:paraId="33073114" w14:textId="77777777" w:rsidR="00ED5CB7" w:rsidRPr="00F93C5B" w:rsidRDefault="00ED5CB7" w:rsidP="00834258">
            <w:pPr>
              <w:spacing w:before="0" w:after="0"/>
              <w:ind w:left="113"/>
              <w:rPr>
                <w:rFonts w:ascii="Arial Narrow" w:eastAsia="Calibri" w:hAnsi="Arial Narrow" w:cs="Arial"/>
              </w:rPr>
            </w:pPr>
            <w:r w:rsidRPr="00F93C5B">
              <w:rPr>
                <w:rFonts w:ascii="Arial Narrow" w:hAnsi="Arial Narrow"/>
              </w:rPr>
              <w:t>IOGSD II</w:t>
            </w:r>
          </w:p>
        </w:tc>
        <w:tc>
          <w:tcPr>
            <w:tcW w:w="3392" w:type="dxa"/>
            <w:tcBorders>
              <w:top w:val="single" w:sz="4" w:space="0" w:color="auto"/>
              <w:left w:val="single" w:sz="4" w:space="0" w:color="auto"/>
              <w:bottom w:val="single" w:sz="4" w:space="0" w:color="auto"/>
              <w:right w:val="single" w:sz="4" w:space="0" w:color="auto"/>
            </w:tcBorders>
            <w:hideMark/>
          </w:tcPr>
          <w:p w14:paraId="35F28AE8"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assumed to be immediate after diagnosis</w:t>
            </w:r>
          </w:p>
        </w:tc>
        <w:tc>
          <w:tcPr>
            <w:tcW w:w="3393" w:type="dxa"/>
            <w:tcBorders>
              <w:top w:val="single" w:sz="4" w:space="0" w:color="auto"/>
              <w:left w:val="single" w:sz="4" w:space="0" w:color="auto"/>
              <w:bottom w:val="single" w:sz="4" w:space="0" w:color="auto"/>
              <w:right w:val="single" w:sz="4" w:space="0" w:color="auto"/>
            </w:tcBorders>
            <w:hideMark/>
          </w:tcPr>
          <w:p w14:paraId="34C7BA6D"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assumed to be immediate after diagnosis</w:t>
            </w:r>
          </w:p>
        </w:tc>
        <w:tc>
          <w:tcPr>
            <w:tcW w:w="3393" w:type="dxa"/>
            <w:tcBorders>
              <w:top w:val="single" w:sz="4" w:space="0" w:color="auto"/>
              <w:left w:val="single" w:sz="4" w:space="0" w:color="auto"/>
              <w:bottom w:val="single" w:sz="4" w:space="0" w:color="auto"/>
              <w:right w:val="single" w:sz="4" w:space="0" w:color="auto"/>
            </w:tcBorders>
          </w:tcPr>
          <w:p w14:paraId="6D47C0C3" w14:textId="77777777" w:rsidR="00ED5CB7" w:rsidRPr="00F93C5B" w:rsidRDefault="00ED5CB7" w:rsidP="00834258">
            <w:pPr>
              <w:spacing w:before="0" w:after="0"/>
              <w:rPr>
                <w:rFonts w:ascii="Arial Narrow" w:eastAsia="Calibri" w:hAnsi="Arial Narrow" w:cs="Arial"/>
              </w:rPr>
            </w:pPr>
          </w:p>
        </w:tc>
      </w:tr>
      <w:tr w:rsidR="00ED5CB7" w:rsidRPr="00F93C5B" w14:paraId="1A62525E"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hideMark/>
          </w:tcPr>
          <w:p w14:paraId="3F1164DF" w14:textId="77777777" w:rsidR="00ED5CB7" w:rsidRPr="00F93C5B" w:rsidRDefault="00ED5CB7" w:rsidP="00834258">
            <w:pPr>
              <w:spacing w:before="0" w:after="0"/>
              <w:ind w:left="113"/>
              <w:rPr>
                <w:rFonts w:ascii="Arial Narrow" w:eastAsia="Calibri" w:hAnsi="Arial Narrow" w:cs="Arial"/>
              </w:rPr>
            </w:pPr>
            <w:r w:rsidRPr="00F93C5B">
              <w:rPr>
                <w:rFonts w:ascii="Arial Narrow" w:hAnsi="Arial Narrow"/>
              </w:rPr>
              <w:t>LOGSD II</w:t>
            </w:r>
          </w:p>
        </w:tc>
        <w:tc>
          <w:tcPr>
            <w:tcW w:w="3392" w:type="dxa"/>
            <w:tcBorders>
              <w:top w:val="single" w:sz="4" w:space="0" w:color="auto"/>
              <w:left w:val="single" w:sz="4" w:space="0" w:color="auto"/>
              <w:bottom w:val="single" w:sz="4" w:space="0" w:color="auto"/>
              <w:right w:val="single" w:sz="4" w:space="0" w:color="auto"/>
            </w:tcBorders>
            <w:hideMark/>
          </w:tcPr>
          <w:p w14:paraId="195790E9"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assumed to be immediate after (delayed) symptom onset</w:t>
            </w:r>
          </w:p>
        </w:tc>
        <w:tc>
          <w:tcPr>
            <w:tcW w:w="3393" w:type="dxa"/>
            <w:tcBorders>
              <w:top w:val="single" w:sz="4" w:space="0" w:color="auto"/>
              <w:left w:val="single" w:sz="4" w:space="0" w:color="auto"/>
              <w:bottom w:val="single" w:sz="4" w:space="0" w:color="auto"/>
              <w:right w:val="single" w:sz="4" w:space="0" w:color="auto"/>
            </w:tcBorders>
            <w:hideMark/>
          </w:tcPr>
          <w:p w14:paraId="4F5F0293"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assumed to be immediate after (delayed) diagnosis</w:t>
            </w:r>
          </w:p>
        </w:tc>
        <w:tc>
          <w:tcPr>
            <w:tcW w:w="3393" w:type="dxa"/>
            <w:tcBorders>
              <w:top w:val="single" w:sz="4" w:space="0" w:color="auto"/>
              <w:left w:val="single" w:sz="4" w:space="0" w:color="auto"/>
              <w:bottom w:val="single" w:sz="4" w:space="0" w:color="auto"/>
              <w:right w:val="single" w:sz="4" w:space="0" w:color="auto"/>
            </w:tcBorders>
          </w:tcPr>
          <w:p w14:paraId="0AF2A9A2" w14:textId="77777777" w:rsidR="00ED5CB7" w:rsidRPr="00F93C5B" w:rsidRDefault="00ED5CB7" w:rsidP="00834258">
            <w:pPr>
              <w:spacing w:before="0" w:after="0"/>
              <w:rPr>
                <w:rFonts w:ascii="Arial Narrow" w:eastAsia="Calibri" w:hAnsi="Arial Narrow" w:cs="Arial"/>
              </w:rPr>
            </w:pPr>
          </w:p>
        </w:tc>
      </w:tr>
      <w:tr w:rsidR="00ED5CB7" w:rsidRPr="00F93C5B" w14:paraId="38CD6384" w14:textId="77777777" w:rsidTr="00175863">
        <w:trPr>
          <w:trHeight w:val="231"/>
        </w:trPr>
        <w:tc>
          <w:tcPr>
            <w:tcW w:w="7073" w:type="dxa"/>
            <w:gridSpan w:val="2"/>
            <w:tcBorders>
              <w:top w:val="single" w:sz="4" w:space="0" w:color="auto"/>
              <w:left w:val="single" w:sz="4" w:space="0" w:color="auto"/>
              <w:bottom w:val="single" w:sz="4" w:space="0" w:color="auto"/>
              <w:right w:val="single" w:sz="4" w:space="0" w:color="auto"/>
            </w:tcBorders>
            <w:hideMark/>
          </w:tcPr>
          <w:p w14:paraId="48FEA190" w14:textId="60538A91"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Time to diagnosis (length of diagnostic </w:t>
            </w:r>
            <w:r w:rsidR="00931D42">
              <w:rPr>
                <w:rFonts w:ascii="Arial Narrow" w:eastAsia="Calibri" w:hAnsi="Arial Narrow" w:cs="Arial"/>
              </w:rPr>
              <w:t>delay</w:t>
            </w:r>
            <w:r w:rsidRPr="00F93C5B">
              <w:rPr>
                <w:rFonts w:ascii="Arial Narrow" w:eastAsia="Calibri" w:hAnsi="Arial Narrow" w:cs="Arial"/>
              </w:rPr>
              <w:t>). median</w:t>
            </w:r>
          </w:p>
        </w:tc>
        <w:tc>
          <w:tcPr>
            <w:tcW w:w="3393" w:type="dxa"/>
            <w:tcBorders>
              <w:top w:val="single" w:sz="4" w:space="0" w:color="auto"/>
              <w:left w:val="single" w:sz="4" w:space="0" w:color="auto"/>
              <w:bottom w:val="single" w:sz="4" w:space="0" w:color="auto"/>
              <w:right w:val="single" w:sz="4" w:space="0" w:color="auto"/>
            </w:tcBorders>
          </w:tcPr>
          <w:p w14:paraId="6B88DABD"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tcPr>
          <w:p w14:paraId="7C3C8529" w14:textId="77777777" w:rsidR="00ED5CB7" w:rsidRPr="00F93C5B" w:rsidRDefault="00ED5CB7" w:rsidP="00834258">
            <w:pPr>
              <w:spacing w:before="0" w:after="0"/>
              <w:rPr>
                <w:rFonts w:ascii="Arial Narrow" w:eastAsia="Calibri" w:hAnsi="Arial Narrow" w:cs="Arial"/>
              </w:rPr>
            </w:pPr>
          </w:p>
        </w:tc>
      </w:tr>
      <w:tr w:rsidR="00ED5CB7" w:rsidRPr="00F93C5B" w14:paraId="7B20FD49" w14:textId="77777777" w:rsidTr="00175863">
        <w:trPr>
          <w:trHeight w:val="242"/>
        </w:trPr>
        <w:tc>
          <w:tcPr>
            <w:tcW w:w="3681" w:type="dxa"/>
            <w:tcBorders>
              <w:top w:val="single" w:sz="4" w:space="0" w:color="auto"/>
              <w:left w:val="single" w:sz="4" w:space="0" w:color="auto"/>
              <w:bottom w:val="single" w:sz="4" w:space="0" w:color="auto"/>
              <w:right w:val="single" w:sz="4" w:space="0" w:color="auto"/>
            </w:tcBorders>
            <w:hideMark/>
          </w:tcPr>
          <w:p w14:paraId="3A6F8EE7" w14:textId="77777777" w:rsidR="00ED5CB7" w:rsidRPr="00F93C5B" w:rsidRDefault="00ED5CB7" w:rsidP="00834258">
            <w:pPr>
              <w:spacing w:before="0" w:after="0"/>
              <w:ind w:left="113"/>
              <w:rPr>
                <w:rFonts w:ascii="Arial Narrow" w:eastAsia="Calibri" w:hAnsi="Arial Narrow" w:cs="Arial"/>
              </w:rPr>
            </w:pPr>
            <w:r w:rsidRPr="00F93C5B">
              <w:rPr>
                <w:rFonts w:ascii="Arial Narrow" w:hAnsi="Arial Narrow"/>
              </w:rPr>
              <w:t>IOGSD II</w:t>
            </w:r>
          </w:p>
        </w:tc>
        <w:tc>
          <w:tcPr>
            <w:tcW w:w="3392" w:type="dxa"/>
            <w:tcBorders>
              <w:top w:val="single" w:sz="4" w:space="0" w:color="auto"/>
              <w:left w:val="single" w:sz="4" w:space="0" w:color="auto"/>
              <w:bottom w:val="single" w:sz="4" w:space="0" w:color="auto"/>
              <w:right w:val="single" w:sz="4" w:space="0" w:color="auto"/>
            </w:tcBorders>
            <w:hideMark/>
          </w:tcPr>
          <w:p w14:paraId="64CA067D"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Calibri"/>
              </w:rPr>
              <w:t>–</w:t>
            </w:r>
          </w:p>
        </w:tc>
        <w:tc>
          <w:tcPr>
            <w:tcW w:w="3393" w:type="dxa"/>
            <w:tcBorders>
              <w:top w:val="single" w:sz="4" w:space="0" w:color="auto"/>
              <w:left w:val="single" w:sz="4" w:space="0" w:color="auto"/>
              <w:bottom w:val="single" w:sz="4" w:space="0" w:color="auto"/>
              <w:right w:val="single" w:sz="4" w:space="0" w:color="auto"/>
            </w:tcBorders>
            <w:hideMark/>
          </w:tcPr>
          <w:p w14:paraId="3567C9B2" w14:textId="77777777" w:rsidR="00ED5CB7" w:rsidRPr="00F93C5B" w:rsidRDefault="00ED5CB7" w:rsidP="00834258">
            <w:pPr>
              <w:spacing w:before="0" w:after="0"/>
              <w:rPr>
                <w:rFonts w:ascii="Arial Narrow" w:eastAsia="Calibri" w:hAnsi="Arial Narrow" w:cs="Arial"/>
              </w:rPr>
            </w:pPr>
            <w:r w:rsidRPr="00F93C5B">
              <w:rPr>
                <w:rFonts w:ascii="Arial Narrow" w:hAnsi="Arial Narrow"/>
              </w:rPr>
              <w:t>4.6 months</w:t>
            </w:r>
            <w:r w:rsidRPr="00F93C5B">
              <w:rPr>
                <w:rFonts w:ascii="Arial Narrow" w:eastAsia="Calibri" w:hAnsi="Arial Narrow" w:cs="Arial"/>
              </w:rPr>
              <w:t xml:space="preserve"> (economic model) compared to</w:t>
            </w:r>
          </w:p>
          <w:p w14:paraId="69B174CC" w14:textId="77777777" w:rsidR="00ED5CB7" w:rsidRPr="00F93C5B" w:rsidRDefault="00ED5CB7" w:rsidP="00834258">
            <w:pPr>
              <w:spacing w:before="0" w:after="0"/>
              <w:rPr>
                <w:rFonts w:ascii="Arial Narrow" w:eastAsia="Calibri" w:hAnsi="Arial Narrow" w:cs="Arial"/>
              </w:rPr>
            </w:pPr>
            <w:r w:rsidRPr="00F93C5B">
              <w:rPr>
                <w:rFonts w:ascii="Arial Narrow" w:hAnsi="Arial Narrow"/>
              </w:rPr>
              <w:t xml:space="preserve">1.4 (range 0.0 to 13.9) months (Pompe </w:t>
            </w:r>
            <w:proofErr w:type="spellStart"/>
            <w:r w:rsidRPr="00F93C5B">
              <w:rPr>
                <w:rFonts w:ascii="Arial Narrow" w:hAnsi="Arial Narrow"/>
              </w:rPr>
              <w:t>Registry</w:t>
            </w:r>
            <w:r w:rsidRPr="00F93C5B">
              <w:rPr>
                <w:rFonts w:ascii="Arial Narrow" w:hAnsi="Arial Narrow"/>
                <w:vertAlign w:val="superscript"/>
              </w:rPr>
              <w:t>a</w:t>
            </w:r>
            <w:proofErr w:type="spellEnd"/>
            <w:r w:rsidRPr="00F93C5B">
              <w:rPr>
                <w:rFonts w:ascii="Arial Narrow" w:hAnsi="Arial Narrow"/>
              </w:rPr>
              <w:t>)</w:t>
            </w:r>
          </w:p>
        </w:tc>
        <w:tc>
          <w:tcPr>
            <w:tcW w:w="3393" w:type="dxa"/>
            <w:tcBorders>
              <w:top w:val="single" w:sz="4" w:space="0" w:color="auto"/>
              <w:left w:val="single" w:sz="4" w:space="0" w:color="auto"/>
              <w:bottom w:val="single" w:sz="4" w:space="0" w:color="auto"/>
              <w:right w:val="single" w:sz="4" w:space="0" w:color="auto"/>
            </w:tcBorders>
          </w:tcPr>
          <w:p w14:paraId="57DAACB8" w14:textId="77777777" w:rsidR="00ED5CB7" w:rsidRPr="00F93C5B" w:rsidRDefault="00ED5CB7" w:rsidP="00834258">
            <w:pPr>
              <w:spacing w:before="0" w:after="0"/>
              <w:rPr>
                <w:rFonts w:ascii="Arial Narrow" w:eastAsia="Calibri" w:hAnsi="Arial Narrow" w:cs="Arial"/>
              </w:rPr>
            </w:pPr>
          </w:p>
        </w:tc>
      </w:tr>
      <w:tr w:rsidR="00ED5CB7" w:rsidRPr="00F93C5B" w14:paraId="6213AD3E" w14:textId="77777777" w:rsidTr="00175863">
        <w:trPr>
          <w:trHeight w:val="242"/>
        </w:trPr>
        <w:tc>
          <w:tcPr>
            <w:tcW w:w="3681" w:type="dxa"/>
            <w:tcBorders>
              <w:top w:val="single" w:sz="4" w:space="0" w:color="auto"/>
              <w:left w:val="single" w:sz="4" w:space="0" w:color="auto"/>
              <w:bottom w:val="single" w:sz="4" w:space="0" w:color="auto"/>
              <w:right w:val="single" w:sz="4" w:space="0" w:color="auto"/>
            </w:tcBorders>
            <w:hideMark/>
          </w:tcPr>
          <w:p w14:paraId="3BA1CFAF" w14:textId="77777777" w:rsidR="00ED5CB7" w:rsidRPr="00F93C5B" w:rsidRDefault="00ED5CB7" w:rsidP="00834258">
            <w:pPr>
              <w:spacing w:before="0" w:after="0"/>
              <w:ind w:left="113"/>
              <w:rPr>
                <w:rFonts w:ascii="Arial Narrow" w:eastAsia="Calibri" w:hAnsi="Arial Narrow" w:cs="Arial"/>
              </w:rPr>
            </w:pPr>
            <w:r w:rsidRPr="00F93C5B">
              <w:rPr>
                <w:rFonts w:ascii="Arial Narrow" w:hAnsi="Arial Narrow"/>
              </w:rPr>
              <w:t>LOGSD II</w:t>
            </w:r>
          </w:p>
        </w:tc>
        <w:tc>
          <w:tcPr>
            <w:tcW w:w="3392" w:type="dxa"/>
            <w:tcBorders>
              <w:top w:val="single" w:sz="4" w:space="0" w:color="auto"/>
              <w:left w:val="single" w:sz="4" w:space="0" w:color="auto"/>
              <w:bottom w:val="single" w:sz="4" w:space="0" w:color="auto"/>
              <w:right w:val="single" w:sz="4" w:space="0" w:color="auto"/>
            </w:tcBorders>
            <w:hideMark/>
          </w:tcPr>
          <w:p w14:paraId="49A93148"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Calibri"/>
              </w:rPr>
              <w:t>–</w:t>
            </w:r>
          </w:p>
        </w:tc>
        <w:tc>
          <w:tcPr>
            <w:tcW w:w="3393" w:type="dxa"/>
            <w:tcBorders>
              <w:top w:val="single" w:sz="4" w:space="0" w:color="auto"/>
              <w:left w:val="single" w:sz="4" w:space="0" w:color="auto"/>
              <w:bottom w:val="single" w:sz="4" w:space="0" w:color="auto"/>
              <w:right w:val="single" w:sz="4" w:space="0" w:color="auto"/>
            </w:tcBorders>
            <w:hideMark/>
          </w:tcPr>
          <w:p w14:paraId="7AD486A5" w14:textId="77777777" w:rsidR="00ED5CB7" w:rsidRPr="00F93C5B" w:rsidRDefault="00ED5CB7" w:rsidP="00834258">
            <w:pPr>
              <w:spacing w:before="0" w:after="0"/>
              <w:rPr>
                <w:rFonts w:ascii="Arial Narrow" w:hAnsi="Arial Narrow"/>
              </w:rPr>
            </w:pPr>
            <w:r w:rsidRPr="00F93C5B">
              <w:rPr>
                <w:rFonts w:ascii="Arial Narrow" w:hAnsi="Arial Narrow"/>
              </w:rPr>
              <w:t>in children ≤12 years: 4 years</w:t>
            </w:r>
          </w:p>
          <w:p w14:paraId="463E72EF" w14:textId="77777777" w:rsidR="00ED5CB7" w:rsidRPr="00F93C5B" w:rsidRDefault="00ED5CB7" w:rsidP="00834258">
            <w:pPr>
              <w:spacing w:before="0" w:after="0"/>
              <w:rPr>
                <w:rFonts w:ascii="Arial Narrow" w:hAnsi="Arial Narrow"/>
              </w:rPr>
            </w:pPr>
            <w:r w:rsidRPr="00F93C5B">
              <w:rPr>
                <w:rFonts w:ascii="Arial Narrow" w:hAnsi="Arial Narrow"/>
              </w:rPr>
              <w:t>in adults and children &gt;12 years: 7 years (economic model), compared to</w:t>
            </w:r>
          </w:p>
          <w:p w14:paraId="64CC1290" w14:textId="77777777" w:rsidR="00ED5CB7" w:rsidRPr="00F93C5B" w:rsidRDefault="00ED5CB7" w:rsidP="00834258">
            <w:pPr>
              <w:spacing w:before="0" w:after="0"/>
              <w:rPr>
                <w:rFonts w:ascii="Arial Narrow" w:hAnsi="Arial Narrow"/>
              </w:rPr>
            </w:pPr>
            <w:r w:rsidRPr="00F93C5B">
              <w:rPr>
                <w:rFonts w:ascii="Arial Narrow" w:hAnsi="Arial Narrow"/>
              </w:rPr>
              <w:t>children ≤12 years: 12.6 (range 0 to 60) years,</w:t>
            </w:r>
          </w:p>
          <w:p w14:paraId="03F1130E" w14:textId="77777777" w:rsidR="00ED5CB7" w:rsidRPr="00F93C5B" w:rsidRDefault="00ED5CB7" w:rsidP="00834258">
            <w:pPr>
              <w:spacing w:before="0" w:after="0"/>
              <w:rPr>
                <w:rFonts w:ascii="Arial Narrow" w:eastAsia="Calibri" w:hAnsi="Arial Narrow" w:cs="Arial"/>
              </w:rPr>
            </w:pPr>
            <w:r w:rsidRPr="00F93C5B">
              <w:rPr>
                <w:rFonts w:ascii="Arial Narrow" w:hAnsi="Arial Narrow"/>
              </w:rPr>
              <w:t xml:space="preserve">in adults and children &gt;12 years: 6 (range 0 to 49.8) years (Pompe </w:t>
            </w:r>
            <w:proofErr w:type="spellStart"/>
            <w:r w:rsidRPr="00F93C5B">
              <w:rPr>
                <w:rFonts w:ascii="Arial Narrow" w:hAnsi="Arial Narrow"/>
              </w:rPr>
              <w:t>Registry</w:t>
            </w:r>
            <w:r w:rsidRPr="00F93C5B">
              <w:rPr>
                <w:rFonts w:ascii="Arial Narrow" w:hAnsi="Arial Narrow"/>
                <w:vertAlign w:val="superscript"/>
              </w:rPr>
              <w:t>a</w:t>
            </w:r>
            <w:proofErr w:type="spellEnd"/>
            <w:r w:rsidRPr="00F93C5B">
              <w:rPr>
                <w:rFonts w:ascii="Arial Narrow" w:hAnsi="Arial Narrow"/>
              </w:rPr>
              <w:t>)</w:t>
            </w:r>
          </w:p>
        </w:tc>
        <w:tc>
          <w:tcPr>
            <w:tcW w:w="3393" w:type="dxa"/>
            <w:tcBorders>
              <w:top w:val="single" w:sz="4" w:space="0" w:color="auto"/>
              <w:left w:val="single" w:sz="4" w:space="0" w:color="auto"/>
              <w:bottom w:val="single" w:sz="4" w:space="0" w:color="auto"/>
              <w:right w:val="single" w:sz="4" w:space="0" w:color="auto"/>
            </w:tcBorders>
          </w:tcPr>
          <w:p w14:paraId="5274B369" w14:textId="77777777" w:rsidR="00ED5CB7" w:rsidRPr="00F93C5B" w:rsidRDefault="00ED5CB7" w:rsidP="00834258">
            <w:pPr>
              <w:spacing w:before="0" w:after="0"/>
              <w:rPr>
                <w:rFonts w:ascii="Arial Narrow" w:eastAsia="Calibri" w:hAnsi="Arial Narrow" w:cs="Arial"/>
              </w:rPr>
            </w:pPr>
          </w:p>
        </w:tc>
      </w:tr>
      <w:tr w:rsidR="00ED5CB7" w:rsidRPr="00F93C5B" w14:paraId="1EC41100" w14:textId="77777777" w:rsidTr="00175863">
        <w:trPr>
          <w:trHeight w:val="242"/>
        </w:trPr>
        <w:tc>
          <w:tcPr>
            <w:tcW w:w="3681" w:type="dxa"/>
            <w:tcBorders>
              <w:top w:val="single" w:sz="4" w:space="0" w:color="auto"/>
              <w:left w:val="single" w:sz="4" w:space="0" w:color="auto"/>
              <w:bottom w:val="single" w:sz="4" w:space="0" w:color="auto"/>
              <w:right w:val="single" w:sz="4" w:space="0" w:color="auto"/>
            </w:tcBorders>
          </w:tcPr>
          <w:p w14:paraId="27EA0528" w14:textId="7FF7D18F" w:rsidR="00ED5CB7" w:rsidRPr="00F93C5B" w:rsidRDefault="00ED5CB7" w:rsidP="00834258">
            <w:pPr>
              <w:spacing w:before="0" w:after="0"/>
              <w:rPr>
                <w:rFonts w:ascii="Arial Narrow" w:hAnsi="Arial Narrow"/>
              </w:rPr>
            </w:pPr>
            <w:r w:rsidRPr="00F93C5B">
              <w:rPr>
                <w:rFonts w:ascii="Arial Narrow" w:eastAsia="Calibri" w:hAnsi="Arial Narrow" w:cs="Arial"/>
              </w:rPr>
              <w:t xml:space="preserve">Proportion with diagnostic </w:t>
            </w:r>
            <w:r w:rsidR="00931D42">
              <w:rPr>
                <w:rFonts w:ascii="Arial Narrow" w:eastAsia="Calibri" w:hAnsi="Arial Narrow" w:cs="Arial"/>
              </w:rPr>
              <w:t>delay</w:t>
            </w:r>
          </w:p>
        </w:tc>
        <w:tc>
          <w:tcPr>
            <w:tcW w:w="3392" w:type="dxa"/>
            <w:tcBorders>
              <w:top w:val="single" w:sz="4" w:space="0" w:color="auto"/>
              <w:left w:val="single" w:sz="4" w:space="0" w:color="auto"/>
              <w:bottom w:val="single" w:sz="4" w:space="0" w:color="auto"/>
              <w:right w:val="single" w:sz="4" w:space="0" w:color="auto"/>
            </w:tcBorders>
          </w:tcPr>
          <w:p w14:paraId="57D49D02" w14:textId="77777777" w:rsidR="00ED5CB7" w:rsidRPr="00F93C5B" w:rsidRDefault="00ED5CB7" w:rsidP="00834258">
            <w:pPr>
              <w:spacing w:before="0" w:after="0"/>
              <w:rPr>
                <w:rFonts w:ascii="Arial Narrow" w:eastAsia="Calibri" w:hAnsi="Arial Narrow" w:cs="Calibri"/>
              </w:rPr>
            </w:pPr>
            <w:r w:rsidRPr="00F93C5B">
              <w:rPr>
                <w:rFonts w:ascii="Arial Narrow" w:eastAsia="Calibri" w:hAnsi="Arial Narrow" w:cs="Calibri"/>
              </w:rPr>
              <w:t>–</w:t>
            </w:r>
          </w:p>
        </w:tc>
        <w:tc>
          <w:tcPr>
            <w:tcW w:w="3393" w:type="dxa"/>
            <w:tcBorders>
              <w:top w:val="single" w:sz="4" w:space="0" w:color="auto"/>
              <w:left w:val="single" w:sz="4" w:space="0" w:color="auto"/>
              <w:bottom w:val="single" w:sz="4" w:space="0" w:color="auto"/>
              <w:right w:val="single" w:sz="4" w:space="0" w:color="auto"/>
            </w:tcBorders>
          </w:tcPr>
          <w:p w14:paraId="12982887" w14:textId="77777777" w:rsidR="00ED5CB7" w:rsidRPr="00F93C5B" w:rsidRDefault="00ED5CB7" w:rsidP="00834258">
            <w:pPr>
              <w:spacing w:before="0" w:after="0"/>
              <w:rPr>
                <w:rFonts w:ascii="Arial Narrow" w:hAnsi="Arial Narrow"/>
              </w:rPr>
            </w:pPr>
            <w:r w:rsidRPr="00F93C5B">
              <w:rPr>
                <w:rFonts w:ascii="Arial Narrow" w:eastAsia="Calibri" w:hAnsi="Arial Narrow" w:cs="Calibri"/>
              </w:rPr>
              <w:t>100% (economic model)</w:t>
            </w:r>
          </w:p>
        </w:tc>
        <w:tc>
          <w:tcPr>
            <w:tcW w:w="3393" w:type="dxa"/>
            <w:tcBorders>
              <w:top w:val="single" w:sz="4" w:space="0" w:color="auto"/>
              <w:left w:val="single" w:sz="4" w:space="0" w:color="auto"/>
              <w:bottom w:val="single" w:sz="4" w:space="0" w:color="auto"/>
              <w:right w:val="single" w:sz="4" w:space="0" w:color="auto"/>
            </w:tcBorders>
          </w:tcPr>
          <w:p w14:paraId="72576B80" w14:textId="77777777" w:rsidR="00ED5CB7" w:rsidRPr="00F93C5B" w:rsidRDefault="00ED5CB7" w:rsidP="00834258">
            <w:pPr>
              <w:spacing w:before="0" w:after="0"/>
              <w:rPr>
                <w:rFonts w:ascii="Arial Narrow" w:eastAsia="Calibri" w:hAnsi="Arial Narrow" w:cs="Arial"/>
              </w:rPr>
            </w:pPr>
          </w:p>
        </w:tc>
      </w:tr>
      <w:tr w:rsidR="00ED5CB7" w:rsidRPr="00F93C5B" w14:paraId="4F7C0BC5" w14:textId="77777777" w:rsidTr="00175863">
        <w:trPr>
          <w:trHeight w:val="242"/>
        </w:trPr>
        <w:tc>
          <w:tcPr>
            <w:tcW w:w="3681" w:type="dxa"/>
            <w:tcBorders>
              <w:top w:val="single" w:sz="4" w:space="0" w:color="auto"/>
              <w:left w:val="single" w:sz="4" w:space="0" w:color="auto"/>
              <w:bottom w:val="single" w:sz="4" w:space="0" w:color="auto"/>
              <w:right w:val="single" w:sz="4" w:space="0" w:color="auto"/>
            </w:tcBorders>
          </w:tcPr>
          <w:p w14:paraId="62CCFE72" w14:textId="77777777" w:rsidR="00ED5CB7" w:rsidRPr="00F93C5B" w:rsidRDefault="00ED5CB7" w:rsidP="00834258">
            <w:pPr>
              <w:spacing w:before="0" w:after="0"/>
              <w:ind w:left="113"/>
              <w:rPr>
                <w:rFonts w:ascii="Arial Narrow" w:hAnsi="Arial Narrow"/>
              </w:rPr>
            </w:pPr>
            <w:r w:rsidRPr="00F93C5B">
              <w:rPr>
                <w:rFonts w:ascii="Arial Narrow" w:eastAsia="Calibri" w:hAnsi="Arial Narrow" w:cs="Arial"/>
              </w:rPr>
              <w:t>IOGSD II</w:t>
            </w:r>
          </w:p>
        </w:tc>
        <w:tc>
          <w:tcPr>
            <w:tcW w:w="3392" w:type="dxa"/>
            <w:tcBorders>
              <w:top w:val="single" w:sz="4" w:space="0" w:color="auto"/>
              <w:left w:val="single" w:sz="4" w:space="0" w:color="auto"/>
              <w:bottom w:val="single" w:sz="4" w:space="0" w:color="auto"/>
              <w:right w:val="single" w:sz="4" w:space="0" w:color="auto"/>
            </w:tcBorders>
          </w:tcPr>
          <w:p w14:paraId="6D4A4642" w14:textId="77777777" w:rsidR="00ED5CB7" w:rsidRPr="00F93C5B" w:rsidRDefault="00ED5CB7" w:rsidP="00834258">
            <w:pPr>
              <w:spacing w:before="0" w:after="0"/>
              <w:rPr>
                <w:rFonts w:ascii="Arial Narrow" w:eastAsia="Calibri" w:hAnsi="Arial Narrow" w:cs="Calibri"/>
              </w:rPr>
            </w:pPr>
            <w:r w:rsidRPr="00F93C5B">
              <w:rPr>
                <w:rFonts w:ascii="Arial Narrow" w:eastAsia="Calibri" w:hAnsi="Arial Narrow" w:cs="Calibri"/>
              </w:rPr>
              <w:t>–</w:t>
            </w:r>
          </w:p>
        </w:tc>
        <w:tc>
          <w:tcPr>
            <w:tcW w:w="3393" w:type="dxa"/>
            <w:tcBorders>
              <w:top w:val="single" w:sz="4" w:space="0" w:color="auto"/>
              <w:left w:val="single" w:sz="4" w:space="0" w:color="auto"/>
              <w:bottom w:val="single" w:sz="4" w:space="0" w:color="auto"/>
              <w:right w:val="single" w:sz="4" w:space="0" w:color="auto"/>
            </w:tcBorders>
          </w:tcPr>
          <w:p w14:paraId="557652ED" w14:textId="77777777" w:rsidR="00ED5CB7" w:rsidRPr="00F93C5B" w:rsidRDefault="00ED5CB7" w:rsidP="00834258">
            <w:pPr>
              <w:spacing w:before="0" w:after="0"/>
              <w:rPr>
                <w:rFonts w:ascii="Arial Narrow" w:hAnsi="Arial Narrow"/>
              </w:rPr>
            </w:pPr>
            <w:r w:rsidRPr="00F93C5B">
              <w:rPr>
                <w:rFonts w:ascii="Arial Narrow" w:eastAsia="Calibri" w:hAnsi="Arial Narrow" w:cs="Calibri"/>
              </w:rPr>
              <w:t>100% (economic model)</w:t>
            </w:r>
          </w:p>
        </w:tc>
        <w:tc>
          <w:tcPr>
            <w:tcW w:w="3393" w:type="dxa"/>
            <w:tcBorders>
              <w:top w:val="single" w:sz="4" w:space="0" w:color="auto"/>
              <w:left w:val="single" w:sz="4" w:space="0" w:color="auto"/>
              <w:bottom w:val="single" w:sz="4" w:space="0" w:color="auto"/>
              <w:right w:val="single" w:sz="4" w:space="0" w:color="auto"/>
            </w:tcBorders>
          </w:tcPr>
          <w:p w14:paraId="37583F2A" w14:textId="77777777" w:rsidR="00ED5CB7" w:rsidRPr="00F93C5B" w:rsidRDefault="00ED5CB7" w:rsidP="00834258">
            <w:pPr>
              <w:spacing w:before="0" w:after="0"/>
              <w:rPr>
                <w:rFonts w:ascii="Arial Narrow" w:eastAsia="Calibri" w:hAnsi="Arial Narrow" w:cs="Arial"/>
              </w:rPr>
            </w:pPr>
          </w:p>
        </w:tc>
      </w:tr>
      <w:tr w:rsidR="00ED5CB7" w:rsidRPr="00F93C5B" w14:paraId="3EB57E70" w14:textId="77777777" w:rsidTr="00175863">
        <w:trPr>
          <w:trHeight w:val="242"/>
        </w:trPr>
        <w:tc>
          <w:tcPr>
            <w:tcW w:w="3681" w:type="dxa"/>
            <w:tcBorders>
              <w:top w:val="single" w:sz="4" w:space="0" w:color="auto"/>
              <w:left w:val="single" w:sz="4" w:space="0" w:color="auto"/>
              <w:bottom w:val="single" w:sz="4" w:space="0" w:color="auto"/>
              <w:right w:val="single" w:sz="4" w:space="0" w:color="auto"/>
            </w:tcBorders>
          </w:tcPr>
          <w:p w14:paraId="64DC526A" w14:textId="77777777" w:rsidR="00ED5CB7" w:rsidRPr="00F93C5B" w:rsidRDefault="00ED5CB7" w:rsidP="00834258">
            <w:pPr>
              <w:spacing w:before="0" w:after="0"/>
              <w:ind w:left="113"/>
              <w:rPr>
                <w:rFonts w:ascii="Arial Narrow" w:hAnsi="Arial Narrow"/>
              </w:rPr>
            </w:pPr>
            <w:r w:rsidRPr="00F93C5B">
              <w:rPr>
                <w:rFonts w:ascii="Arial Narrow" w:eastAsia="Calibri" w:hAnsi="Arial Narrow" w:cs="Arial"/>
              </w:rPr>
              <w:t>LOGSD II</w:t>
            </w:r>
          </w:p>
        </w:tc>
        <w:tc>
          <w:tcPr>
            <w:tcW w:w="3392" w:type="dxa"/>
            <w:tcBorders>
              <w:top w:val="single" w:sz="4" w:space="0" w:color="auto"/>
              <w:left w:val="single" w:sz="4" w:space="0" w:color="auto"/>
              <w:bottom w:val="single" w:sz="4" w:space="0" w:color="auto"/>
              <w:right w:val="single" w:sz="4" w:space="0" w:color="auto"/>
            </w:tcBorders>
          </w:tcPr>
          <w:p w14:paraId="7352A224" w14:textId="77777777" w:rsidR="00ED5CB7" w:rsidRPr="00F93C5B" w:rsidRDefault="00ED5CB7" w:rsidP="00834258">
            <w:pPr>
              <w:spacing w:before="0" w:after="0"/>
              <w:rPr>
                <w:rFonts w:ascii="Arial Narrow" w:eastAsia="Calibri" w:hAnsi="Arial Narrow" w:cs="Calibri"/>
              </w:rPr>
            </w:pPr>
            <w:r w:rsidRPr="00F93C5B">
              <w:rPr>
                <w:rFonts w:ascii="Arial Narrow" w:eastAsia="Calibri" w:hAnsi="Arial Narrow" w:cs="Calibri"/>
              </w:rPr>
              <w:t>–</w:t>
            </w:r>
          </w:p>
        </w:tc>
        <w:tc>
          <w:tcPr>
            <w:tcW w:w="3393" w:type="dxa"/>
            <w:tcBorders>
              <w:top w:val="single" w:sz="4" w:space="0" w:color="auto"/>
              <w:left w:val="single" w:sz="4" w:space="0" w:color="auto"/>
              <w:bottom w:val="single" w:sz="4" w:space="0" w:color="auto"/>
              <w:right w:val="single" w:sz="4" w:space="0" w:color="auto"/>
            </w:tcBorders>
          </w:tcPr>
          <w:p w14:paraId="44234606" w14:textId="77777777" w:rsidR="00ED5CB7" w:rsidRPr="00F93C5B" w:rsidRDefault="00ED5CB7" w:rsidP="00834258">
            <w:pPr>
              <w:spacing w:before="0" w:after="0"/>
              <w:rPr>
                <w:rFonts w:ascii="Arial Narrow" w:hAnsi="Arial Narrow"/>
              </w:rPr>
            </w:pPr>
            <w:r w:rsidRPr="00F93C5B">
              <w:rPr>
                <w:rFonts w:ascii="Arial Narrow" w:eastAsia="Calibri" w:hAnsi="Arial Narrow" w:cs="Calibri"/>
              </w:rPr>
              <w:t>100% (economic model)</w:t>
            </w:r>
          </w:p>
        </w:tc>
        <w:tc>
          <w:tcPr>
            <w:tcW w:w="3393" w:type="dxa"/>
            <w:tcBorders>
              <w:top w:val="single" w:sz="4" w:space="0" w:color="auto"/>
              <w:left w:val="single" w:sz="4" w:space="0" w:color="auto"/>
              <w:bottom w:val="single" w:sz="4" w:space="0" w:color="auto"/>
              <w:right w:val="single" w:sz="4" w:space="0" w:color="auto"/>
            </w:tcBorders>
          </w:tcPr>
          <w:p w14:paraId="18423344" w14:textId="77777777" w:rsidR="00ED5CB7" w:rsidRPr="00F93C5B" w:rsidRDefault="00ED5CB7" w:rsidP="00834258">
            <w:pPr>
              <w:spacing w:before="0" w:after="0"/>
              <w:rPr>
                <w:rFonts w:ascii="Arial Narrow" w:eastAsia="Calibri" w:hAnsi="Arial Narrow" w:cs="Arial"/>
              </w:rPr>
            </w:pPr>
          </w:p>
        </w:tc>
      </w:tr>
      <w:tr w:rsidR="00ED5CB7" w:rsidRPr="00F93C5B" w14:paraId="5BF3218B" w14:textId="77777777" w:rsidTr="00175863">
        <w:trPr>
          <w:trHeight w:val="242"/>
        </w:trPr>
        <w:tc>
          <w:tcPr>
            <w:tcW w:w="3681" w:type="dxa"/>
            <w:tcBorders>
              <w:top w:val="single" w:sz="4" w:space="0" w:color="auto"/>
              <w:left w:val="single" w:sz="4" w:space="0" w:color="auto"/>
              <w:bottom w:val="single" w:sz="4" w:space="0" w:color="auto"/>
              <w:right w:val="single" w:sz="4" w:space="0" w:color="auto"/>
            </w:tcBorders>
          </w:tcPr>
          <w:p w14:paraId="53C05425"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Proportion of GSD II affected cases monitored</w:t>
            </w:r>
          </w:p>
        </w:tc>
        <w:tc>
          <w:tcPr>
            <w:tcW w:w="3392" w:type="dxa"/>
            <w:tcBorders>
              <w:top w:val="single" w:sz="4" w:space="0" w:color="auto"/>
              <w:left w:val="single" w:sz="4" w:space="0" w:color="auto"/>
              <w:bottom w:val="single" w:sz="4" w:space="0" w:color="auto"/>
              <w:right w:val="single" w:sz="4" w:space="0" w:color="auto"/>
            </w:tcBorders>
          </w:tcPr>
          <w:p w14:paraId="1468F7E5" w14:textId="77777777" w:rsidR="00ED5CB7" w:rsidRPr="00F93C5B" w:rsidRDefault="00ED5CB7" w:rsidP="00834258">
            <w:pPr>
              <w:spacing w:before="0" w:after="0"/>
              <w:rPr>
                <w:rFonts w:ascii="Arial Narrow" w:eastAsia="Calibri" w:hAnsi="Arial Narrow" w:cs="Calibri"/>
              </w:rPr>
            </w:pPr>
          </w:p>
        </w:tc>
        <w:tc>
          <w:tcPr>
            <w:tcW w:w="3393" w:type="dxa"/>
            <w:tcBorders>
              <w:top w:val="single" w:sz="4" w:space="0" w:color="auto"/>
              <w:left w:val="single" w:sz="4" w:space="0" w:color="auto"/>
              <w:bottom w:val="single" w:sz="4" w:space="0" w:color="auto"/>
              <w:right w:val="single" w:sz="4" w:space="0" w:color="auto"/>
            </w:tcBorders>
          </w:tcPr>
          <w:p w14:paraId="19FAC79D" w14:textId="77777777" w:rsidR="00ED5CB7" w:rsidRPr="00F93C5B" w:rsidRDefault="00ED5CB7" w:rsidP="00834258">
            <w:pPr>
              <w:spacing w:before="0" w:after="0"/>
              <w:rPr>
                <w:rFonts w:ascii="Arial Narrow" w:eastAsia="Calibri" w:hAnsi="Arial Narrow" w:cs="Calibri"/>
              </w:rPr>
            </w:pPr>
            <w:r w:rsidRPr="00F93C5B">
              <w:rPr>
                <w:rFonts w:ascii="Arial Narrow" w:eastAsia="Calibri" w:hAnsi="Arial Narrow" w:cs="Calibri"/>
              </w:rPr>
              <w:t>–</w:t>
            </w:r>
          </w:p>
        </w:tc>
        <w:tc>
          <w:tcPr>
            <w:tcW w:w="3393" w:type="dxa"/>
            <w:tcBorders>
              <w:top w:val="single" w:sz="4" w:space="0" w:color="auto"/>
              <w:left w:val="single" w:sz="4" w:space="0" w:color="auto"/>
              <w:bottom w:val="single" w:sz="4" w:space="0" w:color="auto"/>
              <w:right w:val="single" w:sz="4" w:space="0" w:color="auto"/>
            </w:tcBorders>
          </w:tcPr>
          <w:p w14:paraId="44C88716" w14:textId="77777777" w:rsidR="00ED5CB7" w:rsidRPr="00F93C5B" w:rsidRDefault="00ED5CB7" w:rsidP="00834258">
            <w:pPr>
              <w:spacing w:before="0" w:after="0"/>
              <w:rPr>
                <w:rFonts w:ascii="Arial Narrow" w:eastAsia="Calibri" w:hAnsi="Arial Narrow" w:cs="Arial"/>
              </w:rPr>
            </w:pPr>
          </w:p>
        </w:tc>
      </w:tr>
      <w:tr w:rsidR="00ED5CB7" w:rsidRPr="00F93C5B" w14:paraId="29A54549" w14:textId="77777777" w:rsidTr="00175863">
        <w:trPr>
          <w:trHeight w:val="242"/>
        </w:trPr>
        <w:tc>
          <w:tcPr>
            <w:tcW w:w="3681" w:type="dxa"/>
            <w:tcBorders>
              <w:top w:val="single" w:sz="4" w:space="0" w:color="auto"/>
              <w:left w:val="single" w:sz="4" w:space="0" w:color="auto"/>
              <w:bottom w:val="single" w:sz="4" w:space="0" w:color="auto"/>
              <w:right w:val="single" w:sz="4" w:space="0" w:color="auto"/>
            </w:tcBorders>
          </w:tcPr>
          <w:p w14:paraId="195AC770" w14:textId="77777777" w:rsidR="00ED5CB7" w:rsidRPr="00F93C5B" w:rsidRDefault="00ED5CB7" w:rsidP="00834258">
            <w:pPr>
              <w:spacing w:before="0" w:after="0"/>
              <w:ind w:left="113"/>
              <w:rPr>
                <w:rFonts w:ascii="Arial Narrow" w:eastAsia="Calibri" w:hAnsi="Arial Narrow" w:cs="Arial"/>
              </w:rPr>
            </w:pPr>
            <w:r w:rsidRPr="00F93C5B">
              <w:rPr>
                <w:rFonts w:ascii="Arial Narrow" w:eastAsia="Calibri" w:hAnsi="Arial Narrow" w:cs="Arial"/>
              </w:rPr>
              <w:t>IOGSD II</w:t>
            </w:r>
          </w:p>
        </w:tc>
        <w:tc>
          <w:tcPr>
            <w:tcW w:w="3392" w:type="dxa"/>
            <w:tcBorders>
              <w:top w:val="single" w:sz="4" w:space="0" w:color="auto"/>
              <w:left w:val="single" w:sz="4" w:space="0" w:color="auto"/>
              <w:bottom w:val="single" w:sz="4" w:space="0" w:color="auto"/>
              <w:right w:val="single" w:sz="4" w:space="0" w:color="auto"/>
            </w:tcBorders>
          </w:tcPr>
          <w:p w14:paraId="4AA1C36B" w14:textId="77777777" w:rsidR="00ED5CB7" w:rsidRPr="00F93C5B" w:rsidRDefault="00ED5CB7" w:rsidP="00834258">
            <w:pPr>
              <w:spacing w:before="0" w:after="0"/>
              <w:rPr>
                <w:rFonts w:ascii="Arial Narrow" w:eastAsia="Calibri" w:hAnsi="Arial Narrow" w:cs="Calibri"/>
              </w:rPr>
            </w:pPr>
            <w:r w:rsidRPr="00F93C5B">
              <w:rPr>
                <w:rFonts w:ascii="Arial Narrow" w:eastAsia="Calibri" w:hAnsi="Arial Narrow" w:cs="Arial"/>
              </w:rPr>
              <w:t>0</w:t>
            </w:r>
          </w:p>
        </w:tc>
        <w:tc>
          <w:tcPr>
            <w:tcW w:w="3393" w:type="dxa"/>
            <w:tcBorders>
              <w:top w:val="single" w:sz="4" w:space="0" w:color="auto"/>
              <w:left w:val="single" w:sz="4" w:space="0" w:color="auto"/>
              <w:bottom w:val="single" w:sz="4" w:space="0" w:color="auto"/>
              <w:right w:val="single" w:sz="4" w:space="0" w:color="auto"/>
            </w:tcBorders>
          </w:tcPr>
          <w:p w14:paraId="3AD2AE66" w14:textId="77777777" w:rsidR="00ED5CB7" w:rsidRPr="00F93C5B" w:rsidRDefault="00ED5CB7" w:rsidP="00834258">
            <w:pPr>
              <w:spacing w:before="0" w:after="0"/>
              <w:rPr>
                <w:rFonts w:ascii="Arial Narrow" w:eastAsia="Calibri" w:hAnsi="Arial Narrow" w:cs="Calibri"/>
              </w:rPr>
            </w:pPr>
            <w:r w:rsidRPr="00F93C5B">
              <w:rPr>
                <w:rFonts w:ascii="Arial Narrow" w:eastAsia="Calibri" w:hAnsi="Arial Narrow" w:cs="Calibri"/>
              </w:rPr>
              <w:t>–</w:t>
            </w:r>
          </w:p>
        </w:tc>
        <w:tc>
          <w:tcPr>
            <w:tcW w:w="3393" w:type="dxa"/>
            <w:tcBorders>
              <w:top w:val="single" w:sz="4" w:space="0" w:color="auto"/>
              <w:left w:val="single" w:sz="4" w:space="0" w:color="auto"/>
              <w:bottom w:val="single" w:sz="4" w:space="0" w:color="auto"/>
              <w:right w:val="single" w:sz="4" w:space="0" w:color="auto"/>
            </w:tcBorders>
          </w:tcPr>
          <w:p w14:paraId="3F794051" w14:textId="77777777" w:rsidR="00ED5CB7" w:rsidRPr="00F93C5B" w:rsidRDefault="00ED5CB7" w:rsidP="00834258">
            <w:pPr>
              <w:spacing w:before="0" w:after="0"/>
              <w:rPr>
                <w:rFonts w:ascii="Arial Narrow" w:eastAsia="Calibri" w:hAnsi="Arial Narrow" w:cs="Arial"/>
              </w:rPr>
            </w:pPr>
          </w:p>
        </w:tc>
      </w:tr>
      <w:tr w:rsidR="00ED5CB7" w:rsidRPr="00F93C5B" w14:paraId="6F4993F2" w14:textId="77777777" w:rsidTr="00175863">
        <w:trPr>
          <w:trHeight w:val="242"/>
        </w:trPr>
        <w:tc>
          <w:tcPr>
            <w:tcW w:w="3681" w:type="dxa"/>
            <w:tcBorders>
              <w:top w:val="single" w:sz="4" w:space="0" w:color="auto"/>
              <w:left w:val="single" w:sz="4" w:space="0" w:color="auto"/>
              <w:bottom w:val="single" w:sz="4" w:space="0" w:color="auto"/>
              <w:right w:val="single" w:sz="4" w:space="0" w:color="auto"/>
            </w:tcBorders>
          </w:tcPr>
          <w:p w14:paraId="445FBD8A" w14:textId="77777777" w:rsidR="00ED5CB7" w:rsidRPr="00F93C5B" w:rsidRDefault="00ED5CB7" w:rsidP="00834258">
            <w:pPr>
              <w:spacing w:before="0" w:after="0"/>
              <w:ind w:left="113"/>
              <w:rPr>
                <w:rFonts w:ascii="Arial Narrow" w:eastAsia="Calibri" w:hAnsi="Arial Narrow" w:cs="Arial"/>
              </w:rPr>
            </w:pPr>
            <w:r w:rsidRPr="00F93C5B">
              <w:rPr>
                <w:rFonts w:ascii="Arial Narrow" w:eastAsia="Calibri" w:hAnsi="Arial Narrow" w:cs="Arial"/>
              </w:rPr>
              <w:t>LOGSD II</w:t>
            </w:r>
          </w:p>
        </w:tc>
        <w:tc>
          <w:tcPr>
            <w:tcW w:w="3392" w:type="dxa"/>
            <w:tcBorders>
              <w:top w:val="single" w:sz="4" w:space="0" w:color="auto"/>
              <w:left w:val="single" w:sz="4" w:space="0" w:color="auto"/>
              <w:bottom w:val="single" w:sz="4" w:space="0" w:color="auto"/>
              <w:right w:val="single" w:sz="4" w:space="0" w:color="auto"/>
            </w:tcBorders>
          </w:tcPr>
          <w:p w14:paraId="27F71D91" w14:textId="77777777" w:rsidR="00ED5CB7" w:rsidRPr="00F93C5B" w:rsidRDefault="00ED5CB7" w:rsidP="00834258">
            <w:pPr>
              <w:spacing w:before="0" w:after="0"/>
              <w:rPr>
                <w:rFonts w:ascii="Arial Narrow" w:eastAsia="Calibri" w:hAnsi="Arial Narrow" w:cs="Calibri"/>
              </w:rPr>
            </w:pPr>
            <w:r w:rsidRPr="00F93C5B">
              <w:rPr>
                <w:rFonts w:ascii="Arial Narrow" w:eastAsia="Calibri" w:hAnsi="Arial Narrow" w:cs="Arial"/>
              </w:rPr>
              <w:t>82.6% (economic model)</w:t>
            </w:r>
          </w:p>
        </w:tc>
        <w:tc>
          <w:tcPr>
            <w:tcW w:w="3393" w:type="dxa"/>
            <w:tcBorders>
              <w:top w:val="single" w:sz="4" w:space="0" w:color="auto"/>
              <w:left w:val="single" w:sz="4" w:space="0" w:color="auto"/>
              <w:bottom w:val="single" w:sz="4" w:space="0" w:color="auto"/>
              <w:right w:val="single" w:sz="4" w:space="0" w:color="auto"/>
            </w:tcBorders>
          </w:tcPr>
          <w:p w14:paraId="4E3613A0" w14:textId="77777777" w:rsidR="00ED5CB7" w:rsidRPr="00F93C5B" w:rsidRDefault="00ED5CB7" w:rsidP="00834258">
            <w:pPr>
              <w:spacing w:before="0" w:after="0"/>
              <w:rPr>
                <w:rFonts w:ascii="Arial Narrow" w:eastAsia="Calibri" w:hAnsi="Arial Narrow" w:cs="Calibri"/>
              </w:rPr>
            </w:pPr>
            <w:r w:rsidRPr="00F93C5B">
              <w:rPr>
                <w:rFonts w:ascii="Arial Narrow" w:eastAsia="Calibri" w:hAnsi="Arial Narrow" w:cs="Calibri"/>
              </w:rPr>
              <w:t>–</w:t>
            </w:r>
          </w:p>
        </w:tc>
        <w:tc>
          <w:tcPr>
            <w:tcW w:w="3393" w:type="dxa"/>
            <w:tcBorders>
              <w:top w:val="single" w:sz="4" w:space="0" w:color="auto"/>
              <w:left w:val="single" w:sz="4" w:space="0" w:color="auto"/>
              <w:bottom w:val="single" w:sz="4" w:space="0" w:color="auto"/>
              <w:right w:val="single" w:sz="4" w:space="0" w:color="auto"/>
            </w:tcBorders>
          </w:tcPr>
          <w:p w14:paraId="0B9BB3B3" w14:textId="77777777" w:rsidR="00ED5CB7" w:rsidRPr="00F93C5B" w:rsidRDefault="00ED5CB7" w:rsidP="00834258">
            <w:pPr>
              <w:spacing w:before="0" w:after="0"/>
              <w:rPr>
                <w:rFonts w:ascii="Arial Narrow" w:eastAsia="Calibri" w:hAnsi="Arial Narrow" w:cs="Arial"/>
              </w:rPr>
            </w:pPr>
          </w:p>
        </w:tc>
      </w:tr>
      <w:tr w:rsidR="00ED5CB7" w:rsidRPr="00F93C5B" w14:paraId="17AD9547"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hideMark/>
          </w:tcPr>
          <w:p w14:paraId="74BD9469"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Treatment effectiveness</w:t>
            </w:r>
          </w:p>
        </w:tc>
        <w:tc>
          <w:tcPr>
            <w:tcW w:w="3392" w:type="dxa"/>
            <w:tcBorders>
              <w:top w:val="single" w:sz="4" w:space="0" w:color="auto"/>
              <w:left w:val="single" w:sz="4" w:space="0" w:color="auto"/>
              <w:bottom w:val="single" w:sz="4" w:space="0" w:color="auto"/>
              <w:right w:val="single" w:sz="4" w:space="0" w:color="auto"/>
            </w:tcBorders>
          </w:tcPr>
          <w:p w14:paraId="27F376C2"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tcPr>
          <w:p w14:paraId="421FB8A2"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tcPr>
          <w:p w14:paraId="55FAF59E" w14:textId="77777777" w:rsidR="00ED5CB7" w:rsidRPr="00F93C5B" w:rsidRDefault="00ED5CB7" w:rsidP="00834258">
            <w:pPr>
              <w:spacing w:before="0" w:after="0"/>
              <w:rPr>
                <w:rFonts w:ascii="Arial Narrow" w:eastAsia="Calibri" w:hAnsi="Arial Narrow" w:cs="Arial"/>
              </w:rPr>
            </w:pPr>
          </w:p>
        </w:tc>
      </w:tr>
      <w:tr w:rsidR="00ED5CB7" w:rsidRPr="00F93C5B" w14:paraId="3387E62C" w14:textId="77777777" w:rsidTr="00175863">
        <w:trPr>
          <w:trHeight w:val="922"/>
        </w:trPr>
        <w:tc>
          <w:tcPr>
            <w:tcW w:w="3681" w:type="dxa"/>
            <w:tcBorders>
              <w:top w:val="single" w:sz="4" w:space="0" w:color="auto"/>
              <w:left w:val="single" w:sz="4" w:space="0" w:color="auto"/>
              <w:bottom w:val="single" w:sz="4" w:space="0" w:color="auto"/>
              <w:right w:val="single" w:sz="4" w:space="0" w:color="auto"/>
            </w:tcBorders>
            <w:hideMark/>
          </w:tcPr>
          <w:p w14:paraId="79448753"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Early vs late ERT (</w:t>
            </w:r>
            <w:r w:rsidRPr="00F93C5B">
              <w:rPr>
                <w:rFonts w:ascii="Arial Narrow" w:hAnsi="Arial Narrow"/>
              </w:rPr>
              <w:t>20</w:t>
            </w:r>
            <w:r w:rsidRPr="00F93C5B">
              <w:rPr>
                <w:rFonts w:ascii="Arial Narrow" w:eastAsia="Calibri" w:hAnsi="Arial Narrow"/>
              </w:rPr>
              <w:t> </w:t>
            </w:r>
            <w:r w:rsidRPr="00F93C5B">
              <w:rPr>
                <w:rFonts w:ascii="Arial Narrow" w:hAnsi="Arial Narrow"/>
              </w:rPr>
              <w:t>mg</w:t>
            </w:r>
            <w:r w:rsidRPr="00F93C5B">
              <w:rPr>
                <w:rFonts w:ascii="Arial Narrow" w:eastAsia="Calibri" w:hAnsi="Arial Narrow" w:cs="Arial"/>
              </w:rPr>
              <w:t xml:space="preserve">/kg </w:t>
            </w:r>
            <w:proofErr w:type="spellStart"/>
            <w:r w:rsidRPr="00F93C5B">
              <w:rPr>
                <w:rFonts w:ascii="Arial Narrow" w:eastAsia="Calibri" w:hAnsi="Arial Narrow" w:cs="Arial"/>
              </w:rPr>
              <w:t>alglucosidase</w:t>
            </w:r>
            <w:proofErr w:type="spellEnd"/>
            <w:r w:rsidRPr="00F93C5B">
              <w:rPr>
                <w:rFonts w:ascii="Arial Narrow" w:eastAsia="Calibri" w:hAnsi="Arial Narrow" w:cs="Arial"/>
              </w:rPr>
              <w:t xml:space="preserve"> alfa or </w:t>
            </w:r>
            <w:proofErr w:type="spellStart"/>
            <w:r w:rsidRPr="00F93C5B">
              <w:rPr>
                <w:rFonts w:ascii="Arial Narrow" w:eastAsia="Calibri" w:hAnsi="Arial Narrow" w:cs="Arial"/>
              </w:rPr>
              <w:t>avalglucosidase</w:t>
            </w:r>
            <w:proofErr w:type="spellEnd"/>
            <w:r w:rsidRPr="00F93C5B">
              <w:rPr>
                <w:rFonts w:ascii="Arial Narrow" w:eastAsia="Calibri" w:hAnsi="Arial Narrow" w:cs="Arial"/>
              </w:rPr>
              <w:t xml:space="preserve"> </w:t>
            </w:r>
            <w:proofErr w:type="spellStart"/>
            <w:r w:rsidRPr="00F93C5B">
              <w:rPr>
                <w:rFonts w:ascii="Arial Narrow" w:eastAsia="Calibri" w:hAnsi="Arial Narrow" w:cs="Arial"/>
              </w:rPr>
              <w:t>alfaevery</w:t>
            </w:r>
            <w:proofErr w:type="spellEnd"/>
            <w:r w:rsidRPr="00F93C5B">
              <w:rPr>
                <w:rFonts w:ascii="Arial Narrow" w:eastAsia="Calibri" w:hAnsi="Arial Narrow" w:cs="Arial"/>
              </w:rPr>
              <w:t xml:space="preserve"> other week) in IOGSD II (retrospective cohort study in Taiwan which initially used a different NBS algorithm)</w:t>
            </w:r>
          </w:p>
        </w:tc>
        <w:tc>
          <w:tcPr>
            <w:tcW w:w="3392" w:type="dxa"/>
            <w:tcBorders>
              <w:top w:val="single" w:sz="4" w:space="0" w:color="auto"/>
              <w:left w:val="single" w:sz="4" w:space="0" w:color="auto"/>
              <w:bottom w:val="single" w:sz="4" w:space="0" w:color="auto"/>
              <w:right w:val="single" w:sz="4" w:space="0" w:color="auto"/>
            </w:tcBorders>
          </w:tcPr>
          <w:p w14:paraId="550886BE"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At 50 months’ follow-up:</w:t>
            </w:r>
          </w:p>
          <w:p w14:paraId="43261026"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100% (13/13) alive</w:t>
            </w:r>
          </w:p>
          <w:p w14:paraId="26465594"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100% (13/13) ventilation-free</w:t>
            </w:r>
          </w:p>
        </w:tc>
        <w:tc>
          <w:tcPr>
            <w:tcW w:w="3393" w:type="dxa"/>
            <w:tcBorders>
              <w:top w:val="single" w:sz="4" w:space="0" w:color="auto"/>
              <w:left w:val="single" w:sz="4" w:space="0" w:color="auto"/>
              <w:bottom w:val="single" w:sz="4" w:space="0" w:color="auto"/>
              <w:right w:val="single" w:sz="4" w:space="0" w:color="auto"/>
            </w:tcBorders>
          </w:tcPr>
          <w:p w14:paraId="734DC516"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At 50 months’ follow-up:</w:t>
            </w:r>
          </w:p>
          <w:p w14:paraId="098ED149"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50% (5/10) alive</w:t>
            </w:r>
          </w:p>
          <w:p w14:paraId="46FF8D66"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20% (2/10) ventilation-free</w:t>
            </w:r>
          </w:p>
        </w:tc>
        <w:tc>
          <w:tcPr>
            <w:tcW w:w="3393" w:type="dxa"/>
            <w:tcBorders>
              <w:top w:val="single" w:sz="4" w:space="0" w:color="auto"/>
              <w:left w:val="single" w:sz="4" w:space="0" w:color="auto"/>
              <w:bottom w:val="single" w:sz="4" w:space="0" w:color="auto"/>
              <w:right w:val="single" w:sz="4" w:space="0" w:color="auto"/>
            </w:tcBorders>
            <w:hideMark/>
          </w:tcPr>
          <w:p w14:paraId="54E05E84"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Based on Kaplan Meier analysis (test not specified, but likely a log-rank test):</w:t>
            </w:r>
          </w:p>
          <w:p w14:paraId="3E96CD56"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p=0.028 for the overall survival difference</w:t>
            </w:r>
          </w:p>
          <w:p w14:paraId="3A503ED9"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p&lt;0.001 for the ventilation-free overall survival difference.</w:t>
            </w:r>
          </w:p>
        </w:tc>
      </w:tr>
      <w:tr w:rsidR="00ED5CB7" w:rsidRPr="00F93C5B" w14:paraId="0D449C43" w14:textId="77777777" w:rsidTr="00175863">
        <w:trPr>
          <w:trHeight w:val="468"/>
        </w:trPr>
        <w:tc>
          <w:tcPr>
            <w:tcW w:w="3681" w:type="dxa"/>
            <w:tcBorders>
              <w:top w:val="single" w:sz="4" w:space="0" w:color="auto"/>
              <w:left w:val="single" w:sz="4" w:space="0" w:color="auto"/>
              <w:bottom w:val="single" w:sz="4" w:space="0" w:color="auto"/>
              <w:right w:val="single" w:sz="4" w:space="0" w:color="auto"/>
            </w:tcBorders>
            <w:hideMark/>
          </w:tcPr>
          <w:p w14:paraId="7F95E991"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Early vs late ERT in LOGSD II</w:t>
            </w:r>
          </w:p>
        </w:tc>
        <w:tc>
          <w:tcPr>
            <w:tcW w:w="3392" w:type="dxa"/>
            <w:tcBorders>
              <w:top w:val="single" w:sz="4" w:space="0" w:color="auto"/>
              <w:left w:val="single" w:sz="4" w:space="0" w:color="auto"/>
              <w:bottom w:val="single" w:sz="4" w:space="0" w:color="auto"/>
              <w:right w:val="single" w:sz="4" w:space="0" w:color="auto"/>
            </w:tcBorders>
          </w:tcPr>
          <w:p w14:paraId="352E59BC"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tcPr>
          <w:p w14:paraId="4E355717"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single" w:sz="4" w:space="0" w:color="auto"/>
              <w:bottom w:val="single" w:sz="4" w:space="0" w:color="auto"/>
              <w:right w:val="single" w:sz="4" w:space="0" w:color="auto"/>
            </w:tcBorders>
            <w:hideMark/>
          </w:tcPr>
          <w:p w14:paraId="6F5AE65E"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No robust data reported to enable any comparison. </w:t>
            </w:r>
          </w:p>
        </w:tc>
      </w:tr>
      <w:tr w:rsidR="00ED5CB7" w:rsidRPr="00F93C5B" w14:paraId="1942D1CD" w14:textId="77777777" w:rsidTr="00175863">
        <w:trPr>
          <w:trHeight w:val="145"/>
        </w:trPr>
        <w:tc>
          <w:tcPr>
            <w:tcW w:w="3681" w:type="dxa"/>
            <w:tcBorders>
              <w:top w:val="single" w:sz="4" w:space="0" w:color="auto"/>
              <w:left w:val="single" w:sz="4" w:space="0" w:color="auto"/>
              <w:bottom w:val="single" w:sz="4" w:space="0" w:color="auto"/>
              <w:right w:val="nil"/>
            </w:tcBorders>
            <w:hideMark/>
          </w:tcPr>
          <w:p w14:paraId="1C2B7069" w14:textId="77777777" w:rsidR="00ED5CB7" w:rsidRPr="00F93C5B" w:rsidRDefault="00ED5CB7" w:rsidP="00834258">
            <w:pPr>
              <w:spacing w:before="0" w:after="0"/>
              <w:rPr>
                <w:rFonts w:ascii="Arial Narrow" w:eastAsia="Calibri" w:hAnsi="Arial Narrow" w:cs="Arial"/>
                <w:b/>
                <w:bCs/>
              </w:rPr>
            </w:pPr>
            <w:r w:rsidRPr="00F93C5B">
              <w:rPr>
                <w:rFonts w:ascii="Arial Narrow" w:eastAsia="Calibri" w:hAnsi="Arial Narrow" w:cs="Arial"/>
                <w:b/>
                <w:bCs/>
              </w:rPr>
              <w:t>5) Cost-effectiveness?</w:t>
            </w:r>
          </w:p>
        </w:tc>
        <w:tc>
          <w:tcPr>
            <w:tcW w:w="3392" w:type="dxa"/>
            <w:tcBorders>
              <w:top w:val="single" w:sz="4" w:space="0" w:color="auto"/>
              <w:left w:val="nil"/>
              <w:bottom w:val="single" w:sz="4" w:space="0" w:color="auto"/>
              <w:right w:val="nil"/>
            </w:tcBorders>
          </w:tcPr>
          <w:p w14:paraId="49843D37"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nil"/>
              <w:bottom w:val="single" w:sz="4" w:space="0" w:color="auto"/>
              <w:right w:val="nil"/>
            </w:tcBorders>
          </w:tcPr>
          <w:p w14:paraId="712D5559"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nil"/>
              <w:bottom w:val="single" w:sz="4" w:space="0" w:color="auto"/>
              <w:right w:val="single" w:sz="4" w:space="0" w:color="auto"/>
            </w:tcBorders>
          </w:tcPr>
          <w:p w14:paraId="73302686" w14:textId="77777777" w:rsidR="00ED5CB7" w:rsidRPr="00F93C5B" w:rsidRDefault="00ED5CB7" w:rsidP="00834258">
            <w:pPr>
              <w:spacing w:before="0" w:after="0"/>
              <w:rPr>
                <w:rFonts w:ascii="Arial Narrow" w:eastAsia="Calibri" w:hAnsi="Arial Narrow" w:cs="Arial"/>
              </w:rPr>
            </w:pPr>
          </w:p>
        </w:tc>
      </w:tr>
      <w:tr w:rsidR="00ED5CB7" w:rsidRPr="00F93C5B" w14:paraId="7330630A" w14:textId="77777777" w:rsidTr="00175863">
        <w:trPr>
          <w:trHeight w:val="145"/>
        </w:trPr>
        <w:tc>
          <w:tcPr>
            <w:tcW w:w="3681" w:type="dxa"/>
            <w:tcBorders>
              <w:top w:val="single" w:sz="4" w:space="0" w:color="auto"/>
              <w:left w:val="single" w:sz="4" w:space="0" w:color="auto"/>
              <w:bottom w:val="single" w:sz="4" w:space="0" w:color="auto"/>
              <w:right w:val="single" w:sz="4" w:space="0" w:color="auto"/>
            </w:tcBorders>
            <w:hideMark/>
          </w:tcPr>
          <w:p w14:paraId="33776756"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ICER ($/extra diagnosis of GSD II)</w:t>
            </w:r>
          </w:p>
          <w:p w14:paraId="06C41B1F" w14:textId="612F68F0"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Step 1 base case model (per 100,000), test costs only (including diagnostic </w:t>
            </w:r>
            <w:r w:rsidR="00931D42">
              <w:rPr>
                <w:rFonts w:ascii="Arial Narrow" w:eastAsia="Calibri" w:hAnsi="Arial Narrow" w:cs="Arial"/>
              </w:rPr>
              <w:t>delay</w:t>
            </w:r>
            <w:r w:rsidR="00931D42" w:rsidRPr="00F93C5B">
              <w:rPr>
                <w:rFonts w:ascii="Arial Narrow" w:eastAsia="Calibri" w:hAnsi="Arial Narrow" w:cs="Arial"/>
              </w:rPr>
              <w:t xml:space="preserve"> </w:t>
            </w:r>
            <w:r w:rsidRPr="00F93C5B">
              <w:rPr>
                <w:rFonts w:ascii="Arial Narrow" w:eastAsia="Calibri" w:hAnsi="Arial Narrow" w:cs="Arial"/>
              </w:rPr>
              <w:t>costs)</w:t>
            </w:r>
          </w:p>
        </w:tc>
        <w:tc>
          <w:tcPr>
            <w:tcW w:w="3392" w:type="dxa"/>
            <w:tcBorders>
              <w:top w:val="single" w:sz="4" w:space="0" w:color="auto"/>
              <w:left w:val="single" w:sz="4" w:space="0" w:color="auto"/>
              <w:bottom w:val="single" w:sz="4" w:space="0" w:color="auto"/>
              <w:right w:val="single" w:sz="4" w:space="0" w:color="auto"/>
            </w:tcBorders>
            <w:hideMark/>
          </w:tcPr>
          <w:p w14:paraId="4284F747" w14:textId="535DE930"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Cost: </w:t>
            </w:r>
            <w:r w:rsidR="00B12AFD" w:rsidRPr="009B60A4">
              <w:rPr>
                <w:rFonts w:ascii="Arial Narrow" w:hAnsi="Arial Narrow" w:cs="Calibri"/>
                <w:color w:val="000000"/>
              </w:rPr>
              <w:t>$</w:t>
            </w:r>
            <w:r w:rsidR="00B12AFD">
              <w:rPr>
                <w:rFonts w:ascii="Arial Narrow" w:hAnsi="Arial Narrow" w:cs="Calibri"/>
                <w:b/>
                <w:bCs/>
                <w:color w:val="000000"/>
              </w:rPr>
              <w:t>Redacted</w:t>
            </w:r>
            <w:r w:rsidR="00B12AFD" w:rsidRPr="00F93C5B" w:rsidDel="00B12AFD">
              <w:rPr>
                <w:rFonts w:ascii="Arial Narrow" w:eastAsia="Calibri" w:hAnsi="Arial Narrow" w:cs="Arial"/>
              </w:rPr>
              <w:t xml:space="preserve"> </w:t>
            </w:r>
            <w:r w:rsidRPr="00F93C5B">
              <w:rPr>
                <w:rFonts w:ascii="Arial Narrow" w:eastAsia="Calibri" w:hAnsi="Arial Narrow" w:cs="Arial"/>
              </w:rPr>
              <w:t>GSD II diagnoses: 3.48</w:t>
            </w:r>
          </w:p>
        </w:tc>
        <w:tc>
          <w:tcPr>
            <w:tcW w:w="3393" w:type="dxa"/>
            <w:tcBorders>
              <w:top w:val="single" w:sz="4" w:space="0" w:color="auto"/>
              <w:left w:val="single" w:sz="4" w:space="0" w:color="auto"/>
              <w:bottom w:val="single" w:sz="4" w:space="0" w:color="auto"/>
              <w:right w:val="single" w:sz="4" w:space="0" w:color="auto"/>
            </w:tcBorders>
            <w:hideMark/>
          </w:tcPr>
          <w:p w14:paraId="020F38F0" w14:textId="0AB9F15E"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Cost:</w:t>
            </w:r>
            <w:r w:rsidR="00B12AFD" w:rsidRPr="009B60A4">
              <w:rPr>
                <w:rFonts w:ascii="Arial Narrow" w:hAnsi="Arial Narrow" w:cs="Calibri"/>
                <w:color w:val="000000"/>
              </w:rPr>
              <w:t xml:space="preserve"> $</w:t>
            </w:r>
            <w:r w:rsidR="00B12AFD">
              <w:rPr>
                <w:rFonts w:ascii="Arial Narrow" w:hAnsi="Arial Narrow" w:cs="Calibri"/>
                <w:b/>
                <w:bCs/>
                <w:color w:val="000000"/>
              </w:rPr>
              <w:t>Redacted</w:t>
            </w:r>
          </w:p>
          <w:p w14:paraId="1D07F002"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GSD II diagnoses: 2.19</w:t>
            </w:r>
          </w:p>
        </w:tc>
        <w:tc>
          <w:tcPr>
            <w:tcW w:w="3393" w:type="dxa"/>
            <w:tcBorders>
              <w:top w:val="single" w:sz="4" w:space="0" w:color="auto"/>
              <w:left w:val="single" w:sz="4" w:space="0" w:color="auto"/>
              <w:bottom w:val="single" w:sz="4" w:space="0" w:color="auto"/>
              <w:right w:val="single" w:sz="4" w:space="0" w:color="auto"/>
            </w:tcBorders>
            <w:hideMark/>
          </w:tcPr>
          <w:p w14:paraId="548F45A2" w14:textId="6EE35254"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Incremental cost: </w:t>
            </w:r>
            <w:r w:rsidR="00B12AFD" w:rsidRPr="009B60A4">
              <w:rPr>
                <w:rFonts w:ascii="Arial Narrow" w:hAnsi="Arial Narrow" w:cs="Calibri"/>
                <w:color w:val="000000"/>
              </w:rPr>
              <w:t>$</w:t>
            </w:r>
            <w:r w:rsidR="00B12AFD">
              <w:rPr>
                <w:rFonts w:ascii="Arial Narrow" w:hAnsi="Arial Narrow" w:cs="Calibri"/>
                <w:b/>
                <w:bCs/>
                <w:color w:val="000000"/>
              </w:rPr>
              <w:t>Redacted</w:t>
            </w:r>
          </w:p>
          <w:p w14:paraId="176F3E95"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Incremental diagnoses: 1.29</w:t>
            </w:r>
          </w:p>
          <w:p w14:paraId="21C08EBB" w14:textId="52303F6B"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ICER: </w:t>
            </w:r>
            <w:r w:rsidR="00B12AFD" w:rsidRPr="009B60A4">
              <w:rPr>
                <w:rFonts w:ascii="Arial Narrow" w:hAnsi="Arial Narrow" w:cs="Calibri"/>
                <w:color w:val="000000"/>
              </w:rPr>
              <w:t>$</w:t>
            </w:r>
            <w:r w:rsidR="00B12AFD">
              <w:rPr>
                <w:rFonts w:ascii="Arial Narrow" w:hAnsi="Arial Narrow" w:cs="Calibri"/>
                <w:b/>
                <w:bCs/>
                <w:color w:val="000000"/>
              </w:rPr>
              <w:t>Redacted</w:t>
            </w:r>
          </w:p>
        </w:tc>
      </w:tr>
      <w:tr w:rsidR="00ED5CB7" w:rsidRPr="00F93C5B" w14:paraId="4AB99F83" w14:textId="77777777" w:rsidTr="00175863">
        <w:trPr>
          <w:trHeight w:val="145"/>
        </w:trPr>
        <w:tc>
          <w:tcPr>
            <w:tcW w:w="3681" w:type="dxa"/>
            <w:tcBorders>
              <w:top w:val="single" w:sz="4" w:space="0" w:color="auto"/>
              <w:left w:val="single" w:sz="4" w:space="0" w:color="auto"/>
              <w:bottom w:val="single" w:sz="4" w:space="0" w:color="auto"/>
              <w:right w:val="single" w:sz="4" w:space="0" w:color="auto"/>
            </w:tcBorders>
            <w:hideMark/>
          </w:tcPr>
          <w:p w14:paraId="22545EEF"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ICER ($/extra diagnosis of GSD II)</w:t>
            </w:r>
          </w:p>
          <w:p w14:paraId="19CACAAC"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Step 2 base case model (per 100,000), adding annual surveillance and earlier ERT costs</w:t>
            </w:r>
          </w:p>
        </w:tc>
        <w:tc>
          <w:tcPr>
            <w:tcW w:w="3392" w:type="dxa"/>
            <w:tcBorders>
              <w:top w:val="single" w:sz="4" w:space="0" w:color="auto"/>
              <w:left w:val="single" w:sz="4" w:space="0" w:color="auto"/>
              <w:bottom w:val="single" w:sz="4" w:space="0" w:color="auto"/>
              <w:right w:val="single" w:sz="4" w:space="0" w:color="auto"/>
            </w:tcBorders>
            <w:hideMark/>
          </w:tcPr>
          <w:p w14:paraId="13CDE5C7" w14:textId="64DBD131"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Cost: </w:t>
            </w:r>
            <w:r w:rsidR="00B12AFD" w:rsidRPr="009B60A4">
              <w:rPr>
                <w:rFonts w:ascii="Arial Narrow" w:hAnsi="Arial Narrow" w:cs="Calibri"/>
                <w:color w:val="000000"/>
              </w:rPr>
              <w:t>$</w:t>
            </w:r>
            <w:r w:rsidR="00B12AFD">
              <w:rPr>
                <w:rFonts w:ascii="Arial Narrow" w:hAnsi="Arial Narrow" w:cs="Calibri"/>
                <w:b/>
                <w:bCs/>
                <w:color w:val="000000"/>
              </w:rPr>
              <w:t>Redacted</w:t>
            </w:r>
          </w:p>
          <w:p w14:paraId="5CF4CD19"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GSD II diagnoses: 3.48</w:t>
            </w:r>
          </w:p>
        </w:tc>
        <w:tc>
          <w:tcPr>
            <w:tcW w:w="3393" w:type="dxa"/>
            <w:tcBorders>
              <w:top w:val="single" w:sz="4" w:space="0" w:color="auto"/>
              <w:left w:val="single" w:sz="4" w:space="0" w:color="auto"/>
              <w:bottom w:val="single" w:sz="4" w:space="0" w:color="auto"/>
              <w:right w:val="single" w:sz="4" w:space="0" w:color="auto"/>
            </w:tcBorders>
            <w:hideMark/>
          </w:tcPr>
          <w:p w14:paraId="366D0EB3" w14:textId="5F39EAF9"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Cost: </w:t>
            </w:r>
            <w:r w:rsidR="00B12AFD" w:rsidRPr="009B60A4">
              <w:rPr>
                <w:rFonts w:ascii="Arial Narrow" w:hAnsi="Arial Narrow" w:cs="Calibri"/>
                <w:color w:val="000000"/>
              </w:rPr>
              <w:t>$</w:t>
            </w:r>
            <w:r w:rsidR="00B12AFD">
              <w:rPr>
                <w:rFonts w:ascii="Arial Narrow" w:hAnsi="Arial Narrow" w:cs="Calibri"/>
                <w:b/>
                <w:bCs/>
                <w:color w:val="000000"/>
              </w:rPr>
              <w:t>Redacted</w:t>
            </w:r>
          </w:p>
          <w:p w14:paraId="10D9C1F8"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GSD II diagnoses: 2.19</w:t>
            </w:r>
          </w:p>
        </w:tc>
        <w:tc>
          <w:tcPr>
            <w:tcW w:w="3393" w:type="dxa"/>
            <w:tcBorders>
              <w:top w:val="single" w:sz="4" w:space="0" w:color="auto"/>
              <w:left w:val="single" w:sz="4" w:space="0" w:color="auto"/>
              <w:bottom w:val="single" w:sz="4" w:space="0" w:color="auto"/>
              <w:right w:val="single" w:sz="4" w:space="0" w:color="auto"/>
            </w:tcBorders>
            <w:hideMark/>
          </w:tcPr>
          <w:p w14:paraId="0CF311E0" w14:textId="0E3AA995"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Incremental cost: </w:t>
            </w:r>
            <w:r w:rsidR="00C10768" w:rsidRPr="009B60A4">
              <w:rPr>
                <w:rFonts w:ascii="Arial Narrow" w:hAnsi="Arial Narrow" w:cs="Calibri"/>
                <w:color w:val="000000"/>
              </w:rPr>
              <w:t>$</w:t>
            </w:r>
            <w:r w:rsidR="00C10768">
              <w:rPr>
                <w:rFonts w:ascii="Arial Narrow" w:hAnsi="Arial Narrow" w:cs="Calibri"/>
                <w:b/>
                <w:bCs/>
                <w:color w:val="000000"/>
              </w:rPr>
              <w:t>Redacted</w:t>
            </w:r>
          </w:p>
          <w:p w14:paraId="64017C7D"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Incremental diagnoses: 1.29</w:t>
            </w:r>
          </w:p>
          <w:p w14:paraId="2811B781" w14:textId="3BC9A756"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ICER: </w:t>
            </w:r>
            <w:r w:rsidR="00B12AFD" w:rsidRPr="009B60A4">
              <w:rPr>
                <w:rFonts w:ascii="Arial Narrow" w:hAnsi="Arial Narrow" w:cs="Calibri"/>
                <w:color w:val="000000"/>
              </w:rPr>
              <w:t>$</w:t>
            </w:r>
            <w:r w:rsidR="00B12AFD">
              <w:rPr>
                <w:rFonts w:ascii="Arial Narrow" w:hAnsi="Arial Narrow" w:cs="Calibri"/>
                <w:b/>
                <w:bCs/>
                <w:color w:val="000000"/>
              </w:rPr>
              <w:t>Redacted</w:t>
            </w:r>
          </w:p>
        </w:tc>
      </w:tr>
      <w:tr w:rsidR="00ED5CB7" w:rsidRPr="00F93C5B" w14:paraId="5DC4C91B" w14:textId="77777777" w:rsidTr="00175863">
        <w:trPr>
          <w:trHeight w:val="145"/>
        </w:trPr>
        <w:tc>
          <w:tcPr>
            <w:tcW w:w="3681" w:type="dxa"/>
            <w:tcBorders>
              <w:top w:val="single" w:sz="4" w:space="0" w:color="auto"/>
              <w:left w:val="single" w:sz="4" w:space="0" w:color="auto"/>
              <w:bottom w:val="single" w:sz="4" w:space="0" w:color="auto"/>
              <w:right w:val="single" w:sz="4" w:space="0" w:color="auto"/>
            </w:tcBorders>
            <w:hideMark/>
          </w:tcPr>
          <w:p w14:paraId="4E2941A6"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Exploratory ICER ($/QALY gained)</w:t>
            </w:r>
          </w:p>
          <w:p w14:paraId="1FC86E13"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Step 4, adding discounted survival and quality of life gains and prolonged ERT costs</w:t>
            </w:r>
          </w:p>
        </w:tc>
        <w:tc>
          <w:tcPr>
            <w:tcW w:w="3392" w:type="dxa"/>
            <w:tcBorders>
              <w:top w:val="single" w:sz="4" w:space="0" w:color="auto"/>
              <w:left w:val="single" w:sz="4" w:space="0" w:color="auto"/>
              <w:bottom w:val="single" w:sz="4" w:space="0" w:color="auto"/>
              <w:right w:val="single" w:sz="4" w:space="0" w:color="auto"/>
            </w:tcBorders>
            <w:hideMark/>
          </w:tcPr>
          <w:p w14:paraId="6733908A" w14:textId="72F32B85"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Cost: </w:t>
            </w:r>
            <w:r w:rsidR="00B12AFD" w:rsidRPr="009B60A4">
              <w:rPr>
                <w:rFonts w:ascii="Arial Narrow" w:hAnsi="Arial Narrow" w:cs="Calibri"/>
                <w:color w:val="000000"/>
              </w:rPr>
              <w:t>$</w:t>
            </w:r>
            <w:r w:rsidR="00B12AFD">
              <w:rPr>
                <w:rFonts w:ascii="Arial Narrow" w:hAnsi="Arial Narrow" w:cs="Calibri"/>
                <w:b/>
                <w:bCs/>
                <w:color w:val="000000"/>
              </w:rPr>
              <w:t>Redacted</w:t>
            </w:r>
            <w:r w:rsidR="00B12AFD" w:rsidRPr="00F93C5B" w:rsidDel="00B12AFD">
              <w:rPr>
                <w:rFonts w:ascii="Arial Narrow" w:eastAsia="Calibri" w:hAnsi="Arial Narrow" w:cs="Arial"/>
              </w:rPr>
              <w:t xml:space="preserve"> </w:t>
            </w:r>
            <w:r w:rsidRPr="00F93C5B">
              <w:rPr>
                <w:rFonts w:ascii="Arial Narrow" w:eastAsia="Calibri" w:hAnsi="Arial Narrow" w:cs="Arial"/>
              </w:rPr>
              <w:t xml:space="preserve">to </w:t>
            </w:r>
            <w:r w:rsidR="00B12AFD" w:rsidRPr="009B60A4">
              <w:rPr>
                <w:rFonts w:ascii="Arial Narrow" w:hAnsi="Arial Narrow" w:cs="Calibri"/>
                <w:color w:val="000000"/>
              </w:rPr>
              <w:t>$</w:t>
            </w:r>
            <w:r w:rsidR="00B12AFD">
              <w:rPr>
                <w:rFonts w:ascii="Arial Narrow" w:hAnsi="Arial Narrow" w:cs="Calibri"/>
                <w:b/>
                <w:bCs/>
                <w:color w:val="000000"/>
              </w:rPr>
              <w:t>Redacted</w:t>
            </w:r>
          </w:p>
          <w:p w14:paraId="403CDC78"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QALY: 1,633,752.41 to 1,633,753.74</w:t>
            </w:r>
          </w:p>
        </w:tc>
        <w:tc>
          <w:tcPr>
            <w:tcW w:w="3393" w:type="dxa"/>
            <w:tcBorders>
              <w:top w:val="single" w:sz="4" w:space="0" w:color="auto"/>
              <w:left w:val="single" w:sz="4" w:space="0" w:color="auto"/>
              <w:bottom w:val="single" w:sz="4" w:space="0" w:color="auto"/>
              <w:right w:val="single" w:sz="4" w:space="0" w:color="auto"/>
            </w:tcBorders>
            <w:hideMark/>
          </w:tcPr>
          <w:p w14:paraId="79E2B55E" w14:textId="36421733"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Cost: </w:t>
            </w:r>
            <w:r w:rsidR="00B12AFD" w:rsidRPr="009B60A4">
              <w:rPr>
                <w:rFonts w:ascii="Arial Narrow" w:hAnsi="Arial Narrow" w:cs="Calibri"/>
                <w:color w:val="000000"/>
              </w:rPr>
              <w:t>$</w:t>
            </w:r>
            <w:r w:rsidR="00B12AFD">
              <w:rPr>
                <w:rFonts w:ascii="Arial Narrow" w:hAnsi="Arial Narrow" w:cs="Calibri"/>
                <w:b/>
                <w:bCs/>
                <w:color w:val="000000"/>
              </w:rPr>
              <w:t>Redacted</w:t>
            </w:r>
          </w:p>
          <w:p w14:paraId="0954C5D2"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QALY: 1,633,750.30</w:t>
            </w:r>
          </w:p>
        </w:tc>
        <w:tc>
          <w:tcPr>
            <w:tcW w:w="3393" w:type="dxa"/>
            <w:tcBorders>
              <w:top w:val="single" w:sz="4" w:space="0" w:color="auto"/>
              <w:left w:val="single" w:sz="4" w:space="0" w:color="auto"/>
              <w:bottom w:val="single" w:sz="4" w:space="0" w:color="auto"/>
              <w:right w:val="single" w:sz="4" w:space="0" w:color="auto"/>
            </w:tcBorders>
            <w:hideMark/>
          </w:tcPr>
          <w:p w14:paraId="1435C7B5" w14:textId="40CB89BC"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Incremental cost: </w:t>
            </w:r>
            <w:r w:rsidR="00B12AFD" w:rsidRPr="009B60A4">
              <w:rPr>
                <w:rFonts w:ascii="Arial Narrow" w:hAnsi="Arial Narrow" w:cs="Calibri"/>
                <w:color w:val="000000"/>
              </w:rPr>
              <w:t>$</w:t>
            </w:r>
            <w:r w:rsidR="00B12AFD">
              <w:rPr>
                <w:rFonts w:ascii="Arial Narrow" w:hAnsi="Arial Narrow" w:cs="Calibri"/>
                <w:b/>
                <w:bCs/>
                <w:color w:val="000000"/>
              </w:rPr>
              <w:t>Redacted</w:t>
            </w:r>
            <w:r w:rsidR="00B12AFD" w:rsidRPr="00F93C5B" w:rsidDel="00B12AFD">
              <w:rPr>
                <w:rFonts w:ascii="Arial Narrow" w:eastAsia="Calibri" w:hAnsi="Arial Narrow" w:cs="Arial"/>
              </w:rPr>
              <w:t xml:space="preserve"> </w:t>
            </w:r>
            <w:r w:rsidRPr="00F93C5B">
              <w:rPr>
                <w:rFonts w:ascii="Arial Narrow" w:eastAsia="Calibri" w:hAnsi="Arial Narrow" w:cs="Arial"/>
              </w:rPr>
              <w:t xml:space="preserve">to </w:t>
            </w:r>
            <w:r w:rsidR="00B12AFD" w:rsidRPr="009B60A4">
              <w:rPr>
                <w:rFonts w:ascii="Arial Narrow" w:hAnsi="Arial Narrow" w:cs="Calibri"/>
                <w:color w:val="000000"/>
              </w:rPr>
              <w:t>$</w:t>
            </w:r>
            <w:r w:rsidR="00B12AFD">
              <w:rPr>
                <w:rFonts w:ascii="Arial Narrow" w:hAnsi="Arial Narrow" w:cs="Calibri"/>
                <w:b/>
                <w:bCs/>
                <w:color w:val="000000"/>
              </w:rPr>
              <w:t>Redacted</w:t>
            </w:r>
          </w:p>
          <w:p w14:paraId="6E3B29FE"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Incremental QALY: 2.1131 to 3.4370</w:t>
            </w:r>
          </w:p>
          <w:p w14:paraId="6EC6DACC" w14:textId="62EDB030"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 xml:space="preserve">ICER: </w:t>
            </w:r>
            <w:r w:rsidR="00B12AFD" w:rsidRPr="009B60A4">
              <w:rPr>
                <w:rFonts w:ascii="Arial Narrow" w:hAnsi="Arial Narrow" w:cs="Calibri"/>
                <w:color w:val="000000"/>
              </w:rPr>
              <w:t>$</w:t>
            </w:r>
            <w:r w:rsidR="00B12AFD">
              <w:rPr>
                <w:rFonts w:ascii="Arial Narrow" w:hAnsi="Arial Narrow" w:cs="Calibri"/>
                <w:b/>
                <w:bCs/>
                <w:color w:val="000000"/>
              </w:rPr>
              <w:t>Redacted</w:t>
            </w:r>
            <w:r w:rsidR="00B12AFD" w:rsidRPr="00F93C5B" w:rsidDel="00B12AFD">
              <w:rPr>
                <w:rFonts w:ascii="Arial Narrow" w:eastAsia="Calibri" w:hAnsi="Arial Narrow" w:cs="Arial"/>
              </w:rPr>
              <w:t xml:space="preserve"> </w:t>
            </w:r>
            <w:r w:rsidRPr="00F93C5B">
              <w:rPr>
                <w:rFonts w:ascii="Arial Narrow" w:eastAsia="Calibri" w:hAnsi="Arial Narrow" w:cs="Arial"/>
              </w:rPr>
              <w:t xml:space="preserve">to </w:t>
            </w:r>
            <w:r w:rsidR="00B12AFD" w:rsidRPr="009B60A4">
              <w:rPr>
                <w:rFonts w:ascii="Arial Narrow" w:hAnsi="Arial Narrow" w:cs="Calibri"/>
                <w:color w:val="000000"/>
              </w:rPr>
              <w:t>$</w:t>
            </w:r>
            <w:r w:rsidR="00B12AFD">
              <w:rPr>
                <w:rFonts w:ascii="Arial Narrow" w:hAnsi="Arial Narrow" w:cs="Calibri"/>
                <w:b/>
                <w:bCs/>
                <w:color w:val="000000"/>
              </w:rPr>
              <w:t>Redacted</w:t>
            </w:r>
          </w:p>
        </w:tc>
      </w:tr>
      <w:tr w:rsidR="00ED5CB7" w:rsidRPr="00F93C5B" w14:paraId="0B420474" w14:textId="77777777" w:rsidTr="00175863">
        <w:trPr>
          <w:trHeight w:val="227"/>
        </w:trPr>
        <w:tc>
          <w:tcPr>
            <w:tcW w:w="3681" w:type="dxa"/>
            <w:tcBorders>
              <w:top w:val="single" w:sz="4" w:space="0" w:color="auto"/>
              <w:left w:val="single" w:sz="4" w:space="0" w:color="auto"/>
              <w:bottom w:val="single" w:sz="4" w:space="0" w:color="auto"/>
              <w:right w:val="nil"/>
            </w:tcBorders>
            <w:hideMark/>
          </w:tcPr>
          <w:p w14:paraId="6163FA88" w14:textId="77777777" w:rsidR="00ED5CB7" w:rsidRPr="00F93C5B" w:rsidRDefault="00ED5CB7" w:rsidP="00834258">
            <w:pPr>
              <w:spacing w:before="0" w:after="0"/>
              <w:rPr>
                <w:rFonts w:ascii="Arial Narrow" w:eastAsia="Calibri" w:hAnsi="Arial Narrow" w:cs="Arial"/>
                <w:b/>
                <w:bCs/>
              </w:rPr>
            </w:pPr>
            <w:r w:rsidRPr="00F93C5B">
              <w:rPr>
                <w:rFonts w:ascii="Arial Narrow" w:eastAsia="Calibri" w:hAnsi="Arial Narrow" w:cs="Arial"/>
                <w:b/>
                <w:bCs/>
              </w:rPr>
              <w:t>Utilisation – incident cases</w:t>
            </w:r>
          </w:p>
        </w:tc>
        <w:tc>
          <w:tcPr>
            <w:tcW w:w="3392" w:type="dxa"/>
            <w:tcBorders>
              <w:top w:val="single" w:sz="4" w:space="0" w:color="auto"/>
              <w:left w:val="nil"/>
              <w:bottom w:val="single" w:sz="4" w:space="0" w:color="auto"/>
              <w:right w:val="nil"/>
            </w:tcBorders>
          </w:tcPr>
          <w:p w14:paraId="538F188F"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nil"/>
              <w:bottom w:val="single" w:sz="4" w:space="0" w:color="auto"/>
              <w:right w:val="nil"/>
            </w:tcBorders>
          </w:tcPr>
          <w:p w14:paraId="33AE0808" w14:textId="77777777" w:rsidR="00ED5CB7" w:rsidRPr="00F93C5B" w:rsidRDefault="00ED5CB7" w:rsidP="00834258">
            <w:pPr>
              <w:spacing w:before="0" w:after="0"/>
              <w:rPr>
                <w:rFonts w:ascii="Arial Narrow" w:eastAsia="Calibri" w:hAnsi="Arial Narrow" w:cs="Arial"/>
              </w:rPr>
            </w:pPr>
          </w:p>
        </w:tc>
        <w:tc>
          <w:tcPr>
            <w:tcW w:w="3393" w:type="dxa"/>
            <w:tcBorders>
              <w:top w:val="single" w:sz="4" w:space="0" w:color="auto"/>
              <w:left w:val="nil"/>
              <w:bottom w:val="single" w:sz="4" w:space="0" w:color="auto"/>
              <w:right w:val="single" w:sz="4" w:space="0" w:color="auto"/>
            </w:tcBorders>
          </w:tcPr>
          <w:p w14:paraId="3676EBD4" w14:textId="77777777" w:rsidR="00ED5CB7" w:rsidRPr="00F93C5B" w:rsidRDefault="00ED5CB7" w:rsidP="00834258">
            <w:pPr>
              <w:spacing w:before="0" w:after="0"/>
              <w:rPr>
                <w:rFonts w:ascii="Arial Narrow" w:eastAsia="Calibri" w:hAnsi="Arial Narrow" w:cs="Arial"/>
              </w:rPr>
            </w:pPr>
          </w:p>
        </w:tc>
      </w:tr>
      <w:tr w:rsidR="00ED5CB7" w:rsidRPr="00F93C5B" w14:paraId="372B1648" w14:textId="77777777" w:rsidTr="00175863">
        <w:trPr>
          <w:trHeight w:val="454"/>
        </w:trPr>
        <w:tc>
          <w:tcPr>
            <w:tcW w:w="3681" w:type="dxa"/>
            <w:tcBorders>
              <w:top w:val="single" w:sz="4" w:space="0" w:color="auto"/>
              <w:left w:val="single" w:sz="4" w:space="0" w:color="auto"/>
              <w:bottom w:val="single" w:sz="4" w:space="0" w:color="auto"/>
              <w:right w:val="single" w:sz="4" w:space="0" w:color="auto"/>
            </w:tcBorders>
            <w:hideMark/>
          </w:tcPr>
          <w:p w14:paraId="7EB180D9"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Number of GSD II affected cases diagnosed per year</w:t>
            </w:r>
          </w:p>
        </w:tc>
        <w:tc>
          <w:tcPr>
            <w:tcW w:w="3392" w:type="dxa"/>
            <w:tcBorders>
              <w:top w:val="single" w:sz="4" w:space="0" w:color="auto"/>
              <w:left w:val="single" w:sz="4" w:space="0" w:color="auto"/>
              <w:bottom w:val="single" w:sz="4" w:space="0" w:color="auto"/>
              <w:right w:val="single" w:sz="4" w:space="0" w:color="auto"/>
            </w:tcBorders>
          </w:tcPr>
          <w:p w14:paraId="7AA8F333"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10.60 (Year 1 to 6) = 1.74/50,000, which is greater than 1/50,000</w:t>
            </w:r>
          </w:p>
        </w:tc>
        <w:tc>
          <w:tcPr>
            <w:tcW w:w="3393" w:type="dxa"/>
            <w:tcBorders>
              <w:top w:val="single" w:sz="4" w:space="0" w:color="auto"/>
              <w:left w:val="single" w:sz="4" w:space="0" w:color="auto"/>
              <w:bottom w:val="single" w:sz="4" w:space="0" w:color="auto"/>
              <w:right w:val="single" w:sz="4" w:space="0" w:color="auto"/>
            </w:tcBorders>
            <w:hideMark/>
          </w:tcPr>
          <w:p w14:paraId="3E86DACC"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6.67 (Year 1) to 6.69 (Year 6) = 1.09/50,000, which is greater than 1/50,000</w:t>
            </w:r>
          </w:p>
        </w:tc>
        <w:tc>
          <w:tcPr>
            <w:tcW w:w="3393" w:type="dxa"/>
            <w:tcBorders>
              <w:top w:val="single" w:sz="4" w:space="0" w:color="auto"/>
              <w:left w:val="single" w:sz="4" w:space="0" w:color="auto"/>
              <w:bottom w:val="single" w:sz="4" w:space="0" w:color="auto"/>
              <w:right w:val="single" w:sz="4" w:space="0" w:color="auto"/>
            </w:tcBorders>
          </w:tcPr>
          <w:p w14:paraId="568493E8" w14:textId="77777777" w:rsidR="00ED5CB7" w:rsidRPr="00F93C5B" w:rsidRDefault="00ED5CB7" w:rsidP="00834258">
            <w:pPr>
              <w:spacing w:before="0" w:after="0"/>
              <w:rPr>
                <w:rFonts w:ascii="Arial Narrow" w:eastAsia="Calibri" w:hAnsi="Arial Narrow" w:cs="Arial"/>
              </w:rPr>
            </w:pPr>
          </w:p>
        </w:tc>
      </w:tr>
      <w:tr w:rsidR="00ED5CB7" w:rsidRPr="00F93C5B" w14:paraId="25813027"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hideMark/>
          </w:tcPr>
          <w:p w14:paraId="0B028A52"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Proportion IOGSD II</w:t>
            </w:r>
          </w:p>
        </w:tc>
        <w:tc>
          <w:tcPr>
            <w:tcW w:w="3392" w:type="dxa"/>
            <w:tcBorders>
              <w:top w:val="single" w:sz="4" w:space="0" w:color="auto"/>
              <w:left w:val="single" w:sz="4" w:space="0" w:color="auto"/>
              <w:bottom w:val="single" w:sz="4" w:space="0" w:color="auto"/>
              <w:right w:val="single" w:sz="4" w:space="0" w:color="auto"/>
            </w:tcBorders>
            <w:hideMark/>
          </w:tcPr>
          <w:p w14:paraId="7B812E2C" w14:textId="77777777" w:rsidR="00ED5CB7" w:rsidRPr="00F93C5B" w:rsidRDefault="00ED5CB7" w:rsidP="00834258">
            <w:pPr>
              <w:spacing w:before="0" w:after="0"/>
              <w:rPr>
                <w:rFonts w:ascii="Arial Narrow" w:eastAsia="Calibri" w:hAnsi="Arial Narrow" w:cs="Arial"/>
                <w:highlight w:val="green"/>
              </w:rPr>
            </w:pPr>
            <w:r w:rsidRPr="00F93C5B">
              <w:rPr>
                <w:rFonts w:ascii="Arial Narrow" w:eastAsia="Calibri" w:hAnsi="Arial Narrow" w:cs="Arial"/>
              </w:rPr>
              <w:t>9% (economic model)</w:t>
            </w:r>
          </w:p>
        </w:tc>
        <w:tc>
          <w:tcPr>
            <w:tcW w:w="3393" w:type="dxa"/>
            <w:tcBorders>
              <w:top w:val="single" w:sz="4" w:space="0" w:color="auto"/>
              <w:left w:val="single" w:sz="4" w:space="0" w:color="auto"/>
              <w:bottom w:val="single" w:sz="4" w:space="0" w:color="auto"/>
              <w:right w:val="single" w:sz="4" w:space="0" w:color="auto"/>
            </w:tcBorders>
            <w:hideMark/>
          </w:tcPr>
          <w:p w14:paraId="25D54BA4"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15% (economic model)</w:t>
            </w:r>
          </w:p>
        </w:tc>
        <w:tc>
          <w:tcPr>
            <w:tcW w:w="3393" w:type="dxa"/>
            <w:tcBorders>
              <w:top w:val="single" w:sz="4" w:space="0" w:color="auto"/>
              <w:left w:val="single" w:sz="4" w:space="0" w:color="auto"/>
              <w:bottom w:val="single" w:sz="4" w:space="0" w:color="auto"/>
              <w:right w:val="single" w:sz="4" w:space="0" w:color="auto"/>
            </w:tcBorders>
          </w:tcPr>
          <w:p w14:paraId="02C39D96" w14:textId="77777777" w:rsidR="00ED5CB7" w:rsidRPr="00F93C5B" w:rsidRDefault="00ED5CB7" w:rsidP="00834258">
            <w:pPr>
              <w:spacing w:before="0" w:after="0"/>
              <w:rPr>
                <w:rFonts w:ascii="Arial Narrow" w:eastAsia="Calibri" w:hAnsi="Arial Narrow" w:cs="Arial"/>
              </w:rPr>
            </w:pPr>
          </w:p>
        </w:tc>
      </w:tr>
      <w:tr w:rsidR="00ED5CB7" w:rsidRPr="00F93C5B" w14:paraId="07145E5E"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hideMark/>
          </w:tcPr>
          <w:p w14:paraId="68210589"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Proportion LOGSD II</w:t>
            </w:r>
          </w:p>
        </w:tc>
        <w:tc>
          <w:tcPr>
            <w:tcW w:w="3392" w:type="dxa"/>
            <w:tcBorders>
              <w:top w:val="single" w:sz="4" w:space="0" w:color="auto"/>
              <w:left w:val="single" w:sz="4" w:space="0" w:color="auto"/>
              <w:bottom w:val="single" w:sz="4" w:space="0" w:color="auto"/>
              <w:right w:val="single" w:sz="4" w:space="0" w:color="auto"/>
            </w:tcBorders>
            <w:hideMark/>
          </w:tcPr>
          <w:p w14:paraId="55DE408B" w14:textId="77777777" w:rsidR="00ED5CB7" w:rsidRPr="00F93C5B" w:rsidRDefault="00ED5CB7" w:rsidP="00834258">
            <w:pPr>
              <w:spacing w:before="0" w:after="0"/>
              <w:rPr>
                <w:rFonts w:ascii="Arial Narrow" w:eastAsia="Calibri" w:hAnsi="Arial Narrow" w:cs="Arial"/>
                <w:highlight w:val="green"/>
              </w:rPr>
            </w:pPr>
            <w:r w:rsidRPr="00F93C5B">
              <w:rPr>
                <w:rFonts w:ascii="Arial Narrow" w:eastAsia="Calibri" w:hAnsi="Arial Narrow" w:cs="Arial"/>
              </w:rPr>
              <w:t>91% (economic model)</w:t>
            </w:r>
          </w:p>
        </w:tc>
        <w:tc>
          <w:tcPr>
            <w:tcW w:w="3393" w:type="dxa"/>
            <w:tcBorders>
              <w:top w:val="single" w:sz="4" w:space="0" w:color="auto"/>
              <w:left w:val="single" w:sz="4" w:space="0" w:color="auto"/>
              <w:bottom w:val="single" w:sz="4" w:space="0" w:color="auto"/>
              <w:right w:val="single" w:sz="4" w:space="0" w:color="auto"/>
            </w:tcBorders>
            <w:hideMark/>
          </w:tcPr>
          <w:p w14:paraId="4A5F044A"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85% (economic model)</w:t>
            </w:r>
          </w:p>
        </w:tc>
        <w:tc>
          <w:tcPr>
            <w:tcW w:w="3393" w:type="dxa"/>
            <w:tcBorders>
              <w:top w:val="single" w:sz="4" w:space="0" w:color="auto"/>
              <w:left w:val="single" w:sz="4" w:space="0" w:color="auto"/>
              <w:bottom w:val="single" w:sz="4" w:space="0" w:color="auto"/>
              <w:right w:val="single" w:sz="4" w:space="0" w:color="auto"/>
            </w:tcBorders>
          </w:tcPr>
          <w:p w14:paraId="3A346506" w14:textId="77777777" w:rsidR="00ED5CB7" w:rsidRPr="00F93C5B" w:rsidRDefault="00ED5CB7" w:rsidP="00834258">
            <w:pPr>
              <w:spacing w:before="0" w:after="0"/>
              <w:rPr>
                <w:rFonts w:ascii="Arial Narrow" w:eastAsia="Calibri" w:hAnsi="Arial Narrow" w:cs="Arial"/>
              </w:rPr>
            </w:pPr>
          </w:p>
        </w:tc>
      </w:tr>
      <w:tr w:rsidR="00ED5CB7" w:rsidRPr="00F93C5B" w14:paraId="19372EEF"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hideMark/>
          </w:tcPr>
          <w:p w14:paraId="3374DEB1" w14:textId="77777777" w:rsidR="00ED5CB7" w:rsidRPr="00F93C5B" w:rsidRDefault="00ED5CB7" w:rsidP="00834258">
            <w:pPr>
              <w:spacing w:before="0" w:after="0"/>
              <w:ind w:left="113"/>
              <w:rPr>
                <w:rFonts w:ascii="Arial Narrow" w:eastAsia="Calibri" w:hAnsi="Arial Narrow" w:cs="Arial"/>
              </w:rPr>
            </w:pPr>
            <w:r w:rsidRPr="00F93C5B">
              <w:rPr>
                <w:rFonts w:ascii="Arial Narrow" w:eastAsia="Calibri" w:hAnsi="Arial Narrow" w:cs="Arial"/>
              </w:rPr>
              <w:t>Number with IOGSD II</w:t>
            </w:r>
          </w:p>
        </w:tc>
        <w:tc>
          <w:tcPr>
            <w:tcW w:w="3392" w:type="dxa"/>
            <w:tcBorders>
              <w:top w:val="single" w:sz="4" w:space="0" w:color="auto"/>
              <w:left w:val="single" w:sz="4" w:space="0" w:color="auto"/>
              <w:bottom w:val="single" w:sz="4" w:space="0" w:color="auto"/>
              <w:right w:val="single" w:sz="4" w:space="0" w:color="auto"/>
            </w:tcBorders>
            <w:hideMark/>
          </w:tcPr>
          <w:p w14:paraId="258FFC07"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1.00 (Year 1 to 6)</w:t>
            </w:r>
          </w:p>
        </w:tc>
        <w:tc>
          <w:tcPr>
            <w:tcW w:w="3393" w:type="dxa"/>
            <w:tcBorders>
              <w:top w:val="single" w:sz="4" w:space="0" w:color="auto"/>
              <w:left w:val="single" w:sz="4" w:space="0" w:color="auto"/>
              <w:bottom w:val="single" w:sz="4" w:space="0" w:color="auto"/>
              <w:right w:val="single" w:sz="4" w:space="0" w:color="auto"/>
            </w:tcBorders>
            <w:hideMark/>
          </w:tcPr>
          <w:p w14:paraId="1FC45636"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1.00 (Year 1 to 6)</w:t>
            </w:r>
          </w:p>
        </w:tc>
        <w:tc>
          <w:tcPr>
            <w:tcW w:w="3393" w:type="dxa"/>
            <w:tcBorders>
              <w:top w:val="single" w:sz="4" w:space="0" w:color="auto"/>
              <w:left w:val="single" w:sz="4" w:space="0" w:color="auto"/>
              <w:bottom w:val="single" w:sz="4" w:space="0" w:color="auto"/>
              <w:right w:val="single" w:sz="4" w:space="0" w:color="auto"/>
            </w:tcBorders>
          </w:tcPr>
          <w:p w14:paraId="4A2C1BE6" w14:textId="77777777" w:rsidR="00ED5CB7" w:rsidRPr="00F93C5B" w:rsidRDefault="00ED5CB7" w:rsidP="00834258">
            <w:pPr>
              <w:spacing w:before="0" w:after="0"/>
              <w:rPr>
                <w:rFonts w:ascii="Arial Narrow" w:eastAsia="Calibri" w:hAnsi="Arial Narrow" w:cs="Arial"/>
              </w:rPr>
            </w:pPr>
          </w:p>
        </w:tc>
      </w:tr>
      <w:tr w:rsidR="00ED5CB7" w:rsidRPr="00F93C5B" w14:paraId="269A3C40"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hideMark/>
          </w:tcPr>
          <w:p w14:paraId="75103B45" w14:textId="77777777" w:rsidR="00ED5CB7" w:rsidRPr="00F93C5B" w:rsidRDefault="00ED5CB7" w:rsidP="00834258">
            <w:pPr>
              <w:spacing w:before="0" w:after="0"/>
              <w:ind w:left="113"/>
              <w:rPr>
                <w:rFonts w:ascii="Arial Narrow" w:eastAsia="Calibri" w:hAnsi="Arial Narrow" w:cs="Arial"/>
              </w:rPr>
            </w:pPr>
            <w:r w:rsidRPr="00F93C5B">
              <w:rPr>
                <w:rFonts w:ascii="Arial Narrow" w:eastAsia="Calibri" w:hAnsi="Arial Narrow" w:cs="Arial"/>
              </w:rPr>
              <w:t>Number with LOGSD II</w:t>
            </w:r>
          </w:p>
        </w:tc>
        <w:tc>
          <w:tcPr>
            <w:tcW w:w="3392" w:type="dxa"/>
            <w:tcBorders>
              <w:top w:val="single" w:sz="4" w:space="0" w:color="auto"/>
              <w:left w:val="single" w:sz="4" w:space="0" w:color="auto"/>
              <w:bottom w:val="single" w:sz="4" w:space="0" w:color="auto"/>
              <w:right w:val="single" w:sz="4" w:space="0" w:color="auto"/>
            </w:tcBorders>
            <w:hideMark/>
          </w:tcPr>
          <w:p w14:paraId="0ABECBF8"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9.60 (Year 1 to 6)</w:t>
            </w:r>
          </w:p>
        </w:tc>
        <w:tc>
          <w:tcPr>
            <w:tcW w:w="3393" w:type="dxa"/>
            <w:tcBorders>
              <w:top w:val="single" w:sz="4" w:space="0" w:color="auto"/>
              <w:left w:val="single" w:sz="4" w:space="0" w:color="auto"/>
              <w:bottom w:val="single" w:sz="4" w:space="0" w:color="auto"/>
              <w:right w:val="single" w:sz="4" w:space="0" w:color="auto"/>
            </w:tcBorders>
            <w:hideMark/>
          </w:tcPr>
          <w:p w14:paraId="54A38CFC"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5.67 (Year 1) to 5.69 (Year 6)</w:t>
            </w:r>
          </w:p>
        </w:tc>
        <w:tc>
          <w:tcPr>
            <w:tcW w:w="3393" w:type="dxa"/>
            <w:tcBorders>
              <w:top w:val="single" w:sz="4" w:space="0" w:color="auto"/>
              <w:left w:val="single" w:sz="4" w:space="0" w:color="auto"/>
              <w:bottom w:val="single" w:sz="4" w:space="0" w:color="auto"/>
              <w:right w:val="single" w:sz="4" w:space="0" w:color="auto"/>
            </w:tcBorders>
          </w:tcPr>
          <w:p w14:paraId="2164799D" w14:textId="77777777" w:rsidR="00ED5CB7" w:rsidRPr="00F93C5B" w:rsidRDefault="00ED5CB7" w:rsidP="00834258">
            <w:pPr>
              <w:spacing w:before="0" w:after="0"/>
              <w:rPr>
                <w:rFonts w:ascii="Arial Narrow" w:eastAsia="Calibri" w:hAnsi="Arial Narrow" w:cs="Arial"/>
              </w:rPr>
            </w:pPr>
          </w:p>
        </w:tc>
      </w:tr>
      <w:tr w:rsidR="00ED5CB7" w:rsidRPr="00F93C5B" w14:paraId="76F09360"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hideMark/>
          </w:tcPr>
          <w:p w14:paraId="06063048" w14:textId="77777777" w:rsidR="00ED5CB7" w:rsidRPr="00F93C5B" w:rsidRDefault="00ED5CB7" w:rsidP="00834258">
            <w:pPr>
              <w:spacing w:before="0" w:after="0"/>
              <w:ind w:left="113"/>
              <w:rPr>
                <w:rFonts w:ascii="Arial Narrow" w:eastAsia="Calibri" w:hAnsi="Arial Narrow" w:cs="Arial"/>
              </w:rPr>
            </w:pPr>
            <w:r w:rsidRPr="00F93C5B">
              <w:rPr>
                <w:rFonts w:ascii="Arial Narrow" w:eastAsia="Calibri" w:hAnsi="Arial Narrow" w:cs="Arial"/>
              </w:rPr>
              <w:t xml:space="preserve">Number with </w:t>
            </w:r>
            <w:proofErr w:type="spellStart"/>
            <w:r w:rsidRPr="00F93C5B">
              <w:rPr>
                <w:rFonts w:ascii="Arial Narrow" w:eastAsia="Calibri" w:hAnsi="Arial Narrow" w:cs="Arial"/>
              </w:rPr>
              <w:t>pseudodeficiency</w:t>
            </w:r>
            <w:proofErr w:type="spellEnd"/>
          </w:p>
        </w:tc>
        <w:tc>
          <w:tcPr>
            <w:tcW w:w="3392" w:type="dxa"/>
            <w:tcBorders>
              <w:top w:val="single" w:sz="4" w:space="0" w:color="auto"/>
              <w:left w:val="single" w:sz="4" w:space="0" w:color="auto"/>
              <w:bottom w:val="single" w:sz="4" w:space="0" w:color="auto"/>
              <w:right w:val="single" w:sz="4" w:space="0" w:color="auto"/>
            </w:tcBorders>
            <w:hideMark/>
          </w:tcPr>
          <w:p w14:paraId="3676E325"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11.8</w:t>
            </w:r>
          </w:p>
        </w:tc>
        <w:tc>
          <w:tcPr>
            <w:tcW w:w="3393" w:type="dxa"/>
            <w:tcBorders>
              <w:top w:val="single" w:sz="4" w:space="0" w:color="auto"/>
              <w:left w:val="single" w:sz="4" w:space="0" w:color="auto"/>
              <w:bottom w:val="single" w:sz="4" w:space="0" w:color="auto"/>
              <w:right w:val="single" w:sz="4" w:space="0" w:color="auto"/>
            </w:tcBorders>
          </w:tcPr>
          <w:p w14:paraId="09F4C3A2"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Calibri"/>
              </w:rPr>
              <w:t>–</w:t>
            </w:r>
          </w:p>
        </w:tc>
        <w:tc>
          <w:tcPr>
            <w:tcW w:w="3393" w:type="dxa"/>
            <w:tcBorders>
              <w:top w:val="single" w:sz="4" w:space="0" w:color="auto"/>
              <w:left w:val="single" w:sz="4" w:space="0" w:color="auto"/>
              <w:bottom w:val="single" w:sz="4" w:space="0" w:color="auto"/>
              <w:right w:val="single" w:sz="4" w:space="0" w:color="auto"/>
            </w:tcBorders>
          </w:tcPr>
          <w:p w14:paraId="0E01D261" w14:textId="77777777" w:rsidR="00ED5CB7" w:rsidRPr="00F93C5B" w:rsidRDefault="00ED5CB7" w:rsidP="00834258">
            <w:pPr>
              <w:spacing w:before="0" w:after="0"/>
              <w:rPr>
                <w:rFonts w:ascii="Arial Narrow" w:eastAsia="Calibri" w:hAnsi="Arial Narrow" w:cs="Arial"/>
              </w:rPr>
            </w:pPr>
          </w:p>
        </w:tc>
      </w:tr>
      <w:tr w:rsidR="00ED5CB7" w:rsidRPr="00F93C5B" w14:paraId="73278BD0" w14:textId="77777777" w:rsidTr="00175863">
        <w:trPr>
          <w:trHeight w:val="227"/>
        </w:trPr>
        <w:tc>
          <w:tcPr>
            <w:tcW w:w="3681" w:type="dxa"/>
            <w:tcBorders>
              <w:top w:val="single" w:sz="4" w:space="0" w:color="auto"/>
              <w:left w:val="single" w:sz="4" w:space="0" w:color="auto"/>
              <w:bottom w:val="single" w:sz="4" w:space="0" w:color="auto"/>
              <w:right w:val="single" w:sz="4" w:space="0" w:color="auto"/>
            </w:tcBorders>
          </w:tcPr>
          <w:p w14:paraId="0652B64D" w14:textId="77777777" w:rsidR="00ED5CB7" w:rsidRPr="00F93C5B" w:rsidRDefault="00ED5CB7" w:rsidP="00834258">
            <w:pPr>
              <w:spacing w:before="0" w:after="0"/>
              <w:ind w:left="113"/>
              <w:rPr>
                <w:rFonts w:ascii="Arial Narrow" w:eastAsia="Calibri" w:hAnsi="Arial Narrow" w:cs="Arial"/>
              </w:rPr>
            </w:pPr>
            <w:r w:rsidRPr="00F93C5B">
              <w:rPr>
                <w:rFonts w:ascii="Arial Narrow" w:eastAsia="Calibri" w:hAnsi="Arial Narrow" w:cs="Arial"/>
              </w:rPr>
              <w:t>Number of carriers</w:t>
            </w:r>
          </w:p>
        </w:tc>
        <w:tc>
          <w:tcPr>
            <w:tcW w:w="3392" w:type="dxa"/>
            <w:tcBorders>
              <w:top w:val="single" w:sz="4" w:space="0" w:color="auto"/>
              <w:left w:val="single" w:sz="4" w:space="0" w:color="auto"/>
              <w:bottom w:val="single" w:sz="4" w:space="0" w:color="auto"/>
              <w:right w:val="single" w:sz="4" w:space="0" w:color="auto"/>
            </w:tcBorders>
          </w:tcPr>
          <w:p w14:paraId="2E285528" w14:textId="77777777" w:rsidR="00ED5CB7" w:rsidRPr="00F93C5B" w:rsidRDefault="00ED5CB7" w:rsidP="00834258">
            <w:pPr>
              <w:spacing w:before="0" w:after="0"/>
              <w:rPr>
                <w:rFonts w:ascii="Arial Narrow" w:eastAsia="Calibri" w:hAnsi="Arial Narrow" w:cs="Arial"/>
                <w:highlight w:val="green"/>
              </w:rPr>
            </w:pPr>
            <w:r w:rsidRPr="00F93C5B">
              <w:rPr>
                <w:rFonts w:ascii="Arial Narrow" w:eastAsia="Calibri" w:hAnsi="Arial Narrow" w:cs="Arial"/>
              </w:rPr>
              <w:t>20.1</w:t>
            </w:r>
          </w:p>
        </w:tc>
        <w:tc>
          <w:tcPr>
            <w:tcW w:w="3393" w:type="dxa"/>
            <w:tcBorders>
              <w:top w:val="single" w:sz="4" w:space="0" w:color="auto"/>
              <w:left w:val="single" w:sz="4" w:space="0" w:color="auto"/>
              <w:bottom w:val="single" w:sz="4" w:space="0" w:color="auto"/>
              <w:right w:val="single" w:sz="4" w:space="0" w:color="auto"/>
            </w:tcBorders>
          </w:tcPr>
          <w:p w14:paraId="5C57A750"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Calibri"/>
              </w:rPr>
              <w:t>–</w:t>
            </w:r>
          </w:p>
        </w:tc>
        <w:tc>
          <w:tcPr>
            <w:tcW w:w="3393" w:type="dxa"/>
            <w:tcBorders>
              <w:top w:val="single" w:sz="4" w:space="0" w:color="auto"/>
              <w:left w:val="single" w:sz="4" w:space="0" w:color="auto"/>
              <w:bottom w:val="single" w:sz="4" w:space="0" w:color="auto"/>
              <w:right w:val="single" w:sz="4" w:space="0" w:color="auto"/>
            </w:tcBorders>
          </w:tcPr>
          <w:p w14:paraId="29BA825A" w14:textId="77777777" w:rsidR="00ED5CB7" w:rsidRPr="00F93C5B" w:rsidRDefault="00ED5CB7" w:rsidP="00834258">
            <w:pPr>
              <w:spacing w:before="0" w:after="0"/>
              <w:rPr>
                <w:rFonts w:ascii="Arial Narrow" w:eastAsia="Calibri" w:hAnsi="Arial Narrow" w:cs="Arial"/>
              </w:rPr>
            </w:pPr>
          </w:p>
        </w:tc>
      </w:tr>
      <w:tr w:rsidR="00ED5CB7" w:rsidRPr="00F93C5B" w14:paraId="0919D731" w14:textId="77777777" w:rsidTr="00175863">
        <w:trPr>
          <w:trHeight w:val="242"/>
        </w:trPr>
        <w:tc>
          <w:tcPr>
            <w:tcW w:w="7073" w:type="dxa"/>
            <w:gridSpan w:val="2"/>
            <w:tcBorders>
              <w:top w:val="single" w:sz="4" w:space="0" w:color="auto"/>
              <w:left w:val="single" w:sz="4" w:space="0" w:color="auto"/>
              <w:bottom w:val="single" w:sz="4" w:space="0" w:color="auto"/>
              <w:right w:val="nil"/>
            </w:tcBorders>
            <w:hideMark/>
          </w:tcPr>
          <w:p w14:paraId="4F2B9197" w14:textId="77777777" w:rsidR="00ED5CB7" w:rsidRPr="00F93C5B" w:rsidRDefault="00ED5CB7" w:rsidP="00834258">
            <w:pPr>
              <w:spacing w:before="0" w:after="0"/>
              <w:rPr>
                <w:rFonts w:ascii="Arial Narrow" w:eastAsia="Calibri" w:hAnsi="Arial Narrow" w:cs="Calibri"/>
              </w:rPr>
            </w:pPr>
            <w:r w:rsidRPr="00F93C5B">
              <w:rPr>
                <w:rFonts w:ascii="Arial Narrow" w:eastAsia="Calibri" w:hAnsi="Arial Narrow" w:cs="Arial"/>
                <w:b/>
                <w:bCs/>
              </w:rPr>
              <w:t>6) Financial estimates for each budget holder?</w:t>
            </w:r>
          </w:p>
        </w:tc>
        <w:tc>
          <w:tcPr>
            <w:tcW w:w="3393" w:type="dxa"/>
            <w:tcBorders>
              <w:top w:val="single" w:sz="4" w:space="0" w:color="auto"/>
              <w:left w:val="nil"/>
              <w:bottom w:val="single" w:sz="4" w:space="0" w:color="auto"/>
              <w:right w:val="nil"/>
            </w:tcBorders>
          </w:tcPr>
          <w:p w14:paraId="557D1E67" w14:textId="77777777" w:rsidR="00ED5CB7" w:rsidRPr="00F93C5B" w:rsidRDefault="00ED5CB7" w:rsidP="00834258">
            <w:pPr>
              <w:spacing w:before="0" w:after="0"/>
              <w:rPr>
                <w:rFonts w:ascii="Arial Narrow" w:eastAsia="Calibri" w:hAnsi="Arial Narrow" w:cs="Calibri"/>
              </w:rPr>
            </w:pPr>
          </w:p>
        </w:tc>
        <w:tc>
          <w:tcPr>
            <w:tcW w:w="3393" w:type="dxa"/>
            <w:tcBorders>
              <w:top w:val="single" w:sz="4" w:space="0" w:color="auto"/>
              <w:left w:val="nil"/>
              <w:bottom w:val="single" w:sz="4" w:space="0" w:color="auto"/>
              <w:right w:val="single" w:sz="4" w:space="0" w:color="auto"/>
            </w:tcBorders>
          </w:tcPr>
          <w:p w14:paraId="3C04395F" w14:textId="77777777" w:rsidR="00ED5CB7" w:rsidRPr="00F93C5B" w:rsidRDefault="00ED5CB7" w:rsidP="00834258">
            <w:pPr>
              <w:spacing w:before="0" w:after="0"/>
              <w:rPr>
                <w:rFonts w:ascii="Arial Narrow" w:hAnsi="Arial Narrow"/>
              </w:rPr>
            </w:pPr>
          </w:p>
        </w:tc>
      </w:tr>
      <w:tr w:rsidR="00ED5CB7" w:rsidRPr="00F93C5B" w14:paraId="7BDC9A8A" w14:textId="77777777" w:rsidTr="00175863">
        <w:trPr>
          <w:trHeight w:val="242"/>
        </w:trPr>
        <w:tc>
          <w:tcPr>
            <w:tcW w:w="3681" w:type="dxa"/>
            <w:tcBorders>
              <w:top w:val="single" w:sz="4" w:space="0" w:color="auto"/>
              <w:left w:val="single" w:sz="4" w:space="0" w:color="auto"/>
              <w:bottom w:val="single" w:sz="4" w:space="0" w:color="auto"/>
              <w:right w:val="single" w:sz="4" w:space="0" w:color="auto"/>
            </w:tcBorders>
            <w:hideMark/>
          </w:tcPr>
          <w:p w14:paraId="3F6138EF"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Program implementation costs</w:t>
            </w:r>
          </w:p>
        </w:tc>
        <w:tc>
          <w:tcPr>
            <w:tcW w:w="3392" w:type="dxa"/>
            <w:tcBorders>
              <w:top w:val="single" w:sz="4" w:space="0" w:color="auto"/>
              <w:left w:val="single" w:sz="4" w:space="0" w:color="auto"/>
              <w:bottom w:val="single" w:sz="4" w:space="0" w:color="auto"/>
              <w:right w:val="single" w:sz="4" w:space="0" w:color="auto"/>
            </w:tcBorders>
            <w:hideMark/>
          </w:tcPr>
          <w:p w14:paraId="0FD20344" w14:textId="421EA451" w:rsidR="00ED5CB7" w:rsidRPr="00F93C5B" w:rsidRDefault="00B12AFD" w:rsidP="00834258">
            <w:pPr>
              <w:spacing w:before="0" w:after="0"/>
              <w:rPr>
                <w:rFonts w:ascii="Arial Narrow" w:eastAsia="Calibri" w:hAnsi="Arial Narrow" w:cs="Calibri"/>
              </w:rPr>
            </w:pP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(Year 1)</w:t>
            </w:r>
          </w:p>
        </w:tc>
        <w:tc>
          <w:tcPr>
            <w:tcW w:w="3393" w:type="dxa"/>
            <w:tcBorders>
              <w:top w:val="single" w:sz="4" w:space="0" w:color="auto"/>
              <w:left w:val="single" w:sz="4" w:space="0" w:color="auto"/>
              <w:bottom w:val="single" w:sz="4" w:space="0" w:color="auto"/>
              <w:right w:val="single" w:sz="4" w:space="0" w:color="auto"/>
            </w:tcBorders>
          </w:tcPr>
          <w:p w14:paraId="06D40466" w14:textId="77777777" w:rsidR="00ED5CB7" w:rsidRPr="00F93C5B" w:rsidRDefault="00ED5CB7" w:rsidP="00834258">
            <w:pPr>
              <w:spacing w:before="0" w:after="0"/>
              <w:rPr>
                <w:rFonts w:ascii="Arial Narrow" w:hAnsi="Arial Narrow"/>
              </w:rPr>
            </w:pPr>
          </w:p>
        </w:tc>
        <w:tc>
          <w:tcPr>
            <w:tcW w:w="3393" w:type="dxa"/>
            <w:tcBorders>
              <w:top w:val="single" w:sz="4" w:space="0" w:color="auto"/>
              <w:left w:val="single" w:sz="4" w:space="0" w:color="auto"/>
              <w:bottom w:val="single" w:sz="4" w:space="0" w:color="auto"/>
              <w:right w:val="single" w:sz="4" w:space="0" w:color="auto"/>
            </w:tcBorders>
          </w:tcPr>
          <w:p w14:paraId="0EB9757B" w14:textId="42280AA6" w:rsidR="00ED5CB7" w:rsidRPr="00F93C5B" w:rsidRDefault="00B12AFD" w:rsidP="00834258">
            <w:pPr>
              <w:spacing w:before="0" w:after="0"/>
              <w:rPr>
                <w:rFonts w:ascii="Arial Narrow" w:eastAsia="Calibri" w:hAnsi="Arial Narrow" w:cs="Arial"/>
              </w:rPr>
            </w:pP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(Year 1)</w:t>
            </w:r>
          </w:p>
        </w:tc>
      </w:tr>
      <w:tr w:rsidR="00ED5CB7" w:rsidRPr="00F93C5B" w14:paraId="5CB11FAA" w14:textId="77777777" w:rsidTr="00175863">
        <w:trPr>
          <w:trHeight w:val="242"/>
        </w:trPr>
        <w:tc>
          <w:tcPr>
            <w:tcW w:w="3681" w:type="dxa"/>
            <w:tcBorders>
              <w:top w:val="single" w:sz="4" w:space="0" w:color="auto"/>
              <w:left w:val="single" w:sz="4" w:space="0" w:color="auto"/>
              <w:bottom w:val="single" w:sz="4" w:space="0" w:color="auto"/>
              <w:right w:val="single" w:sz="4" w:space="0" w:color="auto"/>
            </w:tcBorders>
            <w:hideMark/>
          </w:tcPr>
          <w:p w14:paraId="59219C70"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Total cost to the NBS</w:t>
            </w:r>
          </w:p>
        </w:tc>
        <w:tc>
          <w:tcPr>
            <w:tcW w:w="3392" w:type="dxa"/>
            <w:tcBorders>
              <w:top w:val="single" w:sz="4" w:space="0" w:color="auto"/>
              <w:left w:val="single" w:sz="4" w:space="0" w:color="auto"/>
              <w:bottom w:val="single" w:sz="4" w:space="0" w:color="auto"/>
              <w:right w:val="single" w:sz="4" w:space="0" w:color="auto"/>
            </w:tcBorders>
            <w:hideMark/>
          </w:tcPr>
          <w:p w14:paraId="797B5BB6" w14:textId="3BBAC656" w:rsidR="00ED5CB7" w:rsidRPr="00F93C5B" w:rsidRDefault="00B12AFD" w:rsidP="00834258">
            <w:pPr>
              <w:spacing w:before="0" w:after="0"/>
              <w:rPr>
                <w:rFonts w:ascii="Arial Narrow" w:eastAsia="Calibri" w:hAnsi="Arial Narrow" w:cs="Calibri"/>
              </w:rPr>
            </w:pP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 xml:space="preserve">(Year 1) to </w:t>
            </w: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(Year 6)</w:t>
            </w:r>
          </w:p>
        </w:tc>
        <w:tc>
          <w:tcPr>
            <w:tcW w:w="3393" w:type="dxa"/>
            <w:tcBorders>
              <w:top w:val="single" w:sz="4" w:space="0" w:color="auto"/>
              <w:left w:val="single" w:sz="4" w:space="0" w:color="auto"/>
              <w:bottom w:val="single" w:sz="4" w:space="0" w:color="auto"/>
              <w:right w:val="single" w:sz="4" w:space="0" w:color="auto"/>
            </w:tcBorders>
            <w:hideMark/>
          </w:tcPr>
          <w:p w14:paraId="0C7A4BF5" w14:textId="77777777" w:rsidR="00ED5CB7" w:rsidRPr="00F93C5B" w:rsidRDefault="00ED5CB7" w:rsidP="00834258">
            <w:pPr>
              <w:spacing w:before="0" w:after="0"/>
              <w:rPr>
                <w:rFonts w:ascii="Arial Narrow" w:eastAsia="Calibri" w:hAnsi="Arial Narrow" w:cs="Calibri"/>
              </w:rPr>
            </w:pPr>
            <w:r w:rsidRPr="00F93C5B">
              <w:rPr>
                <w:rFonts w:ascii="Arial Narrow" w:eastAsia="Calibri" w:hAnsi="Arial Narrow" w:cs="Calibri"/>
              </w:rPr>
              <w:t>–</w:t>
            </w:r>
          </w:p>
        </w:tc>
        <w:tc>
          <w:tcPr>
            <w:tcW w:w="3393" w:type="dxa"/>
            <w:tcBorders>
              <w:top w:val="single" w:sz="4" w:space="0" w:color="auto"/>
              <w:left w:val="single" w:sz="4" w:space="0" w:color="auto"/>
              <w:bottom w:val="single" w:sz="4" w:space="0" w:color="auto"/>
              <w:right w:val="single" w:sz="4" w:space="0" w:color="auto"/>
            </w:tcBorders>
          </w:tcPr>
          <w:p w14:paraId="4AC0ACC7" w14:textId="3EE3952D" w:rsidR="00ED5CB7" w:rsidRPr="00F93C5B" w:rsidRDefault="00B12AFD" w:rsidP="00834258">
            <w:pPr>
              <w:spacing w:before="0" w:after="0"/>
              <w:rPr>
                <w:rFonts w:ascii="Arial Narrow" w:hAnsi="Arial Narrow"/>
              </w:rPr>
            </w:pP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 xml:space="preserve">(Year 1) to </w:t>
            </w: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(Year 6)</w:t>
            </w:r>
          </w:p>
        </w:tc>
      </w:tr>
      <w:tr w:rsidR="00ED5CB7" w:rsidRPr="00F93C5B" w14:paraId="3ACF8C0E" w14:textId="77777777" w:rsidTr="00175863">
        <w:trPr>
          <w:trHeight w:val="231"/>
        </w:trPr>
        <w:tc>
          <w:tcPr>
            <w:tcW w:w="3681" w:type="dxa"/>
            <w:tcBorders>
              <w:top w:val="single" w:sz="4" w:space="0" w:color="auto"/>
              <w:left w:val="single" w:sz="4" w:space="0" w:color="auto"/>
              <w:bottom w:val="single" w:sz="4" w:space="0" w:color="auto"/>
              <w:right w:val="single" w:sz="4" w:space="0" w:color="auto"/>
            </w:tcBorders>
            <w:hideMark/>
          </w:tcPr>
          <w:p w14:paraId="1218A0A4"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Cost to States and Territories</w:t>
            </w:r>
          </w:p>
        </w:tc>
        <w:tc>
          <w:tcPr>
            <w:tcW w:w="3392" w:type="dxa"/>
            <w:tcBorders>
              <w:top w:val="single" w:sz="4" w:space="0" w:color="auto"/>
              <w:left w:val="single" w:sz="4" w:space="0" w:color="auto"/>
              <w:bottom w:val="single" w:sz="4" w:space="0" w:color="auto"/>
              <w:right w:val="single" w:sz="4" w:space="0" w:color="auto"/>
            </w:tcBorders>
          </w:tcPr>
          <w:p w14:paraId="55D76BEC" w14:textId="77777777" w:rsidR="00ED5CB7" w:rsidRPr="00F93C5B" w:rsidRDefault="00ED5CB7" w:rsidP="00834258">
            <w:pPr>
              <w:spacing w:before="0" w:after="0"/>
              <w:rPr>
                <w:rFonts w:ascii="Arial Narrow" w:eastAsia="Calibri" w:hAnsi="Arial Narrow" w:cs="Calibri"/>
                <w:color w:val="000000"/>
              </w:rPr>
            </w:pPr>
            <w:r w:rsidRPr="00F93C5B">
              <w:rPr>
                <w:rFonts w:ascii="Arial Narrow" w:eastAsia="Calibri" w:hAnsi="Arial Narrow" w:cs="Calibri"/>
                <w:color w:val="000000"/>
              </w:rPr>
              <w:t>$0.05m (Year 1) to $0.16m (Year 6)</w:t>
            </w:r>
          </w:p>
        </w:tc>
        <w:tc>
          <w:tcPr>
            <w:tcW w:w="3393" w:type="dxa"/>
            <w:tcBorders>
              <w:top w:val="single" w:sz="4" w:space="0" w:color="auto"/>
              <w:left w:val="single" w:sz="4" w:space="0" w:color="auto"/>
              <w:bottom w:val="single" w:sz="4" w:space="0" w:color="auto"/>
              <w:right w:val="single" w:sz="4" w:space="0" w:color="auto"/>
            </w:tcBorders>
          </w:tcPr>
          <w:p w14:paraId="44542D5A" w14:textId="77777777" w:rsidR="00ED5CB7" w:rsidRPr="00F93C5B" w:rsidRDefault="00ED5CB7" w:rsidP="00834258">
            <w:pPr>
              <w:spacing w:before="0" w:after="0"/>
              <w:rPr>
                <w:rFonts w:ascii="Arial Narrow" w:eastAsia="Calibri" w:hAnsi="Arial Narrow" w:cs="Calibri"/>
              </w:rPr>
            </w:pPr>
            <w:r w:rsidRPr="00F93C5B">
              <w:rPr>
                <w:rFonts w:ascii="Arial Narrow" w:eastAsia="Calibri" w:hAnsi="Arial Narrow" w:cs="Calibri"/>
                <w:color w:val="000000"/>
              </w:rPr>
              <w:t>$0.01m (Year 1) to $0.01m (Year 6)</w:t>
            </w:r>
          </w:p>
        </w:tc>
        <w:tc>
          <w:tcPr>
            <w:tcW w:w="3393" w:type="dxa"/>
            <w:tcBorders>
              <w:top w:val="single" w:sz="4" w:space="0" w:color="auto"/>
              <w:left w:val="single" w:sz="4" w:space="0" w:color="auto"/>
              <w:bottom w:val="single" w:sz="4" w:space="0" w:color="auto"/>
              <w:right w:val="single" w:sz="4" w:space="0" w:color="auto"/>
            </w:tcBorders>
            <w:hideMark/>
          </w:tcPr>
          <w:p w14:paraId="6C5CAFC2" w14:textId="77777777" w:rsidR="00ED5CB7" w:rsidRPr="00F93C5B" w:rsidRDefault="00ED5CB7" w:rsidP="00834258">
            <w:pPr>
              <w:spacing w:before="0" w:after="0"/>
              <w:rPr>
                <w:rFonts w:ascii="Arial Narrow" w:hAnsi="Arial Narrow"/>
              </w:rPr>
            </w:pPr>
            <w:r w:rsidRPr="00F93C5B">
              <w:rPr>
                <w:rFonts w:ascii="Arial Narrow" w:eastAsia="Calibri" w:hAnsi="Arial Narrow" w:cs="Calibri"/>
                <w:color w:val="000000"/>
              </w:rPr>
              <w:t>$0.04m (Year 1) to $0.14m (Year 6)</w:t>
            </w:r>
          </w:p>
        </w:tc>
      </w:tr>
      <w:tr w:rsidR="00ED5CB7" w:rsidRPr="00F93C5B" w14:paraId="658B9FFE" w14:textId="77777777" w:rsidTr="00175863">
        <w:trPr>
          <w:trHeight w:val="231"/>
        </w:trPr>
        <w:tc>
          <w:tcPr>
            <w:tcW w:w="3681" w:type="dxa"/>
            <w:tcBorders>
              <w:top w:val="single" w:sz="4" w:space="0" w:color="auto"/>
              <w:left w:val="single" w:sz="4" w:space="0" w:color="auto"/>
              <w:bottom w:val="single" w:sz="4" w:space="0" w:color="auto"/>
              <w:right w:val="single" w:sz="4" w:space="0" w:color="auto"/>
            </w:tcBorders>
          </w:tcPr>
          <w:p w14:paraId="473CC230"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Cost to the MBS (Commonwealth)</w:t>
            </w:r>
          </w:p>
        </w:tc>
        <w:tc>
          <w:tcPr>
            <w:tcW w:w="3392" w:type="dxa"/>
            <w:tcBorders>
              <w:top w:val="single" w:sz="4" w:space="0" w:color="auto"/>
              <w:left w:val="single" w:sz="4" w:space="0" w:color="auto"/>
              <w:bottom w:val="single" w:sz="4" w:space="0" w:color="auto"/>
              <w:right w:val="single" w:sz="4" w:space="0" w:color="auto"/>
            </w:tcBorders>
          </w:tcPr>
          <w:p w14:paraId="00F281C2" w14:textId="77777777" w:rsidR="00ED5CB7" w:rsidRPr="00F93C5B" w:rsidRDefault="00ED5CB7" w:rsidP="00834258">
            <w:pPr>
              <w:spacing w:before="0" w:after="0"/>
              <w:rPr>
                <w:rFonts w:ascii="Arial Narrow" w:eastAsia="Calibri" w:hAnsi="Arial Narrow" w:cs="Calibri"/>
                <w:color w:val="000000"/>
              </w:rPr>
            </w:pPr>
            <w:r w:rsidRPr="00F93C5B">
              <w:rPr>
                <w:rFonts w:ascii="Arial Narrow" w:eastAsia="Calibri" w:hAnsi="Arial Narrow" w:cs="Calibri"/>
                <w:color w:val="000000"/>
              </w:rPr>
              <w:t>$0.03m (Year 1) to $0.06m (Year 6)</w:t>
            </w:r>
          </w:p>
        </w:tc>
        <w:tc>
          <w:tcPr>
            <w:tcW w:w="3393" w:type="dxa"/>
            <w:tcBorders>
              <w:top w:val="single" w:sz="4" w:space="0" w:color="auto"/>
              <w:left w:val="single" w:sz="4" w:space="0" w:color="auto"/>
              <w:bottom w:val="single" w:sz="4" w:space="0" w:color="auto"/>
              <w:right w:val="single" w:sz="4" w:space="0" w:color="auto"/>
            </w:tcBorders>
          </w:tcPr>
          <w:p w14:paraId="7268AC8A" w14:textId="77777777" w:rsidR="00ED5CB7" w:rsidRPr="00F93C5B" w:rsidRDefault="00ED5CB7" w:rsidP="00834258">
            <w:pPr>
              <w:spacing w:before="0" w:after="0"/>
              <w:rPr>
                <w:rFonts w:ascii="Arial Narrow" w:eastAsia="Calibri" w:hAnsi="Arial Narrow" w:cs="Calibri"/>
                <w:color w:val="000000"/>
              </w:rPr>
            </w:pPr>
            <w:r w:rsidRPr="00F93C5B">
              <w:rPr>
                <w:rFonts w:ascii="Arial Narrow" w:eastAsia="Calibri" w:hAnsi="Arial Narrow" w:cs="Calibri"/>
                <w:color w:val="000000"/>
              </w:rPr>
              <w:t>$0.01m (Year 1) to $0.01m (Year 6)</w:t>
            </w:r>
          </w:p>
        </w:tc>
        <w:tc>
          <w:tcPr>
            <w:tcW w:w="3393" w:type="dxa"/>
            <w:tcBorders>
              <w:top w:val="single" w:sz="4" w:space="0" w:color="auto"/>
              <w:left w:val="single" w:sz="4" w:space="0" w:color="auto"/>
              <w:bottom w:val="single" w:sz="4" w:space="0" w:color="auto"/>
              <w:right w:val="single" w:sz="4" w:space="0" w:color="auto"/>
            </w:tcBorders>
          </w:tcPr>
          <w:p w14:paraId="34B02BC3" w14:textId="77777777" w:rsidR="00ED5CB7" w:rsidRPr="00F93C5B" w:rsidRDefault="00ED5CB7" w:rsidP="00834258">
            <w:pPr>
              <w:spacing w:before="0" w:after="0"/>
              <w:rPr>
                <w:rFonts w:ascii="Arial Narrow" w:eastAsia="Calibri" w:hAnsi="Arial Narrow" w:cs="Calibri"/>
                <w:color w:val="000000"/>
              </w:rPr>
            </w:pPr>
            <w:r w:rsidRPr="00F93C5B">
              <w:rPr>
                <w:rFonts w:ascii="Arial Narrow" w:eastAsia="Calibri" w:hAnsi="Arial Narrow" w:cs="Calibri"/>
                <w:color w:val="000000"/>
              </w:rPr>
              <w:t>$0.03m (Year 1) to $0.04m (Year 6)</w:t>
            </w:r>
          </w:p>
        </w:tc>
      </w:tr>
      <w:tr w:rsidR="00ED5CB7" w:rsidRPr="00F93C5B" w14:paraId="2A2998AB" w14:textId="77777777" w:rsidTr="00175863">
        <w:trPr>
          <w:trHeight w:val="225"/>
        </w:trPr>
        <w:tc>
          <w:tcPr>
            <w:tcW w:w="3681" w:type="dxa"/>
            <w:tcBorders>
              <w:top w:val="single" w:sz="4" w:space="0" w:color="auto"/>
              <w:left w:val="single" w:sz="4" w:space="0" w:color="auto"/>
              <w:bottom w:val="single" w:sz="4" w:space="0" w:color="auto"/>
              <w:right w:val="single" w:sz="4" w:space="0" w:color="auto"/>
            </w:tcBorders>
            <w:hideMark/>
          </w:tcPr>
          <w:p w14:paraId="3885D068"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Cost to the LSDP (Commonwealth)</w:t>
            </w:r>
          </w:p>
        </w:tc>
        <w:tc>
          <w:tcPr>
            <w:tcW w:w="3392" w:type="dxa"/>
            <w:tcBorders>
              <w:top w:val="single" w:sz="4" w:space="0" w:color="auto"/>
              <w:left w:val="single" w:sz="4" w:space="0" w:color="auto"/>
              <w:bottom w:val="single" w:sz="4" w:space="0" w:color="auto"/>
              <w:right w:val="single" w:sz="4" w:space="0" w:color="auto"/>
            </w:tcBorders>
          </w:tcPr>
          <w:p w14:paraId="0098E64C" w14:textId="419C1CAF" w:rsidR="00ED5CB7" w:rsidRPr="00F93C5B" w:rsidRDefault="00B12AFD" w:rsidP="00834258">
            <w:pPr>
              <w:spacing w:before="0" w:after="0"/>
              <w:rPr>
                <w:rFonts w:ascii="Arial Narrow" w:eastAsia="Calibri" w:hAnsi="Arial Narrow" w:cs="Calibri"/>
                <w:color w:val="000000"/>
              </w:rPr>
            </w:pP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 xml:space="preserve">(Year 1) to </w:t>
            </w:r>
            <w:r w:rsidRPr="009B60A4">
              <w:rPr>
                <w:rFonts w:ascii="Arial Narrow" w:hAnsi="Arial Narrow" w:cs="Calibri"/>
                <w:color w:val="000000"/>
              </w:rPr>
              <w:t>$</w:t>
            </w:r>
            <w:r>
              <w:rPr>
                <w:rFonts w:ascii="Arial Narrow" w:hAnsi="Arial Narrow" w:cs="Calibri"/>
                <w:b/>
                <w:bCs/>
                <w:color w:val="000000"/>
              </w:rPr>
              <w:t>Redacted</w:t>
            </w:r>
            <w:r w:rsidR="00ED5CB7" w:rsidRPr="00F93C5B">
              <w:rPr>
                <w:rFonts w:ascii="Arial Narrow" w:eastAsia="Calibri" w:hAnsi="Arial Narrow" w:cs="Calibri"/>
                <w:color w:val="000000"/>
              </w:rPr>
              <w:t xml:space="preserve"> (Year 6)</w:t>
            </w:r>
          </w:p>
        </w:tc>
        <w:tc>
          <w:tcPr>
            <w:tcW w:w="3393" w:type="dxa"/>
            <w:tcBorders>
              <w:top w:val="single" w:sz="4" w:space="0" w:color="auto"/>
              <w:left w:val="single" w:sz="4" w:space="0" w:color="auto"/>
              <w:bottom w:val="single" w:sz="4" w:space="0" w:color="auto"/>
              <w:right w:val="single" w:sz="4" w:space="0" w:color="auto"/>
            </w:tcBorders>
          </w:tcPr>
          <w:p w14:paraId="04C7B426" w14:textId="292A42C8" w:rsidR="00ED5CB7" w:rsidRPr="00F93C5B" w:rsidRDefault="00B12AFD" w:rsidP="00834258">
            <w:pPr>
              <w:spacing w:before="0" w:after="0"/>
              <w:rPr>
                <w:rFonts w:ascii="Arial Narrow" w:eastAsia="Calibri" w:hAnsi="Arial Narrow" w:cs="Calibri"/>
              </w:rPr>
            </w:pP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 xml:space="preserve">(Year 1) to </w:t>
            </w: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(Year 6)</w:t>
            </w:r>
          </w:p>
        </w:tc>
        <w:tc>
          <w:tcPr>
            <w:tcW w:w="3393" w:type="dxa"/>
            <w:tcBorders>
              <w:top w:val="single" w:sz="4" w:space="0" w:color="auto"/>
              <w:left w:val="single" w:sz="4" w:space="0" w:color="auto"/>
              <w:bottom w:val="single" w:sz="4" w:space="0" w:color="auto"/>
              <w:right w:val="single" w:sz="4" w:space="0" w:color="auto"/>
            </w:tcBorders>
            <w:hideMark/>
          </w:tcPr>
          <w:p w14:paraId="7C56D4AB" w14:textId="4B3BDCF7" w:rsidR="00ED5CB7" w:rsidRPr="00F93C5B" w:rsidRDefault="00B12AFD" w:rsidP="00834258">
            <w:pPr>
              <w:spacing w:before="0" w:after="0"/>
              <w:rPr>
                <w:rFonts w:ascii="Arial Narrow" w:hAnsi="Arial Narrow"/>
              </w:rPr>
            </w:pP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 xml:space="preserve">(Year 1) to </w:t>
            </w: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(Year 6)</w:t>
            </w:r>
          </w:p>
        </w:tc>
      </w:tr>
      <w:tr w:rsidR="00ED5CB7" w:rsidRPr="00F93C5B" w14:paraId="616E4503" w14:textId="77777777" w:rsidTr="00175863">
        <w:trPr>
          <w:trHeight w:val="225"/>
        </w:trPr>
        <w:tc>
          <w:tcPr>
            <w:tcW w:w="3681" w:type="dxa"/>
            <w:tcBorders>
              <w:top w:val="single" w:sz="4" w:space="0" w:color="auto"/>
              <w:left w:val="single" w:sz="4" w:space="0" w:color="auto"/>
              <w:bottom w:val="single" w:sz="4" w:space="0" w:color="auto"/>
              <w:right w:val="single" w:sz="4" w:space="0" w:color="auto"/>
            </w:tcBorders>
          </w:tcPr>
          <w:p w14:paraId="18D2ABF8" w14:textId="77777777" w:rsidR="00ED5CB7" w:rsidRPr="00F93C5B" w:rsidRDefault="00ED5CB7" w:rsidP="00834258">
            <w:pPr>
              <w:spacing w:before="0" w:after="0"/>
              <w:rPr>
                <w:rFonts w:ascii="Arial Narrow" w:eastAsia="Calibri" w:hAnsi="Arial Narrow" w:cs="Arial"/>
              </w:rPr>
            </w:pPr>
            <w:r w:rsidRPr="00F93C5B">
              <w:rPr>
                <w:rFonts w:ascii="Arial Narrow" w:eastAsia="Calibri" w:hAnsi="Arial Narrow" w:cs="Arial"/>
              </w:rPr>
              <w:t>Cost to government health budgets</w:t>
            </w:r>
          </w:p>
        </w:tc>
        <w:tc>
          <w:tcPr>
            <w:tcW w:w="3392" w:type="dxa"/>
            <w:tcBorders>
              <w:top w:val="single" w:sz="4" w:space="0" w:color="auto"/>
              <w:left w:val="single" w:sz="4" w:space="0" w:color="auto"/>
              <w:bottom w:val="single" w:sz="4" w:space="0" w:color="auto"/>
              <w:right w:val="single" w:sz="4" w:space="0" w:color="auto"/>
            </w:tcBorders>
          </w:tcPr>
          <w:p w14:paraId="651C0662" w14:textId="0384B412" w:rsidR="00ED5CB7" w:rsidRPr="00F93C5B" w:rsidRDefault="00B12AFD" w:rsidP="00834258">
            <w:pPr>
              <w:spacing w:before="0" w:after="0"/>
              <w:rPr>
                <w:rFonts w:ascii="Arial Narrow" w:eastAsia="Calibri" w:hAnsi="Arial Narrow" w:cs="Calibri"/>
                <w:color w:val="000000"/>
              </w:rPr>
            </w:pP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 xml:space="preserve">(Year 1) to </w:t>
            </w: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(Year 6)</w:t>
            </w:r>
          </w:p>
        </w:tc>
        <w:tc>
          <w:tcPr>
            <w:tcW w:w="3393" w:type="dxa"/>
            <w:tcBorders>
              <w:top w:val="single" w:sz="4" w:space="0" w:color="auto"/>
              <w:left w:val="single" w:sz="4" w:space="0" w:color="auto"/>
              <w:bottom w:val="single" w:sz="4" w:space="0" w:color="auto"/>
              <w:right w:val="single" w:sz="4" w:space="0" w:color="auto"/>
            </w:tcBorders>
          </w:tcPr>
          <w:p w14:paraId="7F2DCDC4" w14:textId="0B504DE1" w:rsidR="00ED5CB7" w:rsidRPr="00F93C5B" w:rsidRDefault="00B12AFD" w:rsidP="00834258">
            <w:pPr>
              <w:spacing w:before="0" w:after="0"/>
              <w:rPr>
                <w:rFonts w:ascii="Arial Narrow" w:eastAsia="Calibri" w:hAnsi="Arial Narrow" w:cs="Calibri"/>
                <w:color w:val="000000"/>
              </w:rPr>
            </w:pP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 xml:space="preserve">(Year 1) to </w:t>
            </w: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(Year 6)</w:t>
            </w:r>
          </w:p>
        </w:tc>
        <w:tc>
          <w:tcPr>
            <w:tcW w:w="3393" w:type="dxa"/>
            <w:tcBorders>
              <w:top w:val="single" w:sz="4" w:space="0" w:color="auto"/>
              <w:left w:val="single" w:sz="4" w:space="0" w:color="auto"/>
              <w:bottom w:val="single" w:sz="4" w:space="0" w:color="auto"/>
              <w:right w:val="single" w:sz="4" w:space="0" w:color="auto"/>
            </w:tcBorders>
          </w:tcPr>
          <w:p w14:paraId="1B3BD530" w14:textId="6E9EDABA" w:rsidR="00ED5CB7" w:rsidRPr="00F93C5B" w:rsidRDefault="00B12AFD" w:rsidP="00834258">
            <w:pPr>
              <w:spacing w:before="0" w:after="0"/>
              <w:rPr>
                <w:rFonts w:ascii="Arial Narrow" w:eastAsia="Calibri" w:hAnsi="Arial Narrow" w:cs="Calibri"/>
                <w:color w:val="000000"/>
              </w:rPr>
            </w:pPr>
            <w:r w:rsidRPr="009B60A4">
              <w:rPr>
                <w:rFonts w:ascii="Arial Narrow" w:hAnsi="Arial Narrow" w:cs="Calibri"/>
                <w:color w:val="000000"/>
              </w:rPr>
              <w:t>$</w:t>
            </w:r>
            <w:r>
              <w:rPr>
                <w:rFonts w:ascii="Arial Narrow" w:hAnsi="Arial Narrow" w:cs="Calibri"/>
                <w:b/>
                <w:bCs/>
                <w:color w:val="000000"/>
              </w:rPr>
              <w:t>Redacted</w:t>
            </w:r>
            <w:r w:rsidRPr="00F93C5B" w:rsidDel="00B12AFD">
              <w:rPr>
                <w:rFonts w:ascii="Arial Narrow" w:eastAsia="Calibri" w:hAnsi="Arial Narrow" w:cs="Calibri"/>
                <w:color w:val="000000"/>
              </w:rPr>
              <w:t xml:space="preserve"> </w:t>
            </w:r>
            <w:r w:rsidR="00ED5CB7" w:rsidRPr="00F93C5B">
              <w:rPr>
                <w:rFonts w:ascii="Arial Narrow" w:eastAsia="Calibri" w:hAnsi="Arial Narrow" w:cs="Calibri"/>
                <w:color w:val="000000"/>
              </w:rPr>
              <w:t xml:space="preserve">(Year 1) to </w:t>
            </w:r>
            <w:r w:rsidR="00C10768" w:rsidRPr="009B60A4">
              <w:rPr>
                <w:rFonts w:ascii="Arial Narrow" w:hAnsi="Arial Narrow" w:cs="Calibri"/>
                <w:color w:val="000000"/>
              </w:rPr>
              <w:t>$</w:t>
            </w:r>
            <w:r w:rsidR="00C10768">
              <w:rPr>
                <w:rFonts w:ascii="Arial Narrow" w:hAnsi="Arial Narrow" w:cs="Calibri"/>
                <w:b/>
                <w:bCs/>
                <w:color w:val="000000"/>
              </w:rPr>
              <w:t>Redacted</w:t>
            </w:r>
            <w:r w:rsidR="00C10768" w:rsidRPr="00F93C5B" w:rsidDel="00C10768">
              <w:rPr>
                <w:rFonts w:ascii="Arial Narrow" w:eastAsia="Calibri" w:hAnsi="Arial Narrow" w:cs="Calibri"/>
                <w:color w:val="000000"/>
              </w:rPr>
              <w:t xml:space="preserve"> </w:t>
            </w:r>
            <w:r w:rsidR="00ED5CB7" w:rsidRPr="00F93C5B">
              <w:rPr>
                <w:rFonts w:ascii="Arial Narrow" w:eastAsia="Calibri" w:hAnsi="Arial Narrow" w:cs="Calibri"/>
                <w:color w:val="000000"/>
              </w:rPr>
              <w:t>(Year 6)</w:t>
            </w:r>
          </w:p>
        </w:tc>
      </w:tr>
    </w:tbl>
    <w:p w14:paraId="3F4B2BD2" w14:textId="77777777" w:rsidR="00931D42" w:rsidRDefault="00ED5CB7" w:rsidP="003A63D1">
      <w:pPr>
        <w:spacing w:before="0" w:after="0" w:line="240" w:lineRule="auto"/>
        <w:rPr>
          <w:rFonts w:ascii="Arial Narrow" w:eastAsia="Calibri" w:hAnsi="Arial Narrow" w:cs="Arial"/>
          <w:sz w:val="18"/>
          <w:szCs w:val="18"/>
        </w:rPr>
      </w:pPr>
      <w:proofErr w:type="spellStart"/>
      <w:r w:rsidRPr="00A103AC">
        <w:rPr>
          <w:rFonts w:ascii="Arial Narrow" w:eastAsia="Calibri" w:hAnsi="Arial Narrow" w:cs="Arial"/>
          <w:sz w:val="18"/>
          <w:szCs w:val="18"/>
          <w:vertAlign w:val="superscript"/>
        </w:rPr>
        <w:t>a</w:t>
      </w:r>
      <w:proofErr w:type="spellEnd"/>
      <w:r w:rsidRPr="00A103AC">
        <w:rPr>
          <w:rFonts w:ascii="Arial Narrow" w:eastAsia="Calibri" w:hAnsi="Arial Narrow" w:cs="Arial"/>
          <w:sz w:val="18"/>
          <w:szCs w:val="18"/>
        </w:rPr>
        <w:t xml:space="preserve"> </w:t>
      </w:r>
      <w:r w:rsidRPr="00AF03C4">
        <w:rPr>
          <w:rFonts w:ascii="Arial Narrow" w:eastAsia="Calibri" w:hAnsi="Arial Narrow" w:cs="Arial"/>
          <w:sz w:val="18"/>
          <w:szCs w:val="18"/>
        </w:rPr>
        <w:t>The Pompe Registry is a</w:t>
      </w:r>
      <w:r>
        <w:rPr>
          <w:rFonts w:ascii="Arial Narrow" w:eastAsia="Calibri" w:hAnsi="Arial Narrow" w:cs="Arial"/>
          <w:sz w:val="18"/>
          <w:szCs w:val="18"/>
        </w:rPr>
        <w:t xml:space="preserve"> </w:t>
      </w:r>
      <w:r w:rsidRPr="00AF03C4">
        <w:rPr>
          <w:rFonts w:ascii="Arial Narrow" w:eastAsia="Calibri" w:hAnsi="Arial Narrow" w:cs="Arial"/>
          <w:sz w:val="18"/>
          <w:szCs w:val="18"/>
        </w:rPr>
        <w:t>multinational</w:t>
      </w:r>
      <w:r>
        <w:rPr>
          <w:rFonts w:ascii="Arial Narrow" w:eastAsia="Calibri" w:hAnsi="Arial Narrow" w:cs="Arial"/>
          <w:sz w:val="18"/>
          <w:szCs w:val="18"/>
        </w:rPr>
        <w:t xml:space="preserve"> (including </w:t>
      </w:r>
      <w:r w:rsidRPr="00AF03C4">
        <w:rPr>
          <w:rFonts w:ascii="Arial Narrow" w:eastAsia="Calibri" w:hAnsi="Arial Narrow" w:cs="Arial"/>
          <w:sz w:val="18"/>
          <w:szCs w:val="18"/>
        </w:rPr>
        <w:t>6 Australian sites</w:t>
      </w:r>
      <w:r>
        <w:rPr>
          <w:rFonts w:ascii="Arial Narrow" w:eastAsia="Calibri" w:hAnsi="Arial Narrow" w:cs="Arial"/>
          <w:sz w:val="18"/>
          <w:szCs w:val="18"/>
        </w:rPr>
        <w:t>)</w:t>
      </w:r>
      <w:r w:rsidRPr="00AF03C4">
        <w:rPr>
          <w:rFonts w:ascii="Arial Narrow" w:eastAsia="Calibri" w:hAnsi="Arial Narrow" w:cs="Arial"/>
          <w:sz w:val="18"/>
          <w:szCs w:val="18"/>
        </w:rPr>
        <w:t xml:space="preserve">, </w:t>
      </w:r>
      <w:r>
        <w:rPr>
          <w:rFonts w:ascii="Arial Narrow" w:eastAsia="Calibri" w:hAnsi="Arial Narrow" w:cs="Arial"/>
          <w:sz w:val="18"/>
          <w:szCs w:val="18"/>
        </w:rPr>
        <w:t>on-going,</w:t>
      </w:r>
      <w:r w:rsidRPr="00AF03C4">
        <w:rPr>
          <w:rFonts w:ascii="Arial Narrow" w:eastAsia="Calibri" w:hAnsi="Arial Narrow" w:cs="Arial"/>
          <w:sz w:val="18"/>
          <w:szCs w:val="18"/>
        </w:rPr>
        <w:t xml:space="preserve"> long-term</w:t>
      </w:r>
      <w:r>
        <w:rPr>
          <w:rFonts w:ascii="Arial Narrow" w:eastAsia="Calibri" w:hAnsi="Arial Narrow" w:cs="Arial"/>
          <w:sz w:val="18"/>
          <w:szCs w:val="18"/>
        </w:rPr>
        <w:t xml:space="preserve"> (to 2034)</w:t>
      </w:r>
      <w:r w:rsidRPr="00AF03C4">
        <w:rPr>
          <w:rFonts w:ascii="Arial Narrow" w:eastAsia="Calibri" w:hAnsi="Arial Narrow" w:cs="Arial"/>
          <w:sz w:val="18"/>
          <w:szCs w:val="18"/>
        </w:rPr>
        <w:t xml:space="preserve">, observational </w:t>
      </w:r>
      <w:r>
        <w:rPr>
          <w:rFonts w:ascii="Arial Narrow" w:eastAsia="Calibri" w:hAnsi="Arial Narrow" w:cs="Arial"/>
          <w:sz w:val="18"/>
          <w:szCs w:val="18"/>
        </w:rPr>
        <w:t xml:space="preserve">registry </w:t>
      </w:r>
      <w:r w:rsidRPr="00AF03C4">
        <w:rPr>
          <w:rFonts w:ascii="Arial Narrow" w:eastAsia="Calibri" w:hAnsi="Arial Narrow" w:cs="Arial"/>
          <w:sz w:val="18"/>
          <w:szCs w:val="18"/>
        </w:rPr>
        <w:t>collect</w:t>
      </w:r>
      <w:r>
        <w:rPr>
          <w:rFonts w:ascii="Arial Narrow" w:eastAsia="Calibri" w:hAnsi="Arial Narrow" w:cs="Arial"/>
          <w:sz w:val="18"/>
          <w:szCs w:val="18"/>
        </w:rPr>
        <w:t>ing</w:t>
      </w:r>
      <w:r w:rsidRPr="00AF03C4">
        <w:rPr>
          <w:rFonts w:ascii="Arial Narrow" w:eastAsia="Calibri" w:hAnsi="Arial Narrow" w:cs="Arial"/>
          <w:sz w:val="18"/>
          <w:szCs w:val="18"/>
        </w:rPr>
        <w:t xml:space="preserve"> </w:t>
      </w:r>
      <w:r>
        <w:rPr>
          <w:rFonts w:ascii="Arial Narrow" w:eastAsia="Calibri" w:hAnsi="Arial Narrow" w:cs="Arial"/>
          <w:sz w:val="18"/>
          <w:szCs w:val="18"/>
        </w:rPr>
        <w:t xml:space="preserve">data </w:t>
      </w:r>
      <w:r w:rsidRPr="00AF03C4">
        <w:rPr>
          <w:rFonts w:ascii="Arial Narrow" w:eastAsia="Calibri" w:hAnsi="Arial Narrow" w:cs="Arial"/>
          <w:sz w:val="18"/>
          <w:szCs w:val="18"/>
        </w:rPr>
        <w:t>on GSD II patients registered since 2004</w:t>
      </w:r>
      <w:r>
        <w:rPr>
          <w:rFonts w:ascii="Arial Narrow" w:eastAsia="Calibri" w:hAnsi="Arial Narrow" w:cs="Arial"/>
          <w:sz w:val="18"/>
          <w:szCs w:val="18"/>
        </w:rPr>
        <w:t xml:space="preserve">. It is </w:t>
      </w:r>
      <w:r w:rsidRPr="00AF03C4">
        <w:rPr>
          <w:rFonts w:ascii="Arial Narrow" w:eastAsia="Calibri" w:hAnsi="Arial Narrow" w:cs="Arial"/>
          <w:sz w:val="18"/>
          <w:szCs w:val="18"/>
        </w:rPr>
        <w:t>sponsored and administered by Genzyme, a Sanofi company (Cambridge, MA)</w:t>
      </w:r>
      <w:r>
        <w:rPr>
          <w:rFonts w:ascii="Arial Narrow" w:eastAsia="Calibri" w:hAnsi="Arial Narrow" w:cs="Arial"/>
          <w:sz w:val="18"/>
          <w:szCs w:val="18"/>
        </w:rPr>
        <w:t xml:space="preserve"> and </w:t>
      </w:r>
      <w:r w:rsidRPr="00AF03C4">
        <w:rPr>
          <w:rFonts w:ascii="Arial Narrow" w:eastAsia="Calibri" w:hAnsi="Arial Narrow" w:cs="Arial"/>
          <w:sz w:val="18"/>
          <w:szCs w:val="18"/>
        </w:rPr>
        <w:t>contains the largest collection of data o</w:t>
      </w:r>
      <w:r>
        <w:rPr>
          <w:rFonts w:ascii="Arial Narrow" w:eastAsia="Calibri" w:hAnsi="Arial Narrow" w:cs="Arial"/>
          <w:sz w:val="18"/>
          <w:szCs w:val="18"/>
        </w:rPr>
        <w:t>n</w:t>
      </w:r>
      <w:r w:rsidRPr="00AF03C4">
        <w:rPr>
          <w:rFonts w:ascii="Arial Narrow" w:eastAsia="Calibri" w:hAnsi="Arial Narrow" w:cs="Arial"/>
          <w:sz w:val="18"/>
          <w:szCs w:val="18"/>
        </w:rPr>
        <w:t xml:space="preserve"> </w:t>
      </w:r>
      <w:r>
        <w:rPr>
          <w:rFonts w:ascii="Arial Narrow" w:eastAsia="Calibri" w:hAnsi="Arial Narrow" w:cs="Arial"/>
          <w:sz w:val="18"/>
          <w:szCs w:val="18"/>
        </w:rPr>
        <w:t xml:space="preserve">these </w:t>
      </w:r>
      <w:r w:rsidRPr="00AF03C4">
        <w:rPr>
          <w:rFonts w:ascii="Arial Narrow" w:eastAsia="Calibri" w:hAnsi="Arial Narrow" w:cs="Arial"/>
          <w:sz w:val="18"/>
          <w:szCs w:val="18"/>
        </w:rPr>
        <w:t>patients in the world</w:t>
      </w:r>
      <w:r>
        <w:rPr>
          <w:rFonts w:ascii="Arial Narrow" w:eastAsia="Calibri" w:hAnsi="Arial Narrow" w:cs="Arial"/>
          <w:sz w:val="18"/>
          <w:szCs w:val="18"/>
        </w:rPr>
        <w:t xml:space="preserve">. </w:t>
      </w:r>
      <w:r w:rsidRPr="0068746B">
        <w:rPr>
          <w:rFonts w:ascii="Arial Narrow" w:eastAsia="Calibri" w:hAnsi="Arial Narrow" w:cs="Arial"/>
          <w:sz w:val="18"/>
          <w:szCs w:val="18"/>
          <w:vertAlign w:val="superscript"/>
        </w:rPr>
        <w:t>b</w:t>
      </w:r>
      <w:r w:rsidRPr="0068746B">
        <w:rPr>
          <w:rFonts w:ascii="Arial Narrow" w:eastAsia="Calibri" w:hAnsi="Arial Narrow" w:cs="Arial"/>
          <w:sz w:val="18"/>
          <w:szCs w:val="18"/>
        </w:rPr>
        <w:t xml:space="preserve"> The LSDP Registry is an ongoing collection of data on patients receiving therapy vi</w:t>
      </w:r>
      <w:r>
        <w:rPr>
          <w:rFonts w:ascii="Arial Narrow" w:eastAsia="Calibri" w:hAnsi="Arial Narrow" w:cs="Arial"/>
          <w:sz w:val="18"/>
          <w:szCs w:val="18"/>
        </w:rPr>
        <w:t>a</w:t>
      </w:r>
      <w:r w:rsidRPr="0068746B">
        <w:rPr>
          <w:rFonts w:ascii="Arial Narrow" w:eastAsia="Calibri" w:hAnsi="Arial Narrow" w:cs="Arial"/>
          <w:sz w:val="18"/>
          <w:szCs w:val="18"/>
        </w:rPr>
        <w:t xml:space="preserve"> the LSDP, including patients with GSD II since 2010. It includes data on at least </w:t>
      </w:r>
      <w:r w:rsidR="00E025B8" w:rsidRPr="00E025B8">
        <w:rPr>
          <w:rFonts w:ascii="Arial Narrow" w:eastAsia="Calibri" w:hAnsi="Arial Narrow" w:cs="Arial"/>
          <w:b/>
          <w:bCs/>
          <w:sz w:val="18"/>
          <w:szCs w:val="18"/>
        </w:rPr>
        <w:t>REDACTED</w:t>
      </w:r>
      <w:r w:rsidRPr="0068746B">
        <w:rPr>
          <w:rFonts w:ascii="Arial Narrow" w:eastAsia="Calibri" w:hAnsi="Arial Narrow" w:cs="Arial"/>
          <w:sz w:val="18"/>
          <w:szCs w:val="18"/>
        </w:rPr>
        <w:t xml:space="preserve"> IOGSD II patients</w:t>
      </w:r>
      <w:r>
        <w:rPr>
          <w:rFonts w:ascii="Arial Narrow" w:eastAsia="Calibri" w:hAnsi="Arial Narrow" w:cs="Arial"/>
          <w:sz w:val="18"/>
          <w:szCs w:val="18"/>
        </w:rPr>
        <w:t xml:space="preserve"> and </w:t>
      </w:r>
      <w:r w:rsidR="00E025B8" w:rsidRPr="00E025B8">
        <w:rPr>
          <w:rFonts w:ascii="Arial Narrow" w:eastAsia="Calibri" w:hAnsi="Arial Narrow" w:cs="Arial"/>
          <w:b/>
          <w:bCs/>
          <w:sz w:val="18"/>
          <w:szCs w:val="18"/>
        </w:rPr>
        <w:t>REDACTED</w:t>
      </w:r>
      <w:r w:rsidRPr="0068746B">
        <w:rPr>
          <w:rFonts w:ascii="Arial Narrow" w:eastAsia="Calibri" w:hAnsi="Arial Narrow" w:cs="Arial"/>
          <w:sz w:val="18"/>
          <w:szCs w:val="18"/>
        </w:rPr>
        <w:t xml:space="preserve"> </w:t>
      </w:r>
      <w:r w:rsidRPr="009D37DC">
        <w:rPr>
          <w:rFonts w:ascii="Arial Narrow" w:eastAsia="Calibri" w:hAnsi="Arial Narrow" w:cs="Arial"/>
          <w:sz w:val="18"/>
          <w:szCs w:val="18"/>
        </w:rPr>
        <w:t>LOGSD II patients</w:t>
      </w:r>
    </w:p>
    <w:p w14:paraId="5C32704F" w14:textId="1ABF7DD6" w:rsidR="00ED5CB7" w:rsidRPr="00E57833" w:rsidRDefault="00ED5CB7" w:rsidP="003A63D1">
      <w:pPr>
        <w:spacing w:before="0" w:after="0" w:line="240" w:lineRule="auto"/>
        <w:rPr>
          <w:rFonts w:ascii="Arial Narrow" w:eastAsia="Calibri" w:hAnsi="Arial Narrow" w:cs="Arial"/>
          <w:sz w:val="18"/>
          <w:szCs w:val="18"/>
        </w:rPr>
      </w:pPr>
      <w:r w:rsidRPr="00E57833">
        <w:rPr>
          <w:rFonts w:ascii="Arial Narrow" w:eastAsia="Calibri" w:hAnsi="Arial Narrow" w:cs="Arial"/>
          <w:sz w:val="18"/>
          <w:szCs w:val="18"/>
        </w:rPr>
        <w:t xml:space="preserve">Source: Compiled by </w:t>
      </w:r>
      <w:r>
        <w:rPr>
          <w:rFonts w:ascii="Arial Narrow" w:eastAsia="Calibri" w:hAnsi="Arial Narrow" w:cs="Arial"/>
          <w:sz w:val="18"/>
          <w:szCs w:val="18"/>
        </w:rPr>
        <w:t>the D</w:t>
      </w:r>
      <w:r w:rsidRPr="00E57833">
        <w:rPr>
          <w:rFonts w:ascii="Arial Narrow" w:eastAsia="Calibri" w:hAnsi="Arial Narrow" w:cs="Arial"/>
          <w:sz w:val="18"/>
          <w:szCs w:val="18"/>
        </w:rPr>
        <w:t xml:space="preserve">epartment from </w:t>
      </w:r>
      <w:r>
        <w:rPr>
          <w:rFonts w:ascii="Arial Narrow" w:eastAsia="Calibri" w:hAnsi="Arial Narrow" w:cs="Arial"/>
          <w:sz w:val="18"/>
          <w:szCs w:val="18"/>
        </w:rPr>
        <w:t xml:space="preserve">the </w:t>
      </w:r>
      <w:r w:rsidRPr="00E57833">
        <w:rPr>
          <w:rFonts w:ascii="Arial Narrow" w:eastAsia="Calibri" w:hAnsi="Arial Narrow" w:cs="Arial"/>
          <w:sz w:val="18"/>
          <w:szCs w:val="18"/>
        </w:rPr>
        <w:t>177</w:t>
      </w:r>
      <w:r>
        <w:rPr>
          <w:rFonts w:ascii="Arial Narrow" w:eastAsia="Calibri" w:hAnsi="Arial Narrow" w:cs="Arial"/>
          <w:sz w:val="18"/>
          <w:szCs w:val="18"/>
        </w:rPr>
        <w:t>4</w:t>
      </w:r>
      <w:r w:rsidRPr="00E57833">
        <w:rPr>
          <w:rFonts w:ascii="Arial Narrow" w:eastAsia="Calibri" w:hAnsi="Arial Narrow" w:cs="Arial"/>
          <w:sz w:val="18"/>
          <w:szCs w:val="18"/>
        </w:rPr>
        <w:t xml:space="preserve"> </w:t>
      </w:r>
      <w:r>
        <w:rPr>
          <w:rFonts w:ascii="Arial Narrow" w:eastAsia="Calibri" w:hAnsi="Arial Narrow" w:cs="Arial"/>
          <w:sz w:val="18"/>
          <w:szCs w:val="18"/>
        </w:rPr>
        <w:t>D</w:t>
      </w:r>
      <w:r w:rsidRPr="00E57833">
        <w:rPr>
          <w:rFonts w:ascii="Arial Narrow" w:eastAsia="Calibri" w:hAnsi="Arial Narrow" w:cs="Arial"/>
          <w:sz w:val="18"/>
          <w:szCs w:val="18"/>
        </w:rPr>
        <w:t xml:space="preserve">epartment </w:t>
      </w:r>
      <w:r>
        <w:rPr>
          <w:rFonts w:ascii="Arial Narrow" w:eastAsia="Calibri" w:hAnsi="Arial Narrow" w:cs="Arial"/>
          <w:sz w:val="18"/>
          <w:szCs w:val="18"/>
        </w:rPr>
        <w:t>C</w:t>
      </w:r>
      <w:r w:rsidRPr="00E57833">
        <w:rPr>
          <w:rFonts w:ascii="Arial Narrow" w:eastAsia="Calibri" w:hAnsi="Arial Narrow" w:cs="Arial"/>
          <w:sz w:val="18"/>
          <w:szCs w:val="18"/>
        </w:rPr>
        <w:t xml:space="preserve">ontracted </w:t>
      </w:r>
      <w:r>
        <w:rPr>
          <w:rFonts w:ascii="Arial Narrow" w:eastAsia="Calibri" w:hAnsi="Arial Narrow" w:cs="Arial"/>
          <w:sz w:val="18"/>
          <w:szCs w:val="18"/>
        </w:rPr>
        <w:t>A</w:t>
      </w:r>
      <w:r w:rsidRPr="00E57833">
        <w:rPr>
          <w:rFonts w:ascii="Arial Narrow" w:eastAsia="Calibri" w:hAnsi="Arial Narrow" w:cs="Arial"/>
          <w:sz w:val="18"/>
          <w:szCs w:val="18"/>
        </w:rPr>
        <w:t xml:space="preserve">ssessment </w:t>
      </w:r>
      <w:r>
        <w:rPr>
          <w:rFonts w:ascii="Arial Narrow" w:eastAsia="Calibri" w:hAnsi="Arial Narrow" w:cs="Arial"/>
          <w:sz w:val="18"/>
          <w:szCs w:val="18"/>
        </w:rPr>
        <w:t>R</w:t>
      </w:r>
      <w:r w:rsidRPr="00E57833">
        <w:rPr>
          <w:rFonts w:ascii="Arial Narrow" w:eastAsia="Calibri" w:hAnsi="Arial Narrow" w:cs="Arial"/>
          <w:sz w:val="18"/>
          <w:szCs w:val="18"/>
        </w:rPr>
        <w:t xml:space="preserve">eport </w:t>
      </w:r>
      <w:r w:rsidRPr="00A103AC">
        <w:rPr>
          <w:rFonts w:ascii="Arial Narrow" w:eastAsia="Calibri" w:hAnsi="Arial Narrow" w:cs="Arial"/>
          <w:sz w:val="18"/>
          <w:szCs w:val="18"/>
        </w:rPr>
        <w:t>and financials spreadsheet “04. DCAR 1774 - Financials-Final”</w:t>
      </w:r>
    </w:p>
    <w:p w14:paraId="160B63C3" w14:textId="77777777" w:rsidR="00ED5CB7" w:rsidRDefault="00ED5CB7" w:rsidP="003A63D1">
      <w:pPr>
        <w:spacing w:before="0" w:after="0" w:line="240" w:lineRule="auto"/>
        <w:rPr>
          <w:rFonts w:ascii="Arial Narrow" w:eastAsia="Calibri" w:hAnsi="Arial Narrow" w:cs="Arial"/>
          <w:sz w:val="18"/>
          <w:szCs w:val="18"/>
        </w:rPr>
      </w:pPr>
      <w:r w:rsidRPr="00E57833">
        <w:rPr>
          <w:rFonts w:ascii="Arial Narrow" w:eastAsia="Calibri" w:hAnsi="Arial Narrow" w:cs="Arial"/>
          <w:sz w:val="18"/>
          <w:szCs w:val="18"/>
        </w:rPr>
        <w:t xml:space="preserve">Abbreviations: </w:t>
      </w:r>
      <w:r w:rsidRPr="0078420D">
        <w:rPr>
          <w:rFonts w:ascii="Arial Narrow" w:eastAsia="Calibri" w:hAnsi="Arial Narrow" w:cs="Arial"/>
          <w:sz w:val="18"/>
          <w:szCs w:val="18"/>
        </w:rPr>
        <w:t xml:space="preserve">ERT= enzyme replacement therapy; GSD II = glycogen storage disease Type II; </w:t>
      </w:r>
      <w:r w:rsidRPr="008611B9">
        <w:rPr>
          <w:rFonts w:ascii="Arial Narrow" w:eastAsia="Calibri" w:hAnsi="Arial Narrow" w:cs="Arial"/>
          <w:sz w:val="18"/>
          <w:szCs w:val="18"/>
        </w:rPr>
        <w:t xml:space="preserve">HEX4 = </w:t>
      </w:r>
      <w:r>
        <w:rPr>
          <w:rFonts w:ascii="Arial Narrow" w:eastAsia="Calibri" w:hAnsi="Arial Narrow" w:cs="Arial"/>
          <w:sz w:val="18"/>
          <w:szCs w:val="18"/>
        </w:rPr>
        <w:t>g</w:t>
      </w:r>
      <w:r w:rsidRPr="008611B9">
        <w:rPr>
          <w:rFonts w:ascii="Arial Narrow" w:eastAsia="Calibri" w:hAnsi="Arial Narrow" w:cs="Arial"/>
          <w:sz w:val="18"/>
          <w:szCs w:val="18"/>
        </w:rPr>
        <w:t xml:space="preserve">lucose </w:t>
      </w:r>
      <w:proofErr w:type="spellStart"/>
      <w:r w:rsidRPr="008611B9">
        <w:rPr>
          <w:rFonts w:ascii="Arial Narrow" w:eastAsia="Calibri" w:hAnsi="Arial Narrow" w:cs="Arial"/>
          <w:sz w:val="18"/>
          <w:szCs w:val="18"/>
        </w:rPr>
        <w:t>tetrasaccharides</w:t>
      </w:r>
      <w:proofErr w:type="spellEnd"/>
      <w:r w:rsidRPr="008611B9">
        <w:rPr>
          <w:rFonts w:ascii="Arial Narrow" w:eastAsia="Calibri" w:hAnsi="Arial Narrow" w:cs="Arial"/>
          <w:sz w:val="18"/>
          <w:szCs w:val="18"/>
        </w:rPr>
        <w:t xml:space="preserve">; </w:t>
      </w:r>
      <w:r w:rsidRPr="0078420D">
        <w:rPr>
          <w:rFonts w:ascii="Arial Narrow" w:eastAsia="Calibri" w:hAnsi="Arial Narrow" w:cs="Arial"/>
          <w:sz w:val="18"/>
          <w:szCs w:val="18"/>
        </w:rPr>
        <w:t>ICER= incremental cost-effectiveness ratio; m = month(s); IOGSD II = infantile-onset glycogen storage disease Type II; LOGSD II = late-onset glycogen storage disease Type II; LSDP= Life Saving Drugs Program; MBS = Medicare Benefits Schedule; NBS = newborn bloodspot screening;</w:t>
      </w:r>
      <w:r w:rsidRPr="00E57833">
        <w:rPr>
          <w:rFonts w:ascii="Arial Narrow" w:eastAsia="Calibri" w:hAnsi="Arial Narrow" w:cs="Arial"/>
          <w:sz w:val="18"/>
          <w:szCs w:val="18"/>
        </w:rPr>
        <w:t xml:space="preserve"> QALY= quality-adjusted life year</w:t>
      </w:r>
    </w:p>
    <w:p w14:paraId="49D30486" w14:textId="17B507F5" w:rsidR="00ED5CB7" w:rsidRPr="00E57833" w:rsidRDefault="00ED5CB7" w:rsidP="00ED5CB7">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rsidRPr="00E57833">
        <w:tab/>
        <w:t xml:space="preserve">Summary table </w:t>
      </w:r>
      <w:r>
        <w:t xml:space="preserve">of estimated annual consequences of Newborn Bloodspot Screening for GSD II (Pompe disease) </w:t>
      </w:r>
    </w:p>
    <w:tbl>
      <w:tblPr>
        <w:tblStyle w:val="TableGrid"/>
        <w:tblW w:w="0" w:type="auto"/>
        <w:tblLook w:val="04A0" w:firstRow="1" w:lastRow="0" w:firstColumn="1" w:lastColumn="0" w:noHBand="0" w:noVBand="1"/>
      </w:tblPr>
      <w:tblGrid>
        <w:gridCol w:w="988"/>
        <w:gridCol w:w="1275"/>
        <w:gridCol w:w="1985"/>
        <w:gridCol w:w="2835"/>
        <w:gridCol w:w="3685"/>
        <w:gridCol w:w="3180"/>
      </w:tblGrid>
      <w:tr w:rsidR="00ED5CB7" w:rsidRPr="0068746B" w14:paraId="0057C081" w14:textId="77777777" w:rsidTr="00175863">
        <w:tc>
          <w:tcPr>
            <w:tcW w:w="988" w:type="dxa"/>
          </w:tcPr>
          <w:p w14:paraId="3F616704" w14:textId="77777777" w:rsidR="00ED5CB7" w:rsidRPr="0068746B" w:rsidRDefault="00ED5CB7" w:rsidP="00834258">
            <w:pPr>
              <w:rPr>
                <w:rFonts w:ascii="Arial Narrow" w:hAnsi="Arial Narrow"/>
                <w:b/>
                <w:bCs/>
                <w:sz w:val="20"/>
                <w:szCs w:val="20"/>
              </w:rPr>
            </w:pPr>
            <w:r w:rsidRPr="0068746B">
              <w:rPr>
                <w:rFonts w:ascii="Arial Narrow" w:hAnsi="Arial Narrow"/>
                <w:b/>
                <w:bCs/>
                <w:sz w:val="20"/>
                <w:szCs w:val="20"/>
              </w:rPr>
              <w:t>Screened</w:t>
            </w:r>
          </w:p>
        </w:tc>
        <w:tc>
          <w:tcPr>
            <w:tcW w:w="1275" w:type="dxa"/>
          </w:tcPr>
          <w:p w14:paraId="16B9D23B" w14:textId="77777777" w:rsidR="00ED5CB7" w:rsidRPr="0068746B" w:rsidRDefault="00ED5CB7" w:rsidP="00834258">
            <w:pPr>
              <w:rPr>
                <w:rFonts w:ascii="Arial Narrow" w:hAnsi="Arial Narrow"/>
                <w:b/>
                <w:bCs/>
                <w:sz w:val="20"/>
                <w:szCs w:val="20"/>
              </w:rPr>
            </w:pPr>
            <w:r w:rsidRPr="0068746B">
              <w:rPr>
                <w:rFonts w:ascii="Arial Narrow" w:hAnsi="Arial Narrow"/>
                <w:b/>
                <w:bCs/>
                <w:sz w:val="20"/>
                <w:szCs w:val="20"/>
              </w:rPr>
              <w:t>Tier 1 result to parents</w:t>
            </w:r>
          </w:p>
        </w:tc>
        <w:tc>
          <w:tcPr>
            <w:tcW w:w="1985" w:type="dxa"/>
          </w:tcPr>
          <w:p w14:paraId="71C2E9BD" w14:textId="77777777" w:rsidR="00ED5CB7" w:rsidRPr="0068746B" w:rsidRDefault="00ED5CB7" w:rsidP="00834258">
            <w:pPr>
              <w:rPr>
                <w:rFonts w:ascii="Arial Narrow" w:hAnsi="Arial Narrow"/>
                <w:b/>
                <w:bCs/>
                <w:sz w:val="20"/>
                <w:szCs w:val="20"/>
              </w:rPr>
            </w:pPr>
            <w:r w:rsidRPr="0068746B">
              <w:rPr>
                <w:rFonts w:ascii="Arial Narrow" w:hAnsi="Arial Narrow"/>
                <w:b/>
                <w:bCs/>
                <w:sz w:val="20"/>
                <w:szCs w:val="20"/>
              </w:rPr>
              <w:t>Subsequent diagnosis to parents</w:t>
            </w:r>
          </w:p>
        </w:tc>
        <w:tc>
          <w:tcPr>
            <w:tcW w:w="2835" w:type="dxa"/>
          </w:tcPr>
          <w:p w14:paraId="5D8DDC5D" w14:textId="77777777" w:rsidR="00ED5CB7" w:rsidRPr="0068746B" w:rsidRDefault="00ED5CB7" w:rsidP="00834258">
            <w:pPr>
              <w:rPr>
                <w:rFonts w:ascii="Arial Narrow" w:hAnsi="Arial Narrow"/>
                <w:b/>
                <w:bCs/>
                <w:sz w:val="20"/>
                <w:szCs w:val="20"/>
              </w:rPr>
            </w:pPr>
            <w:r w:rsidRPr="0068746B">
              <w:rPr>
                <w:rFonts w:ascii="Arial Narrow" w:hAnsi="Arial Narrow"/>
                <w:b/>
                <w:bCs/>
                <w:sz w:val="20"/>
                <w:szCs w:val="20"/>
              </w:rPr>
              <w:t xml:space="preserve">Incremental consequence of screening for </w:t>
            </w:r>
            <w:proofErr w:type="spellStart"/>
            <w:r w:rsidRPr="0068746B">
              <w:rPr>
                <w:rFonts w:ascii="Arial Narrow" w:hAnsi="Arial Narrow"/>
                <w:b/>
                <w:bCs/>
                <w:sz w:val="20"/>
                <w:szCs w:val="20"/>
              </w:rPr>
              <w:t>patients</w:t>
            </w:r>
            <w:r>
              <w:rPr>
                <w:rFonts w:ascii="Arial Narrow" w:hAnsi="Arial Narrow"/>
                <w:b/>
                <w:bCs/>
                <w:sz w:val="20"/>
                <w:szCs w:val="20"/>
                <w:vertAlign w:val="superscript"/>
              </w:rPr>
              <w:t>c</w:t>
            </w:r>
            <w:proofErr w:type="spellEnd"/>
          </w:p>
        </w:tc>
        <w:tc>
          <w:tcPr>
            <w:tcW w:w="3685" w:type="dxa"/>
          </w:tcPr>
          <w:p w14:paraId="264BBA6C" w14:textId="77777777" w:rsidR="00ED5CB7" w:rsidRPr="0068746B" w:rsidRDefault="00ED5CB7" w:rsidP="00834258">
            <w:pPr>
              <w:rPr>
                <w:rFonts w:ascii="Arial Narrow" w:hAnsi="Arial Narrow"/>
                <w:b/>
                <w:bCs/>
                <w:sz w:val="20"/>
                <w:szCs w:val="20"/>
              </w:rPr>
            </w:pPr>
            <w:r w:rsidRPr="0068746B">
              <w:rPr>
                <w:rFonts w:ascii="Arial Narrow" w:hAnsi="Arial Narrow"/>
                <w:b/>
                <w:bCs/>
                <w:sz w:val="20"/>
                <w:szCs w:val="20"/>
              </w:rPr>
              <w:t>Health outcome consequences for patients</w:t>
            </w:r>
          </w:p>
        </w:tc>
        <w:tc>
          <w:tcPr>
            <w:tcW w:w="3180" w:type="dxa"/>
          </w:tcPr>
          <w:p w14:paraId="423B8485" w14:textId="77777777" w:rsidR="00ED5CB7" w:rsidRPr="0068746B" w:rsidRDefault="00ED5CB7" w:rsidP="00834258">
            <w:pPr>
              <w:rPr>
                <w:rFonts w:ascii="Arial Narrow" w:hAnsi="Arial Narrow"/>
                <w:b/>
                <w:bCs/>
                <w:sz w:val="20"/>
                <w:szCs w:val="20"/>
              </w:rPr>
            </w:pPr>
            <w:r w:rsidRPr="0068746B">
              <w:rPr>
                <w:rFonts w:ascii="Arial Narrow" w:hAnsi="Arial Narrow"/>
                <w:b/>
                <w:bCs/>
                <w:sz w:val="20"/>
                <w:szCs w:val="20"/>
              </w:rPr>
              <w:t>Incremental cost-effectiveness outcomes for patients</w:t>
            </w:r>
          </w:p>
        </w:tc>
      </w:tr>
      <w:tr w:rsidR="00ED5CB7" w:rsidRPr="0068746B" w14:paraId="6A61A912" w14:textId="77777777" w:rsidTr="00175863">
        <w:tc>
          <w:tcPr>
            <w:tcW w:w="988" w:type="dxa"/>
            <w:vMerge w:val="restart"/>
            <w:vAlign w:val="center"/>
          </w:tcPr>
          <w:p w14:paraId="4180D4B4" w14:textId="77777777" w:rsidR="00ED5CB7" w:rsidRPr="0068746B" w:rsidRDefault="00ED5CB7" w:rsidP="00834258">
            <w:pPr>
              <w:rPr>
                <w:rFonts w:ascii="Arial Narrow" w:hAnsi="Arial Narrow"/>
                <w:sz w:val="20"/>
                <w:szCs w:val="20"/>
              </w:rPr>
            </w:pPr>
            <w:r w:rsidRPr="006E3D0B">
              <w:rPr>
                <w:rFonts w:ascii="Arial Narrow" w:hAnsi="Arial Narrow"/>
                <w:sz w:val="20"/>
                <w:szCs w:val="20"/>
              </w:rPr>
              <w:t>30</w:t>
            </w:r>
            <w:r>
              <w:rPr>
                <w:rFonts w:ascii="Arial Narrow" w:hAnsi="Arial Narrow"/>
                <w:sz w:val="20"/>
                <w:szCs w:val="20"/>
              </w:rPr>
              <w:t>4</w:t>
            </w:r>
            <w:r w:rsidRPr="006E3D0B">
              <w:rPr>
                <w:rFonts w:ascii="Arial Narrow" w:hAnsi="Arial Narrow"/>
                <w:sz w:val="20"/>
                <w:szCs w:val="20"/>
              </w:rPr>
              <w:t>,</w:t>
            </w:r>
            <w:r>
              <w:rPr>
                <w:rFonts w:ascii="Arial Narrow" w:hAnsi="Arial Narrow"/>
                <w:sz w:val="20"/>
                <w:szCs w:val="20"/>
              </w:rPr>
              <w:t>655</w:t>
            </w:r>
            <w:r w:rsidRPr="00772A18">
              <w:rPr>
                <w:rFonts w:ascii="Arial Narrow" w:hAnsi="Arial Narrow"/>
                <w:sz w:val="20"/>
                <w:szCs w:val="20"/>
                <w:vertAlign w:val="superscript"/>
              </w:rPr>
              <w:t>a</w:t>
            </w:r>
          </w:p>
        </w:tc>
        <w:tc>
          <w:tcPr>
            <w:tcW w:w="1275" w:type="dxa"/>
          </w:tcPr>
          <w:p w14:paraId="066CCDF2" w14:textId="77777777" w:rsidR="00ED5CB7" w:rsidRPr="0068746B" w:rsidRDefault="00ED5CB7" w:rsidP="00834258">
            <w:pPr>
              <w:rPr>
                <w:rFonts w:ascii="Arial Narrow" w:hAnsi="Arial Narrow"/>
                <w:sz w:val="20"/>
                <w:szCs w:val="20"/>
              </w:rPr>
            </w:pPr>
            <w:r w:rsidRPr="00C029D6">
              <w:rPr>
                <w:rFonts w:ascii="Arial Narrow" w:hAnsi="Arial Narrow"/>
                <w:sz w:val="20"/>
                <w:szCs w:val="20"/>
              </w:rPr>
              <w:t>304,597</w:t>
            </w:r>
            <w:r>
              <w:rPr>
                <w:rFonts w:ascii="Arial Narrow" w:hAnsi="Arial Narrow"/>
                <w:sz w:val="20"/>
                <w:szCs w:val="20"/>
              </w:rPr>
              <w:t xml:space="preserve"> </w:t>
            </w:r>
            <w:proofErr w:type="gramStart"/>
            <w:r w:rsidRPr="0068746B">
              <w:rPr>
                <w:rFonts w:ascii="Arial Narrow" w:hAnsi="Arial Narrow"/>
                <w:sz w:val="20"/>
                <w:szCs w:val="20"/>
              </w:rPr>
              <w:t>no</w:t>
            </w:r>
            <w:proofErr w:type="gramEnd"/>
          </w:p>
        </w:tc>
        <w:tc>
          <w:tcPr>
            <w:tcW w:w="1985" w:type="dxa"/>
          </w:tcPr>
          <w:p w14:paraId="17256288" w14:textId="77777777" w:rsidR="00ED5CB7" w:rsidRPr="0068746B" w:rsidRDefault="00ED5CB7" w:rsidP="00834258">
            <w:pPr>
              <w:rPr>
                <w:rFonts w:ascii="Arial Narrow" w:hAnsi="Arial Narrow"/>
                <w:sz w:val="20"/>
                <w:szCs w:val="20"/>
              </w:rPr>
            </w:pPr>
            <w:r w:rsidRPr="0068746B">
              <w:rPr>
                <w:rFonts w:ascii="Calibri" w:eastAsia="Calibri" w:hAnsi="Calibri" w:cs="Calibri"/>
                <w:lang w:eastAsia="en-AU"/>
              </w:rPr>
              <w:t>–</w:t>
            </w:r>
          </w:p>
        </w:tc>
        <w:tc>
          <w:tcPr>
            <w:tcW w:w="2835" w:type="dxa"/>
          </w:tcPr>
          <w:p w14:paraId="1041B5EE" w14:textId="77777777" w:rsidR="00ED5CB7" w:rsidRPr="0068746B" w:rsidRDefault="00ED5CB7" w:rsidP="00834258">
            <w:pPr>
              <w:rPr>
                <w:rFonts w:ascii="Arial Narrow" w:hAnsi="Arial Narrow"/>
                <w:sz w:val="20"/>
                <w:szCs w:val="20"/>
              </w:rPr>
            </w:pPr>
            <w:r w:rsidRPr="0068746B">
              <w:rPr>
                <w:rFonts w:ascii="Calibri" w:eastAsia="Calibri" w:hAnsi="Calibri" w:cs="Calibri"/>
                <w:lang w:eastAsia="en-AU"/>
              </w:rPr>
              <w:t>–</w:t>
            </w:r>
          </w:p>
        </w:tc>
        <w:tc>
          <w:tcPr>
            <w:tcW w:w="3685" w:type="dxa"/>
          </w:tcPr>
          <w:p w14:paraId="43ED199E" w14:textId="77777777" w:rsidR="00ED5CB7" w:rsidRPr="0068746B" w:rsidRDefault="00ED5CB7" w:rsidP="00834258">
            <w:pPr>
              <w:rPr>
                <w:rFonts w:ascii="Arial Narrow" w:hAnsi="Arial Narrow"/>
                <w:sz w:val="20"/>
                <w:szCs w:val="20"/>
              </w:rPr>
            </w:pPr>
            <w:r w:rsidRPr="0068746B">
              <w:rPr>
                <w:rFonts w:ascii="Calibri" w:eastAsia="Calibri" w:hAnsi="Calibri" w:cs="Calibri"/>
                <w:lang w:eastAsia="en-AU"/>
              </w:rPr>
              <w:t>–</w:t>
            </w:r>
          </w:p>
        </w:tc>
        <w:tc>
          <w:tcPr>
            <w:tcW w:w="3180" w:type="dxa"/>
          </w:tcPr>
          <w:p w14:paraId="79FC980A" w14:textId="77777777" w:rsidR="00ED5CB7" w:rsidRPr="0068746B" w:rsidRDefault="00ED5CB7" w:rsidP="00834258">
            <w:pPr>
              <w:rPr>
                <w:rFonts w:ascii="Arial Narrow" w:hAnsi="Arial Narrow"/>
                <w:sz w:val="20"/>
                <w:szCs w:val="20"/>
              </w:rPr>
            </w:pPr>
            <w:r w:rsidRPr="0068746B">
              <w:rPr>
                <w:rFonts w:ascii="Calibri" w:eastAsia="Calibri" w:hAnsi="Calibri" w:cs="Calibri"/>
                <w:lang w:eastAsia="en-AU"/>
              </w:rPr>
              <w:t>–</w:t>
            </w:r>
          </w:p>
        </w:tc>
      </w:tr>
      <w:tr w:rsidR="00ED5CB7" w:rsidRPr="0068746B" w14:paraId="23150A9F" w14:textId="77777777" w:rsidTr="00175863">
        <w:tc>
          <w:tcPr>
            <w:tcW w:w="988" w:type="dxa"/>
            <w:vMerge/>
          </w:tcPr>
          <w:p w14:paraId="3FA0180B" w14:textId="77777777" w:rsidR="00ED5CB7" w:rsidRPr="0068746B" w:rsidRDefault="00ED5CB7" w:rsidP="00834258">
            <w:pPr>
              <w:rPr>
                <w:rFonts w:ascii="Arial Narrow" w:hAnsi="Arial Narrow"/>
                <w:sz w:val="20"/>
                <w:szCs w:val="20"/>
              </w:rPr>
            </w:pPr>
          </w:p>
        </w:tc>
        <w:tc>
          <w:tcPr>
            <w:tcW w:w="1275" w:type="dxa"/>
            <w:vMerge w:val="restart"/>
            <w:vAlign w:val="center"/>
          </w:tcPr>
          <w:p w14:paraId="7BC7252D"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5</w:t>
            </w:r>
            <w:r>
              <w:rPr>
                <w:rFonts w:ascii="Arial Narrow" w:hAnsi="Arial Narrow"/>
                <w:sz w:val="20"/>
                <w:szCs w:val="20"/>
              </w:rPr>
              <w:t>8</w:t>
            </w:r>
            <w:r w:rsidRPr="0068746B">
              <w:rPr>
                <w:rFonts w:ascii="Arial Narrow" w:hAnsi="Arial Narrow"/>
                <w:sz w:val="20"/>
                <w:szCs w:val="20"/>
              </w:rPr>
              <w:t xml:space="preserve"> </w:t>
            </w:r>
            <w:proofErr w:type="spellStart"/>
            <w:r w:rsidRPr="0068746B">
              <w:rPr>
                <w:rFonts w:ascii="Arial Narrow" w:hAnsi="Arial Narrow"/>
                <w:sz w:val="20"/>
                <w:szCs w:val="20"/>
              </w:rPr>
              <w:t>yes</w:t>
            </w:r>
            <w:r>
              <w:rPr>
                <w:rFonts w:ascii="Arial Narrow" w:hAnsi="Arial Narrow"/>
                <w:b/>
                <w:bCs/>
                <w:sz w:val="20"/>
                <w:szCs w:val="20"/>
                <w:vertAlign w:val="superscript"/>
              </w:rPr>
              <w:t>b</w:t>
            </w:r>
            <w:proofErr w:type="spellEnd"/>
          </w:p>
        </w:tc>
        <w:tc>
          <w:tcPr>
            <w:tcW w:w="1985" w:type="dxa"/>
          </w:tcPr>
          <w:p w14:paraId="21EA1E9E"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1.0 IOGSD II</w:t>
            </w:r>
          </w:p>
        </w:tc>
        <w:tc>
          <w:tcPr>
            <w:tcW w:w="2835" w:type="dxa"/>
          </w:tcPr>
          <w:p w14:paraId="2DA56333"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Patient diagnosed 1.4 to 4.6 months earlier</w:t>
            </w:r>
          </w:p>
        </w:tc>
        <w:tc>
          <w:tcPr>
            <w:tcW w:w="3685" w:type="dxa"/>
          </w:tcPr>
          <w:p w14:paraId="3CDB602A"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Earlier ERT treatment shown to improve ventilation-free survival and overall survival</w:t>
            </w:r>
          </w:p>
        </w:tc>
        <w:tc>
          <w:tcPr>
            <w:tcW w:w="3180" w:type="dxa"/>
          </w:tcPr>
          <w:p w14:paraId="4704ED6B" w14:textId="46DD7073" w:rsidR="00ED5CB7" w:rsidRPr="0068746B" w:rsidRDefault="00C10768" w:rsidP="00834258">
            <w:pPr>
              <w:rPr>
                <w:rFonts w:ascii="Arial Narrow" w:hAnsi="Arial Narrow"/>
                <w:sz w:val="20"/>
                <w:szCs w:val="20"/>
              </w:rPr>
            </w:pPr>
            <w:r w:rsidRPr="009B60A4">
              <w:rPr>
                <w:rFonts w:ascii="Arial Narrow" w:eastAsia="Times New Roman" w:hAnsi="Arial Narrow" w:cs="Calibri"/>
                <w:color w:val="000000"/>
                <w:sz w:val="20"/>
                <w:szCs w:val="20"/>
                <w:lang w:eastAsia="en-AU"/>
              </w:rPr>
              <w:t>$</w:t>
            </w:r>
            <w:r>
              <w:rPr>
                <w:rFonts w:ascii="Arial Narrow" w:eastAsia="Times New Roman" w:hAnsi="Arial Narrow" w:cs="Calibri"/>
                <w:b/>
                <w:bCs/>
                <w:color w:val="000000"/>
                <w:sz w:val="20"/>
                <w:szCs w:val="20"/>
                <w:lang w:eastAsia="en-AU"/>
              </w:rPr>
              <w:t>Redacted</w:t>
            </w:r>
            <w:r w:rsidRPr="0068746B" w:rsidDel="00C10768">
              <w:rPr>
                <w:rFonts w:ascii="Arial Narrow" w:hAnsi="Arial Narrow"/>
                <w:sz w:val="20"/>
                <w:szCs w:val="20"/>
              </w:rPr>
              <w:t xml:space="preserve"> </w:t>
            </w:r>
            <w:r w:rsidR="00ED5CB7" w:rsidRPr="0068746B">
              <w:rPr>
                <w:rFonts w:ascii="Arial Narrow" w:hAnsi="Arial Narrow"/>
                <w:sz w:val="20"/>
                <w:szCs w:val="20"/>
              </w:rPr>
              <w:t xml:space="preserve">/QALY to </w:t>
            </w:r>
            <w:r w:rsidRPr="009B60A4">
              <w:rPr>
                <w:rFonts w:ascii="Arial Narrow" w:eastAsia="Times New Roman" w:hAnsi="Arial Narrow" w:cs="Calibri"/>
                <w:color w:val="000000"/>
                <w:sz w:val="20"/>
                <w:szCs w:val="20"/>
                <w:lang w:eastAsia="en-AU"/>
              </w:rPr>
              <w:t>$</w:t>
            </w:r>
            <w:r>
              <w:rPr>
                <w:rFonts w:ascii="Arial Narrow" w:eastAsia="Times New Roman" w:hAnsi="Arial Narrow" w:cs="Calibri"/>
                <w:b/>
                <w:bCs/>
                <w:color w:val="000000"/>
                <w:sz w:val="20"/>
                <w:szCs w:val="20"/>
                <w:lang w:eastAsia="en-AU"/>
              </w:rPr>
              <w:t>Redacted</w:t>
            </w:r>
            <w:r w:rsidRPr="0068746B" w:rsidDel="00C10768">
              <w:rPr>
                <w:rFonts w:ascii="Arial Narrow" w:hAnsi="Arial Narrow"/>
                <w:sz w:val="20"/>
                <w:szCs w:val="20"/>
              </w:rPr>
              <w:t xml:space="preserve"> </w:t>
            </w:r>
            <w:r w:rsidR="00ED5CB7" w:rsidRPr="0068746B">
              <w:rPr>
                <w:rFonts w:ascii="Arial Narrow" w:hAnsi="Arial Narrow"/>
                <w:sz w:val="20"/>
                <w:szCs w:val="20"/>
              </w:rPr>
              <w:t>/QALY</w:t>
            </w:r>
          </w:p>
        </w:tc>
      </w:tr>
      <w:tr w:rsidR="00ED5CB7" w:rsidRPr="0068746B" w14:paraId="00182321" w14:textId="77777777" w:rsidTr="00175863">
        <w:tc>
          <w:tcPr>
            <w:tcW w:w="988" w:type="dxa"/>
            <w:vMerge/>
          </w:tcPr>
          <w:p w14:paraId="79454D0D" w14:textId="77777777" w:rsidR="00ED5CB7" w:rsidRPr="0068746B" w:rsidRDefault="00ED5CB7" w:rsidP="00834258">
            <w:pPr>
              <w:rPr>
                <w:rFonts w:ascii="Arial Narrow" w:hAnsi="Arial Narrow"/>
                <w:sz w:val="20"/>
                <w:szCs w:val="20"/>
              </w:rPr>
            </w:pPr>
          </w:p>
        </w:tc>
        <w:tc>
          <w:tcPr>
            <w:tcW w:w="1275" w:type="dxa"/>
            <w:vMerge/>
          </w:tcPr>
          <w:p w14:paraId="72A9DD03" w14:textId="77777777" w:rsidR="00ED5CB7" w:rsidRPr="0068746B" w:rsidRDefault="00ED5CB7" w:rsidP="00834258">
            <w:pPr>
              <w:rPr>
                <w:rFonts w:ascii="Arial Narrow" w:hAnsi="Arial Narrow"/>
                <w:sz w:val="20"/>
                <w:szCs w:val="20"/>
              </w:rPr>
            </w:pPr>
          </w:p>
        </w:tc>
        <w:tc>
          <w:tcPr>
            <w:tcW w:w="1985" w:type="dxa"/>
          </w:tcPr>
          <w:p w14:paraId="7990AE81"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9.6 LOGSD II</w:t>
            </w:r>
          </w:p>
        </w:tc>
        <w:tc>
          <w:tcPr>
            <w:tcW w:w="2835" w:type="dxa"/>
          </w:tcPr>
          <w:p w14:paraId="3E8372CA"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4 more patients diagnosed, all diagnosed years earlier</w:t>
            </w:r>
          </w:p>
        </w:tc>
        <w:tc>
          <w:tcPr>
            <w:tcW w:w="3685" w:type="dxa"/>
          </w:tcPr>
          <w:p w14:paraId="53D786D3" w14:textId="72D9A11E" w:rsidR="00ED5CB7" w:rsidRPr="0068746B" w:rsidRDefault="00ED5CB7" w:rsidP="00834258">
            <w:pPr>
              <w:rPr>
                <w:rFonts w:ascii="Arial Narrow" w:hAnsi="Arial Narrow"/>
                <w:sz w:val="20"/>
                <w:szCs w:val="20"/>
              </w:rPr>
            </w:pPr>
            <w:r w:rsidRPr="0068746B">
              <w:rPr>
                <w:rFonts w:ascii="Arial Narrow" w:hAnsi="Arial Narrow"/>
                <w:sz w:val="20"/>
                <w:szCs w:val="20"/>
              </w:rPr>
              <w:t xml:space="preserve">ERT treatment given before symptoms appear not shown to improve outcomes; may cause harms such as developing antibodies; later diagnostic </w:t>
            </w:r>
            <w:r w:rsidR="00931D42">
              <w:rPr>
                <w:rFonts w:ascii="Arial Narrow" w:hAnsi="Arial Narrow"/>
                <w:sz w:val="20"/>
                <w:szCs w:val="20"/>
              </w:rPr>
              <w:t>delay</w:t>
            </w:r>
            <w:r w:rsidR="00931D42" w:rsidRPr="0068746B">
              <w:rPr>
                <w:rFonts w:ascii="Arial Narrow" w:hAnsi="Arial Narrow"/>
                <w:sz w:val="20"/>
                <w:szCs w:val="20"/>
              </w:rPr>
              <w:t xml:space="preserve"> </w:t>
            </w:r>
            <w:r w:rsidRPr="0068746B">
              <w:rPr>
                <w:rFonts w:ascii="Arial Narrow" w:hAnsi="Arial Narrow"/>
                <w:sz w:val="20"/>
                <w:szCs w:val="20"/>
              </w:rPr>
              <w:t>shortened</w:t>
            </w:r>
          </w:p>
        </w:tc>
        <w:tc>
          <w:tcPr>
            <w:tcW w:w="3180" w:type="dxa"/>
          </w:tcPr>
          <w:p w14:paraId="0E5C2585" w14:textId="382FD4FA" w:rsidR="00ED5CB7" w:rsidRPr="0068746B" w:rsidRDefault="00C10768" w:rsidP="00834258">
            <w:pPr>
              <w:rPr>
                <w:rFonts w:ascii="Arial Narrow" w:hAnsi="Arial Narrow"/>
                <w:sz w:val="20"/>
                <w:szCs w:val="20"/>
                <w:highlight w:val="yellow"/>
              </w:rPr>
            </w:pPr>
            <w:r>
              <w:rPr>
                <w:rFonts w:ascii="Arial Narrow" w:eastAsia="Times New Roman" w:hAnsi="Arial Narrow" w:cs="Calibri"/>
                <w:b/>
                <w:bCs/>
                <w:color w:val="000000"/>
                <w:sz w:val="20"/>
                <w:szCs w:val="20"/>
                <w:lang w:eastAsia="en-AU"/>
              </w:rPr>
              <w:t>Redacted</w:t>
            </w:r>
          </w:p>
        </w:tc>
      </w:tr>
      <w:tr w:rsidR="00ED5CB7" w:rsidRPr="0068746B" w14:paraId="422F257E" w14:textId="77777777" w:rsidTr="00175863">
        <w:tc>
          <w:tcPr>
            <w:tcW w:w="988" w:type="dxa"/>
            <w:vMerge/>
          </w:tcPr>
          <w:p w14:paraId="39086B3A" w14:textId="77777777" w:rsidR="00ED5CB7" w:rsidRPr="0068746B" w:rsidRDefault="00ED5CB7" w:rsidP="00834258">
            <w:pPr>
              <w:rPr>
                <w:rFonts w:ascii="Arial Narrow" w:hAnsi="Arial Narrow"/>
                <w:sz w:val="20"/>
                <w:szCs w:val="20"/>
              </w:rPr>
            </w:pPr>
          </w:p>
        </w:tc>
        <w:tc>
          <w:tcPr>
            <w:tcW w:w="1275" w:type="dxa"/>
            <w:vMerge/>
          </w:tcPr>
          <w:p w14:paraId="1306596E" w14:textId="77777777" w:rsidR="00ED5CB7" w:rsidRPr="0068746B" w:rsidRDefault="00ED5CB7" w:rsidP="00834258">
            <w:pPr>
              <w:rPr>
                <w:rFonts w:ascii="Arial Narrow" w:hAnsi="Arial Narrow"/>
                <w:sz w:val="20"/>
                <w:szCs w:val="20"/>
              </w:rPr>
            </w:pPr>
          </w:p>
        </w:tc>
        <w:tc>
          <w:tcPr>
            <w:tcW w:w="1985" w:type="dxa"/>
          </w:tcPr>
          <w:p w14:paraId="75A18B67"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11.</w:t>
            </w:r>
            <w:r>
              <w:rPr>
                <w:rFonts w:ascii="Arial Narrow" w:hAnsi="Arial Narrow"/>
                <w:sz w:val="20"/>
                <w:szCs w:val="20"/>
              </w:rPr>
              <w:t xml:space="preserve">8 </w:t>
            </w:r>
            <w:proofErr w:type="spellStart"/>
            <w:r w:rsidRPr="0068746B">
              <w:rPr>
                <w:rFonts w:ascii="Arial Narrow" w:hAnsi="Arial Narrow"/>
                <w:sz w:val="20"/>
                <w:szCs w:val="20"/>
              </w:rPr>
              <w:t>pseudodeficiency</w:t>
            </w:r>
            <w:proofErr w:type="spellEnd"/>
          </w:p>
        </w:tc>
        <w:tc>
          <w:tcPr>
            <w:tcW w:w="2835" w:type="dxa"/>
          </w:tcPr>
          <w:p w14:paraId="516DE255"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11.</w:t>
            </w:r>
            <w:r>
              <w:rPr>
                <w:rFonts w:ascii="Arial Narrow" w:hAnsi="Arial Narrow"/>
                <w:sz w:val="20"/>
                <w:szCs w:val="20"/>
              </w:rPr>
              <w:t>8</w:t>
            </w:r>
            <w:r w:rsidRPr="0068746B">
              <w:rPr>
                <w:rFonts w:ascii="Arial Narrow" w:hAnsi="Arial Narrow"/>
                <w:sz w:val="20"/>
                <w:szCs w:val="20"/>
              </w:rPr>
              <w:t xml:space="preserve"> patients identified with </w:t>
            </w:r>
            <w:proofErr w:type="spellStart"/>
            <w:r w:rsidRPr="0068746B">
              <w:rPr>
                <w:rFonts w:ascii="Arial Narrow" w:hAnsi="Arial Narrow"/>
                <w:sz w:val="20"/>
                <w:szCs w:val="20"/>
              </w:rPr>
              <w:t>pseudodeficiency</w:t>
            </w:r>
            <w:proofErr w:type="spellEnd"/>
          </w:p>
        </w:tc>
        <w:tc>
          <w:tcPr>
            <w:tcW w:w="3685" w:type="dxa"/>
          </w:tcPr>
          <w:p w14:paraId="7F90B0B7"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None shown and no intervention needed</w:t>
            </w:r>
          </w:p>
        </w:tc>
        <w:tc>
          <w:tcPr>
            <w:tcW w:w="3180" w:type="dxa"/>
          </w:tcPr>
          <w:p w14:paraId="6CD85483" w14:textId="77777777" w:rsidR="00ED5CB7" w:rsidRPr="004772CC" w:rsidRDefault="00ED5CB7" w:rsidP="00834258">
            <w:pPr>
              <w:rPr>
                <w:rFonts w:ascii="Arial Narrow" w:hAnsi="Arial Narrow"/>
                <w:sz w:val="20"/>
                <w:szCs w:val="20"/>
              </w:rPr>
            </w:pPr>
            <w:r w:rsidRPr="004772CC">
              <w:rPr>
                <w:rFonts w:ascii="Calibri" w:eastAsia="Calibri" w:hAnsi="Calibri" w:cs="Calibri"/>
                <w:lang w:eastAsia="en-AU"/>
              </w:rPr>
              <w:t>–</w:t>
            </w:r>
          </w:p>
        </w:tc>
      </w:tr>
      <w:tr w:rsidR="00ED5CB7" w:rsidRPr="0068746B" w14:paraId="0F4070D2" w14:textId="77777777" w:rsidTr="00175863">
        <w:tc>
          <w:tcPr>
            <w:tcW w:w="988" w:type="dxa"/>
            <w:vMerge/>
          </w:tcPr>
          <w:p w14:paraId="25BE2F03" w14:textId="77777777" w:rsidR="00ED5CB7" w:rsidRPr="0068746B" w:rsidRDefault="00ED5CB7" w:rsidP="00834258">
            <w:pPr>
              <w:rPr>
                <w:rFonts w:ascii="Arial Narrow" w:hAnsi="Arial Narrow"/>
                <w:sz w:val="20"/>
                <w:szCs w:val="20"/>
              </w:rPr>
            </w:pPr>
          </w:p>
        </w:tc>
        <w:tc>
          <w:tcPr>
            <w:tcW w:w="1275" w:type="dxa"/>
            <w:vMerge/>
          </w:tcPr>
          <w:p w14:paraId="0C1E5092" w14:textId="77777777" w:rsidR="00ED5CB7" w:rsidRPr="0068746B" w:rsidRDefault="00ED5CB7" w:rsidP="00834258">
            <w:pPr>
              <w:rPr>
                <w:rFonts w:ascii="Arial Narrow" w:hAnsi="Arial Narrow"/>
                <w:sz w:val="20"/>
                <w:szCs w:val="20"/>
              </w:rPr>
            </w:pPr>
          </w:p>
        </w:tc>
        <w:tc>
          <w:tcPr>
            <w:tcW w:w="1985" w:type="dxa"/>
          </w:tcPr>
          <w:p w14:paraId="0205B9A6" w14:textId="77777777" w:rsidR="00ED5CB7" w:rsidRPr="0068746B" w:rsidRDefault="00ED5CB7" w:rsidP="00834258">
            <w:pPr>
              <w:rPr>
                <w:rFonts w:ascii="Arial Narrow" w:hAnsi="Arial Narrow"/>
                <w:sz w:val="20"/>
                <w:szCs w:val="20"/>
              </w:rPr>
            </w:pPr>
            <w:r>
              <w:rPr>
                <w:rFonts w:ascii="Arial Narrow" w:hAnsi="Arial Narrow"/>
                <w:sz w:val="20"/>
                <w:szCs w:val="20"/>
              </w:rPr>
              <w:t>20</w:t>
            </w:r>
            <w:r w:rsidRPr="0068746B">
              <w:rPr>
                <w:rFonts w:ascii="Arial Narrow" w:hAnsi="Arial Narrow"/>
                <w:sz w:val="20"/>
                <w:szCs w:val="20"/>
              </w:rPr>
              <w:t>.</w:t>
            </w:r>
            <w:r>
              <w:rPr>
                <w:rFonts w:ascii="Arial Narrow" w:hAnsi="Arial Narrow"/>
                <w:sz w:val="20"/>
                <w:szCs w:val="20"/>
              </w:rPr>
              <w:t>1</w:t>
            </w:r>
            <w:r w:rsidRPr="0068746B">
              <w:rPr>
                <w:rFonts w:ascii="Arial Narrow" w:hAnsi="Arial Narrow"/>
                <w:sz w:val="20"/>
                <w:szCs w:val="20"/>
              </w:rPr>
              <w:t xml:space="preserve"> carriers</w:t>
            </w:r>
          </w:p>
        </w:tc>
        <w:tc>
          <w:tcPr>
            <w:tcW w:w="2835" w:type="dxa"/>
          </w:tcPr>
          <w:p w14:paraId="30AFC928" w14:textId="77777777" w:rsidR="00ED5CB7" w:rsidRPr="0068746B" w:rsidRDefault="00ED5CB7" w:rsidP="00834258">
            <w:pPr>
              <w:rPr>
                <w:rFonts w:ascii="Arial Narrow" w:hAnsi="Arial Narrow"/>
                <w:sz w:val="20"/>
                <w:szCs w:val="20"/>
              </w:rPr>
            </w:pPr>
            <w:r>
              <w:rPr>
                <w:rFonts w:ascii="Arial Narrow" w:hAnsi="Arial Narrow"/>
                <w:sz w:val="20"/>
                <w:szCs w:val="20"/>
              </w:rPr>
              <w:t>20</w:t>
            </w:r>
            <w:r w:rsidRPr="0068746B">
              <w:rPr>
                <w:rFonts w:ascii="Arial Narrow" w:hAnsi="Arial Narrow"/>
                <w:sz w:val="20"/>
                <w:szCs w:val="20"/>
              </w:rPr>
              <w:t>.</w:t>
            </w:r>
            <w:r>
              <w:rPr>
                <w:rFonts w:ascii="Arial Narrow" w:hAnsi="Arial Narrow"/>
                <w:sz w:val="20"/>
                <w:szCs w:val="20"/>
              </w:rPr>
              <w:t>1</w:t>
            </w:r>
            <w:r w:rsidRPr="0068746B">
              <w:rPr>
                <w:rFonts w:ascii="Arial Narrow" w:hAnsi="Arial Narrow"/>
                <w:sz w:val="20"/>
                <w:szCs w:val="20"/>
              </w:rPr>
              <w:t xml:space="preserve"> patients identified as carriers</w:t>
            </w:r>
          </w:p>
        </w:tc>
        <w:tc>
          <w:tcPr>
            <w:tcW w:w="3685" w:type="dxa"/>
          </w:tcPr>
          <w:p w14:paraId="62C4D1AF"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Helps inform reproductive decisions</w:t>
            </w:r>
          </w:p>
        </w:tc>
        <w:tc>
          <w:tcPr>
            <w:tcW w:w="3180" w:type="dxa"/>
          </w:tcPr>
          <w:p w14:paraId="33AD025D" w14:textId="77777777" w:rsidR="00ED5CB7" w:rsidRPr="004772CC" w:rsidRDefault="00ED5CB7" w:rsidP="00834258">
            <w:pPr>
              <w:rPr>
                <w:rFonts w:ascii="Arial Narrow" w:hAnsi="Arial Narrow"/>
                <w:sz w:val="20"/>
                <w:szCs w:val="20"/>
              </w:rPr>
            </w:pPr>
            <w:r w:rsidRPr="004772CC">
              <w:rPr>
                <w:rFonts w:ascii="Calibri" w:eastAsia="Calibri" w:hAnsi="Calibri" w:cs="Calibri"/>
                <w:lang w:eastAsia="en-AU"/>
              </w:rPr>
              <w:t>–</w:t>
            </w:r>
          </w:p>
        </w:tc>
      </w:tr>
      <w:tr w:rsidR="00ED5CB7" w:rsidRPr="0068746B" w14:paraId="5A7ACDFB" w14:textId="77777777" w:rsidTr="00175863">
        <w:tc>
          <w:tcPr>
            <w:tcW w:w="988" w:type="dxa"/>
            <w:vMerge/>
          </w:tcPr>
          <w:p w14:paraId="3634E342" w14:textId="77777777" w:rsidR="00ED5CB7" w:rsidRPr="0068746B" w:rsidRDefault="00ED5CB7" w:rsidP="00834258">
            <w:pPr>
              <w:rPr>
                <w:rFonts w:ascii="Arial Narrow" w:hAnsi="Arial Narrow"/>
                <w:sz w:val="20"/>
                <w:szCs w:val="20"/>
              </w:rPr>
            </w:pPr>
          </w:p>
        </w:tc>
        <w:tc>
          <w:tcPr>
            <w:tcW w:w="1275" w:type="dxa"/>
            <w:vMerge/>
          </w:tcPr>
          <w:p w14:paraId="25FF32F2" w14:textId="77777777" w:rsidR="00ED5CB7" w:rsidRPr="0068746B" w:rsidRDefault="00ED5CB7" w:rsidP="00834258">
            <w:pPr>
              <w:rPr>
                <w:rFonts w:ascii="Arial Narrow" w:hAnsi="Arial Narrow"/>
                <w:sz w:val="20"/>
                <w:szCs w:val="20"/>
              </w:rPr>
            </w:pPr>
          </w:p>
        </w:tc>
        <w:tc>
          <w:tcPr>
            <w:tcW w:w="1985" w:type="dxa"/>
          </w:tcPr>
          <w:p w14:paraId="4A522AD5"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1</w:t>
            </w:r>
            <w:r>
              <w:rPr>
                <w:rFonts w:ascii="Arial Narrow" w:hAnsi="Arial Narrow"/>
                <w:sz w:val="20"/>
                <w:szCs w:val="20"/>
              </w:rPr>
              <w:t>5</w:t>
            </w:r>
            <w:r w:rsidRPr="0068746B">
              <w:rPr>
                <w:rFonts w:ascii="Arial Narrow" w:hAnsi="Arial Narrow"/>
                <w:sz w:val="20"/>
                <w:szCs w:val="20"/>
              </w:rPr>
              <w:t>.</w:t>
            </w:r>
            <w:r>
              <w:rPr>
                <w:rFonts w:ascii="Arial Narrow" w:hAnsi="Arial Narrow"/>
                <w:sz w:val="20"/>
                <w:szCs w:val="20"/>
              </w:rPr>
              <w:t>2</w:t>
            </w:r>
            <w:r w:rsidRPr="0068746B">
              <w:rPr>
                <w:rFonts w:ascii="Arial Narrow" w:hAnsi="Arial Narrow"/>
                <w:sz w:val="20"/>
                <w:szCs w:val="20"/>
              </w:rPr>
              <w:t xml:space="preserve"> no GSD II</w:t>
            </w:r>
          </w:p>
        </w:tc>
        <w:tc>
          <w:tcPr>
            <w:tcW w:w="2835" w:type="dxa"/>
          </w:tcPr>
          <w:p w14:paraId="4D41FAB4"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1</w:t>
            </w:r>
            <w:r>
              <w:rPr>
                <w:rFonts w:ascii="Arial Narrow" w:hAnsi="Arial Narrow"/>
                <w:sz w:val="20"/>
                <w:szCs w:val="20"/>
              </w:rPr>
              <w:t>5</w:t>
            </w:r>
            <w:r w:rsidRPr="0068746B">
              <w:rPr>
                <w:rFonts w:ascii="Arial Narrow" w:hAnsi="Arial Narrow"/>
                <w:sz w:val="20"/>
                <w:szCs w:val="20"/>
              </w:rPr>
              <w:t>.</w:t>
            </w:r>
            <w:r>
              <w:rPr>
                <w:rFonts w:ascii="Arial Narrow" w:hAnsi="Arial Narrow"/>
                <w:sz w:val="20"/>
                <w:szCs w:val="20"/>
              </w:rPr>
              <w:t>2</w:t>
            </w:r>
            <w:r w:rsidRPr="0068746B">
              <w:rPr>
                <w:rFonts w:ascii="Arial Narrow" w:hAnsi="Arial Narrow"/>
                <w:sz w:val="20"/>
                <w:szCs w:val="20"/>
              </w:rPr>
              <w:t xml:space="preserve"> patients confirmed as false Tier 1 positives</w:t>
            </w:r>
          </w:p>
        </w:tc>
        <w:tc>
          <w:tcPr>
            <w:tcW w:w="3685" w:type="dxa"/>
          </w:tcPr>
          <w:p w14:paraId="773BB69C" w14:textId="77777777" w:rsidR="00ED5CB7" w:rsidRPr="0068746B" w:rsidRDefault="00ED5CB7" w:rsidP="00834258">
            <w:pPr>
              <w:rPr>
                <w:rFonts w:ascii="Arial Narrow" w:hAnsi="Arial Narrow"/>
                <w:sz w:val="20"/>
                <w:szCs w:val="20"/>
              </w:rPr>
            </w:pPr>
            <w:r w:rsidRPr="0068746B">
              <w:rPr>
                <w:rFonts w:ascii="Arial Narrow" w:hAnsi="Arial Narrow"/>
                <w:sz w:val="20"/>
                <w:szCs w:val="20"/>
              </w:rPr>
              <w:t>None shown and no intervention needed</w:t>
            </w:r>
          </w:p>
        </w:tc>
        <w:tc>
          <w:tcPr>
            <w:tcW w:w="3180" w:type="dxa"/>
          </w:tcPr>
          <w:p w14:paraId="48D97C1A" w14:textId="77777777" w:rsidR="00ED5CB7" w:rsidRPr="004772CC" w:rsidRDefault="00ED5CB7" w:rsidP="00834258">
            <w:pPr>
              <w:rPr>
                <w:rFonts w:ascii="Calibri" w:eastAsia="Calibri" w:hAnsi="Calibri" w:cs="Calibri"/>
                <w:lang w:eastAsia="en-AU"/>
              </w:rPr>
            </w:pPr>
            <w:r w:rsidRPr="004772CC">
              <w:rPr>
                <w:rFonts w:ascii="Calibri" w:eastAsia="Calibri" w:hAnsi="Calibri" w:cs="Calibri"/>
                <w:lang w:eastAsia="en-AU"/>
              </w:rPr>
              <w:t>–</w:t>
            </w:r>
          </w:p>
        </w:tc>
      </w:tr>
    </w:tbl>
    <w:p w14:paraId="22B0F242" w14:textId="77777777" w:rsidR="00ED5CB7" w:rsidRDefault="00ED5CB7" w:rsidP="00ED5CB7">
      <w:pPr>
        <w:spacing w:before="0" w:after="0" w:line="240" w:lineRule="auto"/>
        <w:rPr>
          <w:rFonts w:ascii="Arial Narrow" w:hAnsi="Arial Narrow"/>
          <w:sz w:val="18"/>
          <w:szCs w:val="18"/>
          <w:vertAlign w:val="superscript"/>
        </w:rPr>
      </w:pPr>
      <w:r>
        <w:rPr>
          <w:rFonts w:ascii="Arial Narrow" w:hAnsi="Arial Narrow"/>
          <w:sz w:val="18"/>
          <w:szCs w:val="18"/>
          <w:vertAlign w:val="superscript"/>
        </w:rPr>
        <w:t xml:space="preserve">a </w:t>
      </w:r>
      <w:r>
        <w:rPr>
          <w:rFonts w:ascii="Arial Narrow" w:hAnsi="Arial Narrow"/>
          <w:sz w:val="20"/>
          <w:szCs w:val="20"/>
        </w:rPr>
        <w:t xml:space="preserve">Figure chosen to align with projected number of births in 2025-26 and 99.3% uptake rate which is aligned with utilisation estimates in financials </w:t>
      </w:r>
    </w:p>
    <w:p w14:paraId="794A8353" w14:textId="77777777" w:rsidR="00ED5CB7" w:rsidRPr="00772A18" w:rsidRDefault="00ED5CB7" w:rsidP="00ED5CB7">
      <w:pPr>
        <w:spacing w:before="0" w:after="0" w:line="240" w:lineRule="auto"/>
        <w:rPr>
          <w:rFonts w:ascii="Arial Narrow" w:hAnsi="Arial Narrow"/>
          <w:sz w:val="18"/>
          <w:szCs w:val="18"/>
          <w:vertAlign w:val="superscript"/>
        </w:rPr>
      </w:pPr>
      <w:r>
        <w:rPr>
          <w:rFonts w:ascii="Arial Narrow" w:hAnsi="Arial Narrow"/>
          <w:sz w:val="18"/>
          <w:szCs w:val="18"/>
          <w:vertAlign w:val="superscript"/>
        </w:rPr>
        <w:t>b</w:t>
      </w:r>
      <w:r w:rsidRPr="0068746B">
        <w:rPr>
          <w:rFonts w:ascii="Arial Narrow" w:hAnsi="Arial Narrow"/>
          <w:sz w:val="18"/>
          <w:szCs w:val="18"/>
        </w:rPr>
        <w:t xml:space="preserve"> MSAC should consider whether to advise that a new informed consent be obtained from these parents at this point to enable subsequent testing beyond the bloodspot sample based on the positive Tier 1 result.</w:t>
      </w:r>
    </w:p>
    <w:p w14:paraId="3A9CED94" w14:textId="77777777" w:rsidR="00ED5CB7" w:rsidRPr="0068746B" w:rsidRDefault="00ED5CB7" w:rsidP="00ED5CB7">
      <w:pPr>
        <w:spacing w:before="0" w:after="0" w:line="240" w:lineRule="auto"/>
        <w:rPr>
          <w:rFonts w:ascii="Arial Narrow" w:hAnsi="Arial Narrow"/>
          <w:sz w:val="18"/>
          <w:szCs w:val="18"/>
        </w:rPr>
      </w:pPr>
      <w:r>
        <w:rPr>
          <w:rFonts w:ascii="Arial Narrow" w:hAnsi="Arial Narrow"/>
          <w:sz w:val="18"/>
          <w:szCs w:val="18"/>
          <w:vertAlign w:val="superscript"/>
        </w:rPr>
        <w:t>c</w:t>
      </w:r>
      <w:r w:rsidRPr="0068746B">
        <w:rPr>
          <w:rFonts w:ascii="Arial Narrow" w:hAnsi="Arial Narrow"/>
          <w:sz w:val="18"/>
          <w:szCs w:val="18"/>
        </w:rPr>
        <w:t xml:space="preserve"> These consequences do not include any estimates of incremental consequences from cascade testing</w:t>
      </w:r>
    </w:p>
    <w:p w14:paraId="6487D642" w14:textId="099CF36D" w:rsidR="00ED5CB7" w:rsidRPr="003A63D1" w:rsidRDefault="00ED5CB7" w:rsidP="003A63D1">
      <w:pPr>
        <w:spacing w:before="0" w:after="0" w:line="240" w:lineRule="auto"/>
        <w:rPr>
          <w:rStyle w:val="Strong"/>
          <w:rFonts w:ascii="Arial Narrow" w:hAnsi="Arial Narrow"/>
          <w:b w:val="0"/>
          <w:bCs w:val="0"/>
          <w:sz w:val="18"/>
          <w:szCs w:val="18"/>
        </w:rPr>
        <w:sectPr w:rsidR="00ED5CB7" w:rsidRPr="003A63D1" w:rsidSect="00ED5CB7">
          <w:pgSz w:w="16838" w:h="11906" w:orient="landscape"/>
          <w:pgMar w:top="1440" w:right="1440" w:bottom="1440" w:left="1276" w:header="708" w:footer="708" w:gutter="0"/>
          <w:cols w:space="708"/>
          <w:docGrid w:linePitch="360"/>
        </w:sectPr>
      </w:pPr>
      <w:r w:rsidRPr="0068746B">
        <w:rPr>
          <w:rFonts w:ascii="Arial Narrow" w:eastAsia="Calibri" w:hAnsi="Arial Narrow" w:cs="Arial"/>
          <w:sz w:val="18"/>
          <w:szCs w:val="18"/>
        </w:rPr>
        <w:t>Abbreviations: ERT= enzyme replacement therapy; GSD II = glycogen storage disease Type II; IOGSD II = infantile-onset glycogen storage disease Type II; LOGSD II = late-onset glycogen storage disease Type II; QALY= quality-adjusted life yea</w:t>
      </w:r>
    </w:p>
    <w:p w14:paraId="2ED64C13" w14:textId="77777777" w:rsidR="003A63D1" w:rsidRPr="003A63D1" w:rsidRDefault="003A63D1" w:rsidP="003A63D1">
      <w:pPr>
        <w:pStyle w:val="Heading2"/>
        <w:numPr>
          <w:ilvl w:val="0"/>
          <w:numId w:val="36"/>
        </w:numPr>
        <w:tabs>
          <w:tab w:val="num" w:pos="360"/>
        </w:tabs>
        <w:ind w:hanging="720"/>
      </w:pPr>
      <w:bookmarkStart w:id="83" w:name="_Hlk193984667"/>
      <w:r w:rsidRPr="003A793E">
        <w:t>Further information on MSAC</w:t>
      </w:r>
    </w:p>
    <w:p w14:paraId="008B4D56" w14:textId="18B48B10" w:rsidR="00ED5CB7" w:rsidRPr="003A63D1" w:rsidRDefault="003A63D1" w:rsidP="003A63D1">
      <w:pPr>
        <w:pStyle w:val="BodyText"/>
        <w:rPr>
          <w:b/>
          <w:bCs/>
          <w:i/>
          <w:iCs/>
        </w:rPr>
      </w:pPr>
      <w:r w:rsidRPr="00F309FA">
        <w:rPr>
          <w:bCs/>
          <w:iCs/>
        </w:rPr>
        <w:t xml:space="preserve">MSAC Terms of Reference and other information are available on the MSAC Website: </w:t>
      </w:r>
      <w:hyperlink r:id="rId26" w:tooltip="Link to the MSAC website" w:history="1">
        <w:r w:rsidRPr="000D2098">
          <w:rPr>
            <w:rStyle w:val="Hyperlink"/>
            <w:iCs/>
            <w:color w:val="007BB8"/>
          </w:rPr>
          <w:t>visit the MSAC website</w:t>
        </w:r>
      </w:hyperlink>
      <w:bookmarkEnd w:id="83"/>
    </w:p>
    <w:sectPr w:rsidR="00ED5CB7" w:rsidRPr="003A63D1" w:rsidSect="003A63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2804C" w14:textId="77777777" w:rsidR="00B124BC" w:rsidRDefault="00B124BC" w:rsidP="00B62DF2">
      <w:pPr>
        <w:spacing w:after="0" w:line="240" w:lineRule="auto"/>
      </w:pPr>
      <w:r>
        <w:separator/>
      </w:r>
    </w:p>
  </w:endnote>
  <w:endnote w:type="continuationSeparator" w:id="0">
    <w:p w14:paraId="0C47FBE2" w14:textId="77777777" w:rsidR="00B124BC" w:rsidRDefault="00B124BC" w:rsidP="00B62DF2">
      <w:pPr>
        <w:spacing w:after="0" w:line="240" w:lineRule="auto"/>
      </w:pPr>
      <w:r>
        <w:continuationSeparator/>
      </w:r>
    </w:p>
  </w:endnote>
  <w:endnote w:type="continuationNotice" w:id="1">
    <w:p w14:paraId="75469E54" w14:textId="77777777" w:rsidR="00B124BC" w:rsidRDefault="00B124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9096" w14:textId="77777777" w:rsidR="00CA0545" w:rsidRDefault="00CA0545">
    <w:pPr>
      <w:pStyle w:val="Footer"/>
    </w:pPr>
  </w:p>
  <w:p w14:paraId="2B675CEA" w14:textId="77777777" w:rsidR="00CA0545" w:rsidRDefault="00CA05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820529"/>
      <w:docPartObj>
        <w:docPartGallery w:val="Page Numbers (Bottom of Page)"/>
        <w:docPartUnique/>
      </w:docPartObj>
    </w:sdtPr>
    <w:sdtEndPr>
      <w:rPr>
        <w:noProof/>
      </w:rPr>
    </w:sdtEndPr>
    <w:sdtContent>
      <w:p w14:paraId="4DAEAE48" w14:textId="2C56DFDA" w:rsidR="00CA0545" w:rsidRPr="00092CCC" w:rsidRDefault="00CA0545" w:rsidP="00092CCC">
        <w:pPr>
          <w:pStyle w:val="Footer"/>
          <w:jc w:val="right"/>
        </w:pPr>
        <w:r>
          <w:fldChar w:fldCharType="begin"/>
        </w:r>
        <w:r>
          <w:instrText xml:space="preserve"> PAGE   \* MERGEFORMAT </w:instrText>
        </w:r>
        <w:r>
          <w:fldChar w:fldCharType="separate"/>
        </w:r>
        <w:r w:rsidR="00E25EE8">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937593"/>
      <w:docPartObj>
        <w:docPartGallery w:val="Page Numbers (Bottom of Page)"/>
        <w:docPartUnique/>
      </w:docPartObj>
    </w:sdtPr>
    <w:sdtEndPr>
      <w:rPr>
        <w:noProof/>
      </w:rPr>
    </w:sdtEndPr>
    <w:sdtContent>
      <w:p w14:paraId="0E1597A1" w14:textId="03F087CA" w:rsidR="00CA0545" w:rsidRDefault="00CA0545" w:rsidP="00A940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3B456" w14:textId="77777777" w:rsidR="00CA0545" w:rsidRDefault="00CA05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5195" w14:textId="77777777" w:rsidR="00CA0545" w:rsidRDefault="00CA05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233730"/>
      <w:docPartObj>
        <w:docPartGallery w:val="Page Numbers (Bottom of Page)"/>
        <w:docPartUnique/>
      </w:docPartObj>
    </w:sdtPr>
    <w:sdtEndPr>
      <w:rPr>
        <w:noProof/>
      </w:rPr>
    </w:sdtEndPr>
    <w:sdtContent>
      <w:p w14:paraId="2902BE1E" w14:textId="77777777" w:rsidR="00CA0545" w:rsidRPr="00092CCC" w:rsidRDefault="00CA0545" w:rsidP="00092CCC">
        <w:pPr>
          <w:pStyle w:val="Footer"/>
          <w:jc w:val="right"/>
        </w:pPr>
        <w:r>
          <w:fldChar w:fldCharType="begin"/>
        </w:r>
        <w:r>
          <w:instrText xml:space="preserve"> PAGE   \* MERGEFORMAT </w:instrText>
        </w:r>
        <w:r>
          <w:fldChar w:fldCharType="separate"/>
        </w:r>
        <w:r w:rsidR="00E25EE8">
          <w:rPr>
            <w:noProof/>
          </w:rPr>
          <w:t>74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344895"/>
      <w:docPartObj>
        <w:docPartGallery w:val="Page Numbers (Bottom of Page)"/>
        <w:docPartUnique/>
      </w:docPartObj>
    </w:sdtPr>
    <w:sdtEndPr>
      <w:rPr>
        <w:noProof/>
      </w:rPr>
    </w:sdtEndPr>
    <w:sdtContent>
      <w:p w14:paraId="2FD02C47" w14:textId="77777777" w:rsidR="00CA0545" w:rsidRDefault="00CA0545" w:rsidP="00A940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C8806" w14:textId="77777777" w:rsidR="00B124BC" w:rsidRDefault="00B124BC" w:rsidP="00B62DF2">
      <w:pPr>
        <w:spacing w:after="0" w:line="240" w:lineRule="auto"/>
      </w:pPr>
      <w:r>
        <w:separator/>
      </w:r>
    </w:p>
  </w:footnote>
  <w:footnote w:type="continuationSeparator" w:id="0">
    <w:p w14:paraId="1A6C5477" w14:textId="77777777" w:rsidR="00B124BC" w:rsidRDefault="00B124BC" w:rsidP="00B62DF2">
      <w:pPr>
        <w:spacing w:after="0" w:line="240" w:lineRule="auto"/>
      </w:pPr>
      <w:r>
        <w:continuationSeparator/>
      </w:r>
    </w:p>
  </w:footnote>
  <w:footnote w:type="continuationNotice" w:id="1">
    <w:p w14:paraId="62590F3C" w14:textId="77777777" w:rsidR="00B124BC" w:rsidRDefault="00B124BC">
      <w:pPr>
        <w:spacing w:before="0" w:after="0" w:line="240" w:lineRule="auto"/>
      </w:pPr>
    </w:p>
  </w:footnote>
  <w:footnote w:id="2">
    <w:p w14:paraId="7F3D370D" w14:textId="77777777" w:rsidR="00CA0545" w:rsidRDefault="00CA0545" w:rsidP="00DF7E66">
      <w:pPr>
        <w:pStyle w:val="FootnoteText"/>
      </w:pPr>
      <w:r>
        <w:rPr>
          <w:rStyle w:val="FootnoteReference"/>
        </w:rPr>
        <w:footnoteRef/>
      </w:r>
      <w:r>
        <w:t xml:space="preserve"> </w:t>
      </w:r>
      <w:hyperlink r:id="rId1" w:history="1">
        <w:r w:rsidRPr="00BD0DCA">
          <w:rPr>
            <w:rStyle w:val="Hyperlink"/>
          </w:rPr>
          <w:t>https://www.health.gov.au/resources/publications/newborn-bloodspot-screening-nbs-our-national-decision-making-pathway-fact-sheet</w:t>
        </w:r>
      </w:hyperlink>
    </w:p>
  </w:footnote>
  <w:footnote w:id="3">
    <w:p w14:paraId="3D11267C" w14:textId="1F4F48E6" w:rsidR="00CA0545" w:rsidRDefault="00CA0545">
      <w:pPr>
        <w:pStyle w:val="FootnoteText"/>
      </w:pPr>
      <w:r>
        <w:rPr>
          <w:rStyle w:val="FootnoteReference"/>
        </w:rPr>
        <w:footnoteRef/>
      </w:r>
      <w:r>
        <w:t xml:space="preserve"> Newborn Bloodspot Screening National Policy Framework (NBS NPF), Department of Health, 2018. Available at: </w:t>
      </w:r>
      <w:hyperlink r:id="rId2" w:history="1">
        <w:r w:rsidRPr="0008045B">
          <w:rPr>
            <w:rStyle w:val="Hyperlink"/>
          </w:rPr>
          <w:t>https://www.health.gov.au/resources/publications/newborn-bloodspot-screening-national-policyframework?language=en</w:t>
        </w:r>
      </w:hyperlink>
    </w:p>
    <w:p w14:paraId="0A2C1783" w14:textId="77777777" w:rsidR="00CA0545" w:rsidRDefault="00CA0545">
      <w:pPr>
        <w:pStyle w:val="FootnoteText"/>
      </w:pPr>
    </w:p>
  </w:footnote>
  <w:footnote w:id="4">
    <w:p w14:paraId="5D157043" w14:textId="5E08CAF6" w:rsidR="00D1226C" w:rsidRDefault="00D1226C">
      <w:pPr>
        <w:pStyle w:val="FootnoteText"/>
      </w:pPr>
      <w:r>
        <w:rPr>
          <w:rStyle w:val="FootnoteReference"/>
        </w:rPr>
        <w:footnoteRef/>
      </w:r>
      <w:r>
        <w:t xml:space="preserve"> </w:t>
      </w:r>
      <w:proofErr w:type="spellStart"/>
      <w:r w:rsidRPr="00D1226C">
        <w:t>Kishnani</w:t>
      </w:r>
      <w:proofErr w:type="spellEnd"/>
      <w:r w:rsidRPr="00D1226C">
        <w:t xml:space="preserve">, PS, </w:t>
      </w:r>
      <w:r>
        <w:t>et al</w:t>
      </w:r>
      <w:r w:rsidRPr="00D1226C">
        <w:t xml:space="preserve"> 2013, 'Timing of diagnosis of patients with Pompe disease: data from the Pompe registry', </w:t>
      </w:r>
      <w:r w:rsidRPr="005022D9">
        <w:rPr>
          <w:i/>
          <w:iCs/>
        </w:rPr>
        <w:t>Am J Med Genet A</w:t>
      </w:r>
      <w:r w:rsidRPr="00D1226C">
        <w:t>, vol. 161, no. 10, 2013.</w:t>
      </w:r>
    </w:p>
  </w:footnote>
  <w:footnote w:id="5">
    <w:p w14:paraId="381611B7" w14:textId="79AA8872" w:rsidR="00CA0545" w:rsidRDefault="00CA0545">
      <w:pPr>
        <w:pStyle w:val="FootnoteText"/>
      </w:pPr>
      <w:r>
        <w:rPr>
          <w:rStyle w:val="FootnoteReference"/>
        </w:rPr>
        <w:footnoteRef/>
      </w:r>
      <w:r>
        <w:t xml:space="preserve"> </w:t>
      </w:r>
      <w:r w:rsidRPr="0044706B">
        <w:t xml:space="preserve">Chin S, Fuller M. Prevalence of lysosomal storage disorders in Australia from 2009 to 2020. </w:t>
      </w:r>
      <w:r w:rsidRPr="00C3343D">
        <w:rPr>
          <w:i/>
        </w:rPr>
        <w:t>Lancet Reg Health West Pac</w:t>
      </w:r>
      <w:r w:rsidRPr="0044706B">
        <w:t xml:space="preserve">. </w:t>
      </w:r>
      <w:proofErr w:type="gramStart"/>
      <w:r w:rsidRPr="0044706B">
        <w:t>2022;19:100344</w:t>
      </w:r>
      <w:proofErr w:type="gramEnd"/>
      <w:r>
        <w:t>.</w:t>
      </w:r>
    </w:p>
  </w:footnote>
  <w:footnote w:id="6">
    <w:p w14:paraId="4101D7E6" w14:textId="0DC106A2" w:rsidR="00CA0545" w:rsidRDefault="00CA0545">
      <w:pPr>
        <w:pStyle w:val="FootnoteText"/>
      </w:pPr>
      <w:r>
        <w:rPr>
          <w:rStyle w:val="FootnoteReference"/>
        </w:rPr>
        <w:footnoteRef/>
      </w:r>
      <w:r>
        <w:t xml:space="preserve"> Note: “</w:t>
      </w:r>
      <w:proofErr w:type="spellStart"/>
      <w:r w:rsidRPr="005641F9">
        <w:t>Pseudodeficiency</w:t>
      </w:r>
      <w:proofErr w:type="spellEnd"/>
      <w:r>
        <w:t>”</w:t>
      </w:r>
      <w:r w:rsidRPr="005641F9">
        <w:t xml:space="preserve"> refers to a genetic variant in the </w:t>
      </w:r>
      <w:r w:rsidRPr="00C57D1E">
        <w:rPr>
          <w:i/>
          <w:iCs/>
        </w:rPr>
        <w:t>GAA</w:t>
      </w:r>
      <w:r w:rsidRPr="005641F9">
        <w:t xml:space="preserve"> gene that reduces alpha-glucosidase enzyme activity</w:t>
      </w:r>
      <w:r>
        <w:t xml:space="preserve"> without causing clinical symptoms or disease.</w:t>
      </w:r>
    </w:p>
  </w:footnote>
  <w:footnote w:id="7">
    <w:p w14:paraId="2D159158" w14:textId="59050C45" w:rsidR="00CA0545" w:rsidRDefault="00CA0545" w:rsidP="00FD2849">
      <w:pPr>
        <w:pStyle w:val="FootnoteText"/>
      </w:pPr>
      <w:r>
        <w:rPr>
          <w:rStyle w:val="FootnoteReference"/>
        </w:rPr>
        <w:footnoteRef/>
      </w:r>
      <w:r>
        <w:t xml:space="preserve"> </w:t>
      </w:r>
      <w:r w:rsidRPr="00914FEF">
        <w:t>Tang, H</w:t>
      </w:r>
      <w:r>
        <w:t>, et al</w:t>
      </w:r>
      <w:r w:rsidRPr="00914FEF">
        <w:t>. The First Year Experience of Newborn Screening for Pompe Disease in California. </w:t>
      </w:r>
      <w:r w:rsidRPr="00914FEF">
        <w:rPr>
          <w:i/>
          <w:iCs/>
        </w:rPr>
        <w:t>International journal of neonatal screening</w:t>
      </w:r>
      <w:r w:rsidRPr="00914FEF">
        <w:t>, 2020</w:t>
      </w:r>
      <w:r>
        <w:t xml:space="preserve"> </w:t>
      </w:r>
      <w:r w:rsidRPr="00914FEF">
        <w:rPr>
          <w:i/>
          <w:iCs/>
        </w:rPr>
        <w:t>6</w:t>
      </w:r>
      <w:r w:rsidRPr="00914FEF">
        <w:t>(1), 9. </w:t>
      </w:r>
    </w:p>
  </w:footnote>
  <w:footnote w:id="8">
    <w:p w14:paraId="16886CD8" w14:textId="226C7F95" w:rsidR="00CA0545" w:rsidRDefault="00CA0545" w:rsidP="00FD2849">
      <w:pPr>
        <w:pStyle w:val="FootnoteText"/>
      </w:pPr>
      <w:r>
        <w:rPr>
          <w:rStyle w:val="FootnoteReference"/>
        </w:rPr>
        <w:footnoteRef/>
      </w:r>
      <w:r>
        <w:t xml:space="preserve"> </w:t>
      </w:r>
      <w:proofErr w:type="spellStart"/>
      <w:r w:rsidRPr="00A352E7">
        <w:t>Ficicioglu</w:t>
      </w:r>
      <w:proofErr w:type="spellEnd"/>
      <w:r w:rsidRPr="00A352E7">
        <w:t xml:space="preserve">, C, </w:t>
      </w:r>
      <w:r>
        <w:t>et al.</w:t>
      </w:r>
      <w:r w:rsidRPr="00A352E7">
        <w:t xml:space="preserve">, 'Newborn Screening for Pompe Disease: Pennsylvania Experience', </w:t>
      </w:r>
      <w:r w:rsidRPr="00A352E7">
        <w:rPr>
          <w:i/>
        </w:rPr>
        <w:t>Int J Neonatal Screen</w:t>
      </w:r>
      <w:r w:rsidRPr="00A352E7">
        <w:t>, vol. 6, no. 4, 2020</w:t>
      </w:r>
      <w:r>
        <w:t xml:space="preserve"> </w:t>
      </w:r>
    </w:p>
  </w:footnote>
  <w:footnote w:id="9">
    <w:p w14:paraId="1F3A60AA" w14:textId="7CFAE8B8" w:rsidR="00CA0545" w:rsidRDefault="00CA0545" w:rsidP="00FD2849">
      <w:pPr>
        <w:pStyle w:val="FootnoteText"/>
      </w:pPr>
      <w:r>
        <w:rPr>
          <w:rStyle w:val="FootnoteReference"/>
        </w:rPr>
        <w:footnoteRef/>
      </w:r>
      <w:r>
        <w:t xml:space="preserve"> </w:t>
      </w:r>
      <w:r w:rsidRPr="00A352E7">
        <w:t xml:space="preserve">Burton, BK, </w:t>
      </w:r>
      <w:r>
        <w:t>et al</w:t>
      </w:r>
      <w:r w:rsidRPr="00A352E7">
        <w:t xml:space="preserve">, 'Newborn Screening for Pompe Disease in Illinois: Experience with 684,290 Infants', </w:t>
      </w:r>
      <w:r w:rsidRPr="00A352E7">
        <w:rPr>
          <w:i/>
        </w:rPr>
        <w:t>Int J Neonatal Screen</w:t>
      </w:r>
      <w:r w:rsidRPr="00A352E7">
        <w:t>, vol. 6, no. 1, 2020</w:t>
      </w:r>
    </w:p>
  </w:footnote>
  <w:footnote w:id="10">
    <w:p w14:paraId="309D16FF" w14:textId="41CF2B57" w:rsidR="00CA0545" w:rsidRPr="00175E92" w:rsidRDefault="00CA0545" w:rsidP="00585B53">
      <w:pPr>
        <w:pStyle w:val="FootnoteText"/>
      </w:pPr>
      <w:r>
        <w:rPr>
          <w:rStyle w:val="FootnoteReference"/>
        </w:rPr>
        <w:footnoteRef/>
      </w:r>
      <w:r>
        <w:t xml:space="preserve"> </w:t>
      </w:r>
      <w:r>
        <w:rPr>
          <w:lang w:val="en-US"/>
        </w:rPr>
        <w:t xml:space="preserve"> de Faria et al., ‘</w:t>
      </w:r>
      <w:r w:rsidRPr="003440E6">
        <w:rPr>
          <w:lang w:val="en-US"/>
        </w:rPr>
        <w:t>Update of the Pompe variant database for the prediction of clinical phenotypes: Novel disease-associated variants, common sequence variants, and results from newborn screening</w:t>
      </w:r>
      <w:r>
        <w:rPr>
          <w:lang w:val="en-US"/>
        </w:rPr>
        <w:t xml:space="preserve">’, </w:t>
      </w:r>
      <w:r w:rsidRPr="009911B7">
        <w:rPr>
          <w:i/>
          <w:iCs/>
          <w:lang w:val="en-US"/>
        </w:rPr>
        <w:t>Human Mutation</w:t>
      </w:r>
      <w:r>
        <w:rPr>
          <w:lang w:val="en-US"/>
        </w:rPr>
        <w:t xml:space="preserve"> 2021 42(2):</w:t>
      </w:r>
      <w:r w:rsidRPr="00FA7F32">
        <w:rPr>
          <w:lang w:val="en-US"/>
        </w:rPr>
        <w:t>119</w:t>
      </w:r>
      <w:r>
        <w:rPr>
          <w:lang w:val="en-US"/>
        </w:rPr>
        <w:t>–</w:t>
      </w:r>
      <w:r w:rsidRPr="00FA7F32">
        <w:rPr>
          <w:lang w:val="en-US"/>
        </w:rPr>
        <w:t>34</w:t>
      </w:r>
      <w:r>
        <w:rPr>
          <w:lang w:val="en-US"/>
        </w:rPr>
        <w:t>,</w:t>
      </w:r>
      <w:r w:rsidRPr="00C2621C">
        <w:t xml:space="preserve"> </w:t>
      </w:r>
      <w:r>
        <w:t>doi:</w:t>
      </w:r>
      <w:hyperlink r:id="rId3" w:tgtFrame="_blank" w:history="1">
        <w:r w:rsidRPr="00175E92">
          <w:rPr>
            <w:rStyle w:val="Hyperlink"/>
          </w:rPr>
          <w:t>10.1002/humu.24148</w:t>
        </w:r>
      </w:hyperlink>
      <w:r>
        <w:rPr>
          <w:lang w:val="en-US"/>
        </w:rPr>
        <w:t>.</w:t>
      </w:r>
    </w:p>
  </w:footnote>
  <w:footnote w:id="11">
    <w:p w14:paraId="1BABC6B5" w14:textId="267B80A9" w:rsidR="00CA0545" w:rsidRDefault="00CA0545">
      <w:pPr>
        <w:pStyle w:val="FootnoteText"/>
      </w:pPr>
      <w:r>
        <w:rPr>
          <w:rStyle w:val="FootnoteReference"/>
        </w:rPr>
        <w:footnoteRef/>
      </w:r>
      <w:r>
        <w:t xml:space="preserve"> </w:t>
      </w:r>
      <w:r w:rsidRPr="00E36B6A">
        <w:t>Colburn R, Lapidus D. An analysis of Pompe newborn screening data: a new prevalence at birth, insight and discussion. </w:t>
      </w:r>
      <w:r w:rsidRPr="00E36B6A">
        <w:rPr>
          <w:i/>
          <w:iCs/>
        </w:rPr>
        <w:t xml:space="preserve">Front </w:t>
      </w:r>
      <w:proofErr w:type="spellStart"/>
      <w:r w:rsidRPr="00E36B6A">
        <w:rPr>
          <w:i/>
          <w:iCs/>
        </w:rPr>
        <w:t>Pediatr</w:t>
      </w:r>
      <w:proofErr w:type="spellEnd"/>
      <w:r w:rsidRPr="00E36B6A">
        <w:t xml:space="preserve">. </w:t>
      </w:r>
      <w:proofErr w:type="gramStart"/>
      <w:r w:rsidRPr="00E36B6A">
        <w:t>2024;11:1221140</w:t>
      </w:r>
      <w:proofErr w:type="gramEnd"/>
      <w:r w:rsidRPr="00E36B6A">
        <w:t>.</w:t>
      </w:r>
    </w:p>
  </w:footnote>
  <w:footnote w:id="12">
    <w:p w14:paraId="419B98A3" w14:textId="54EA0DCF" w:rsidR="00CA0545" w:rsidRPr="0034569A" w:rsidRDefault="00CA0545" w:rsidP="0057632A">
      <w:pPr>
        <w:pStyle w:val="FootnoteText"/>
        <w:rPr>
          <w:lang w:val="en-US"/>
        </w:rPr>
      </w:pPr>
      <w:r>
        <w:rPr>
          <w:rStyle w:val="FootnoteReference"/>
        </w:rPr>
        <w:footnoteRef/>
      </w:r>
      <w:r>
        <w:t xml:space="preserve"> Pfrimmer et al. , ‘</w:t>
      </w:r>
      <w:r w:rsidRPr="00AA1B75">
        <w:t>Long-</w:t>
      </w:r>
      <w:r>
        <w:t>t</w:t>
      </w:r>
      <w:r w:rsidRPr="00AA1B75">
        <w:t xml:space="preserve">erm </w:t>
      </w:r>
      <w:r>
        <w:t>o</w:t>
      </w:r>
      <w:r w:rsidRPr="00AA1B75">
        <w:t xml:space="preserve">utcome of </w:t>
      </w:r>
      <w:r>
        <w:t>i</w:t>
      </w:r>
      <w:r w:rsidRPr="00AA1B75">
        <w:t xml:space="preserve">nfantile </w:t>
      </w:r>
      <w:r>
        <w:t>o</w:t>
      </w:r>
      <w:r w:rsidRPr="00AA1B75">
        <w:t xml:space="preserve">nset Pompe </w:t>
      </w:r>
      <w:r>
        <w:t>d</w:t>
      </w:r>
      <w:r w:rsidRPr="00AA1B75">
        <w:t xml:space="preserve">isease </w:t>
      </w:r>
      <w:r>
        <w:t>p</w:t>
      </w:r>
      <w:r w:rsidRPr="00AA1B75">
        <w:t xml:space="preserve">atients </w:t>
      </w:r>
      <w:r>
        <w:t>t</w:t>
      </w:r>
      <w:r w:rsidRPr="00AA1B75">
        <w:t xml:space="preserve">reated with </w:t>
      </w:r>
      <w:r>
        <w:t>e</w:t>
      </w:r>
      <w:r w:rsidRPr="00AA1B75">
        <w:t xml:space="preserve">nzyme </w:t>
      </w:r>
      <w:r>
        <w:t>r</w:t>
      </w:r>
      <w:r w:rsidRPr="00AA1B75">
        <w:t xml:space="preserve">eplacement </w:t>
      </w:r>
      <w:r>
        <w:t>t</w:t>
      </w:r>
      <w:r w:rsidRPr="00AA1B75">
        <w:t xml:space="preserve">herapy </w:t>
      </w:r>
      <w:r>
        <w:t>– d</w:t>
      </w:r>
      <w:r w:rsidRPr="00AA1B75">
        <w:t>ata from a German</w:t>
      </w:r>
      <w:r>
        <w:t>–</w:t>
      </w:r>
      <w:r w:rsidRPr="00AA1B75">
        <w:t xml:space="preserve">Austrian </w:t>
      </w:r>
      <w:r>
        <w:t>c</w:t>
      </w:r>
      <w:r w:rsidRPr="00AA1B75">
        <w:t>ohort</w:t>
      </w:r>
      <w:r>
        <w:t xml:space="preserve">’, </w:t>
      </w:r>
      <w:r w:rsidRPr="009911B7">
        <w:rPr>
          <w:i/>
          <w:iCs/>
        </w:rPr>
        <w:t xml:space="preserve">J </w:t>
      </w:r>
      <w:proofErr w:type="spellStart"/>
      <w:r w:rsidRPr="009911B7">
        <w:rPr>
          <w:i/>
          <w:iCs/>
        </w:rPr>
        <w:t>Neuromuscul</w:t>
      </w:r>
      <w:proofErr w:type="spellEnd"/>
      <w:r w:rsidRPr="009911B7">
        <w:rPr>
          <w:i/>
          <w:iCs/>
        </w:rPr>
        <w:t xml:space="preserve"> Dis</w:t>
      </w:r>
      <w:r w:rsidRPr="007E7D5B">
        <w:t xml:space="preserve"> 2</w:t>
      </w:r>
      <w:r>
        <w:t>024</w:t>
      </w:r>
      <w:r w:rsidRPr="007E7D5B">
        <w:t>;11(1):167–77</w:t>
      </w:r>
      <w:r>
        <w:t>, doi:</w:t>
      </w:r>
      <w:hyperlink r:id="rId4" w:history="1">
        <w:r>
          <w:rPr>
            <w:rStyle w:val="Hyperlink"/>
          </w:rPr>
          <w:t>10.3233/JND-230164</w:t>
        </w:r>
      </w:hyperlink>
      <w:r>
        <w:rPr>
          <w:lang w:val="en-US"/>
        </w:rPr>
        <w:t>.</w:t>
      </w:r>
    </w:p>
  </w:footnote>
  <w:footnote w:id="13">
    <w:p w14:paraId="66A1C9F6" w14:textId="77777777" w:rsidR="00CA0545" w:rsidRDefault="00CA0545" w:rsidP="00D16BA1">
      <w:pPr>
        <w:pStyle w:val="FootnoteText"/>
      </w:pPr>
      <w:r>
        <w:rPr>
          <w:rStyle w:val="FootnoteReference"/>
        </w:rPr>
        <w:footnoteRef/>
      </w:r>
      <w:r>
        <w:t xml:space="preserve"> </w:t>
      </w:r>
      <w:r w:rsidRPr="00CF5B1E">
        <w:t xml:space="preserve">van der Ploeg AT, </w:t>
      </w:r>
      <w:r>
        <w:t>et al</w:t>
      </w:r>
      <w:r w:rsidRPr="00CF5B1E">
        <w:t xml:space="preserve">. A randomized study of </w:t>
      </w:r>
      <w:proofErr w:type="spellStart"/>
      <w:r w:rsidRPr="00CF5B1E">
        <w:t>alglucosidase</w:t>
      </w:r>
      <w:proofErr w:type="spellEnd"/>
      <w:r w:rsidRPr="00CF5B1E">
        <w:t xml:space="preserve"> alfa in late-onset Pompe's disease. </w:t>
      </w:r>
      <w:r w:rsidRPr="00C57D1E">
        <w:rPr>
          <w:i/>
          <w:iCs/>
        </w:rPr>
        <w:t>N Engl J Med</w:t>
      </w:r>
      <w:r w:rsidRPr="00CF5B1E">
        <w:t xml:space="preserve">. 2010 Apr 15;362(15):1396-406. </w:t>
      </w:r>
      <w:proofErr w:type="spellStart"/>
      <w:r w:rsidRPr="00CF5B1E">
        <w:t>doi</w:t>
      </w:r>
      <w:proofErr w:type="spellEnd"/>
      <w:r w:rsidRPr="00CF5B1E">
        <w:t>: 10.1056/NEJMoa0909859. PMID: 20393176.</w:t>
      </w:r>
    </w:p>
  </w:footnote>
  <w:footnote w:id="14">
    <w:p w14:paraId="3AA21522" w14:textId="6BF77DF2" w:rsidR="00CA0545" w:rsidRDefault="00CA0545">
      <w:pPr>
        <w:pStyle w:val="FootnoteText"/>
      </w:pPr>
      <w:r>
        <w:rPr>
          <w:rStyle w:val="FootnoteReference"/>
        </w:rPr>
        <w:footnoteRef/>
      </w:r>
      <w:r>
        <w:t xml:space="preserve"> </w:t>
      </w:r>
      <w:r w:rsidRPr="00D256DA">
        <w:t>Anderson KE, et al. The choice not to undergo genetic testing for Huntington disease: Results from the PHAROS study. </w:t>
      </w:r>
      <w:r w:rsidRPr="00D256DA">
        <w:rPr>
          <w:i/>
          <w:iCs/>
        </w:rPr>
        <w:t>Clin Genet</w:t>
      </w:r>
      <w:r w:rsidRPr="00D256DA">
        <w:t>. 2019; 96: 28–34.</w:t>
      </w:r>
      <w:r w:rsidRPr="007D46D0">
        <w:t> </w:t>
      </w:r>
      <w:hyperlink r:id="rId5" w:history="1">
        <w:r w:rsidRPr="00C57D1E">
          <w:rPr>
            <w:rStyle w:val="Hyperlink"/>
          </w:rPr>
          <w:t>https://doi.org/10.1111/cge.13529</w:t>
        </w:r>
      </w:hyperlink>
    </w:p>
  </w:footnote>
  <w:footnote w:id="15">
    <w:p w14:paraId="298AF21A" w14:textId="77777777" w:rsidR="00CA0545" w:rsidRDefault="00CA0545" w:rsidP="00E37201">
      <w:pPr>
        <w:pStyle w:val="FootnoteText"/>
      </w:pPr>
      <w:r>
        <w:rPr>
          <w:rStyle w:val="FootnoteReference"/>
        </w:rPr>
        <w:footnoteRef/>
      </w:r>
      <w:r>
        <w:t xml:space="preserve"> </w:t>
      </w:r>
      <w:hyperlink r:id="rId6" w:tgtFrame="_blank" w:tooltip="https://www.health.gov.au/sites/default/files/2024-06/newborn-bloodspot-screening-expansion-readiness-assessment-executive-summary_0.pdf" w:history="1">
        <w:r>
          <w:rPr>
            <w:rStyle w:val="Hyperlink"/>
          </w:rPr>
          <w:t>https://www.health.gov.au/sites/default/files/2024-06/newborn-bloodspot-screening-expansion-readiness-assessment-executive-summary_0.pdf</w:t>
        </w:r>
      </w:hyperlink>
    </w:p>
  </w:footnote>
  <w:footnote w:id="16">
    <w:p w14:paraId="6F900CD2" w14:textId="4FDC0612" w:rsidR="00CA0545" w:rsidRDefault="00CA0545">
      <w:pPr>
        <w:pStyle w:val="FootnoteText"/>
      </w:pPr>
      <w:r>
        <w:rPr>
          <w:rStyle w:val="FootnoteReference"/>
        </w:rPr>
        <w:footnoteRef/>
      </w:r>
      <w:r>
        <w:t xml:space="preserve"> </w:t>
      </w:r>
      <w:r w:rsidRPr="00BA7835">
        <w:t>Note: “index case” is used in this document to mean the first person in a family detected as having the condition (through diagnostic testing after NBS, but not following symptoms or cascade testing)</w:t>
      </w:r>
    </w:p>
  </w:footnote>
  <w:footnote w:id="17">
    <w:p w14:paraId="2235C17C" w14:textId="1B681A04" w:rsidR="00CA0545" w:rsidRDefault="00CA0545">
      <w:pPr>
        <w:pStyle w:val="FootnoteText"/>
      </w:pPr>
      <w:r>
        <w:rPr>
          <w:rStyle w:val="FootnoteReference"/>
        </w:rPr>
        <w:footnoteRef/>
      </w:r>
      <w:r>
        <w:t xml:space="preserve"> Note: “proband” is used in this document to mean an affected individual (i.e. a person who has signs and/or symptoms consistent with the disease phenotype) who has received a confirmatory (genetic, and/or other accepted diagnostic test) diagnosis.</w:t>
      </w:r>
    </w:p>
  </w:footnote>
  <w:footnote w:id="18">
    <w:p w14:paraId="6569BB9E" w14:textId="681E56D0" w:rsidR="00CA0545" w:rsidRDefault="00CA0545">
      <w:pPr>
        <w:pStyle w:val="FootnoteText"/>
      </w:pPr>
      <w:r>
        <w:rPr>
          <w:rStyle w:val="FootnoteReference"/>
        </w:rPr>
        <w:footnoteRef/>
      </w:r>
      <w:r>
        <w:t xml:space="preserve"> </w:t>
      </w:r>
      <w:r w:rsidRPr="00C63184">
        <w:t xml:space="preserve">Park KS. Carrier frequency and predicted genetic prevalence of Pompe disease based on a general population database. </w:t>
      </w:r>
      <w:r w:rsidRPr="00294FA3">
        <w:rPr>
          <w:i/>
          <w:iCs/>
        </w:rPr>
        <w:t xml:space="preserve">Mol Genet </w:t>
      </w:r>
      <w:proofErr w:type="spellStart"/>
      <w:r w:rsidRPr="00294FA3">
        <w:rPr>
          <w:i/>
          <w:iCs/>
        </w:rPr>
        <w:t>Metab</w:t>
      </w:r>
      <w:proofErr w:type="spellEnd"/>
      <w:r w:rsidRPr="00294FA3">
        <w:rPr>
          <w:i/>
          <w:iCs/>
        </w:rPr>
        <w:t xml:space="preserve"> Rep</w:t>
      </w:r>
      <w:r w:rsidRPr="00C63184">
        <w:t xml:space="preserve">. </w:t>
      </w:r>
      <w:proofErr w:type="gramStart"/>
      <w:r w:rsidRPr="00C63184">
        <w:t>2021;27:100734</w:t>
      </w:r>
      <w:proofErr w:type="gramEnd"/>
      <w:r w:rsidRPr="00C63184">
        <w:t>.</w:t>
      </w:r>
    </w:p>
  </w:footnote>
  <w:footnote w:id="19">
    <w:p w14:paraId="339CB000" w14:textId="0984C379" w:rsidR="00CA0545" w:rsidRDefault="00CA0545">
      <w:pPr>
        <w:pStyle w:val="FootnoteText"/>
      </w:pPr>
      <w:r>
        <w:rPr>
          <w:rStyle w:val="FootnoteReference"/>
        </w:rPr>
        <w:footnoteRef/>
      </w:r>
      <w:r>
        <w:t xml:space="preserve"> </w:t>
      </w:r>
      <w:r w:rsidRPr="00EC496B">
        <w:t>Kemper AR, et al. Evidence Report: Newborn Screening for Pompe Disease. USA: Duke University; 2013.</w:t>
      </w:r>
    </w:p>
  </w:footnote>
  <w:footnote w:id="20">
    <w:p w14:paraId="73FA8FEC" w14:textId="4A92BC4B" w:rsidR="00CA0545" w:rsidRDefault="00CA0545" w:rsidP="00E13E7B">
      <w:pPr>
        <w:pStyle w:val="FootnoteText"/>
      </w:pPr>
      <w:r>
        <w:rPr>
          <w:rStyle w:val="FootnoteReference"/>
        </w:rPr>
        <w:footnoteRef/>
      </w:r>
      <w:r>
        <w:t xml:space="preserve"> </w:t>
      </w:r>
      <w:proofErr w:type="spellStart"/>
      <w:r>
        <w:t>Myozyme</w:t>
      </w:r>
      <w:proofErr w:type="spellEnd"/>
      <w:r>
        <w:t xml:space="preserve"> Product Information:  </w:t>
      </w:r>
      <w:r w:rsidRPr="007476D0">
        <w:t>https://www.ebs.tga.gov.au/ebs/picmi/picmirepository.nsf/pdf?OpenAgent=&amp;id=CP-2010-PI-07179-3&amp;d=20241108172310101</w:t>
      </w:r>
    </w:p>
  </w:footnote>
  <w:footnote w:id="21">
    <w:p w14:paraId="1FE99C10" w14:textId="23D7641C" w:rsidR="00CA0545" w:rsidRDefault="00CA0545" w:rsidP="00E13E7B">
      <w:pPr>
        <w:pStyle w:val="FootnoteText"/>
      </w:pPr>
      <w:r>
        <w:rPr>
          <w:rStyle w:val="FootnoteReference"/>
        </w:rPr>
        <w:footnoteRef/>
      </w:r>
      <w:r>
        <w:t xml:space="preserve"> </w:t>
      </w:r>
      <w:proofErr w:type="spellStart"/>
      <w:r>
        <w:t>Nexviazyme</w:t>
      </w:r>
      <w:proofErr w:type="spellEnd"/>
      <w:r>
        <w:t xml:space="preserve"> Product Information: </w:t>
      </w:r>
      <w:r w:rsidRPr="007476D0">
        <w:t>https://www.ebs.tga.gov.au/ebs/picmi/picmirepository.nsf/pdf?OpenAgent=&amp;id=CP-2021-PI-02382-1</w:t>
      </w:r>
    </w:p>
  </w:footnote>
  <w:footnote w:id="22">
    <w:p w14:paraId="13031480" w14:textId="2CAAF8E5" w:rsidR="00CA0545" w:rsidRDefault="00CA0545">
      <w:pPr>
        <w:pStyle w:val="FootnoteText"/>
      </w:pPr>
      <w:r>
        <w:rPr>
          <w:rStyle w:val="FootnoteReference"/>
        </w:rPr>
        <w:footnoteRef/>
      </w:r>
      <w:r>
        <w:t xml:space="preserve"> ABS. Births, Australia Canberra, Australia: Australian Bureau of Statistics; 2022 [Available from: </w:t>
      </w:r>
      <w:r w:rsidRPr="007476D0">
        <w:t>https://www.abs.gov.au/statistics/people/population/births-australia/latest-release</w:t>
      </w:r>
      <w:r>
        <w:t>.</w:t>
      </w:r>
    </w:p>
  </w:footnote>
  <w:footnote w:id="23">
    <w:p w14:paraId="3856DAEC" w14:textId="7FC753B6" w:rsidR="00CA0545" w:rsidRDefault="00CA0545">
      <w:pPr>
        <w:pStyle w:val="FootnoteText"/>
      </w:pPr>
      <w:r>
        <w:rPr>
          <w:rStyle w:val="FootnoteReference"/>
        </w:rPr>
        <w:footnoteRef/>
      </w:r>
      <w:r>
        <w:t xml:space="preserve"> </w:t>
      </w:r>
      <w:r w:rsidRPr="007B441D">
        <w:t>Chien YH,</w:t>
      </w:r>
      <w:r>
        <w:t xml:space="preserve"> </w:t>
      </w:r>
      <w:r w:rsidRPr="007B441D">
        <w:t xml:space="preserve">et al. Long-term prognosis of patients with infantile-onset Pompe disease diagnosed by newborn screening and treated since birth. </w:t>
      </w:r>
      <w:r w:rsidRPr="00294FA3">
        <w:rPr>
          <w:i/>
          <w:iCs/>
        </w:rPr>
        <w:t xml:space="preserve">J </w:t>
      </w:r>
      <w:proofErr w:type="spellStart"/>
      <w:r w:rsidRPr="00294FA3">
        <w:rPr>
          <w:i/>
          <w:iCs/>
        </w:rPr>
        <w:t>Pediatr</w:t>
      </w:r>
      <w:proofErr w:type="spellEnd"/>
      <w:r w:rsidRPr="007B441D">
        <w:t>. 2015;166(4):985-</w:t>
      </w:r>
      <w:proofErr w:type="gramStart"/>
      <w:r w:rsidRPr="007B441D">
        <w:t>91.e</w:t>
      </w:r>
      <w:proofErr w:type="gramEnd"/>
      <w:r w:rsidRPr="007B441D">
        <w:t>1-2.</w:t>
      </w:r>
    </w:p>
  </w:footnote>
  <w:footnote w:id="24">
    <w:p w14:paraId="33CBF3DF" w14:textId="612FB6D6" w:rsidR="00CA0545" w:rsidRDefault="00CA0545">
      <w:pPr>
        <w:pStyle w:val="FootnoteText"/>
      </w:pPr>
      <w:r>
        <w:rPr>
          <w:rStyle w:val="FootnoteReference"/>
        </w:rPr>
        <w:footnoteRef/>
      </w:r>
      <w:r>
        <w:t xml:space="preserve"> T</w:t>
      </w:r>
      <w:r w:rsidRPr="00EC496B">
        <w:t xml:space="preserve">ang H, </w:t>
      </w:r>
      <w:r>
        <w:t>et al</w:t>
      </w:r>
      <w:r w:rsidRPr="00EC496B">
        <w:t>. The First Year Experience of Newborn Screening for Pompe Disease in California</w:t>
      </w:r>
      <w:r w:rsidRPr="00294FA3">
        <w:rPr>
          <w:i/>
          <w:iCs/>
        </w:rPr>
        <w:t>. Int J Neonatal Screen</w:t>
      </w:r>
      <w:r w:rsidRPr="00EC496B">
        <w:t>. 2020;6(1).</w:t>
      </w:r>
    </w:p>
  </w:footnote>
  <w:footnote w:id="25">
    <w:p w14:paraId="73280EF6" w14:textId="0FD4F3BC" w:rsidR="00CA0545" w:rsidRDefault="00CA0545">
      <w:pPr>
        <w:pStyle w:val="FootnoteText"/>
      </w:pPr>
      <w:r>
        <w:rPr>
          <w:rStyle w:val="FootnoteReference"/>
        </w:rPr>
        <w:footnoteRef/>
      </w:r>
      <w:r>
        <w:t xml:space="preserve"> </w:t>
      </w:r>
      <w:r w:rsidR="00E025B8" w:rsidRPr="00E025B8">
        <w:rPr>
          <w:b/>
          <w:bCs/>
        </w:rPr>
        <w:t>REDACTED</w:t>
      </w:r>
      <w:r>
        <w:rPr>
          <w:rFonts w:cstheme="minorHAnsi"/>
        </w:rPr>
        <w:t xml:space="preserve"> </w:t>
      </w:r>
    </w:p>
  </w:footnote>
  <w:footnote w:id="26">
    <w:p w14:paraId="7E28C151" w14:textId="09EF03A0" w:rsidR="00541CD2" w:rsidRDefault="00541CD2" w:rsidP="00541CD2">
      <w:pPr>
        <w:pStyle w:val="FootnoteText"/>
      </w:pPr>
      <w:r>
        <w:rPr>
          <w:rStyle w:val="FootnoteReference"/>
        </w:rPr>
        <w:footnoteRef/>
      </w:r>
      <w:r>
        <w:t xml:space="preserve"> Figures are approximate and have been rounded down in cases where the associated fractions are &lt;=0.5 and rounded up where the fractions are &gt;0.5.</w:t>
      </w:r>
    </w:p>
  </w:footnote>
  <w:footnote w:id="27">
    <w:p w14:paraId="2BF7CA6A" w14:textId="4A2C06C1" w:rsidR="00CA0545" w:rsidRDefault="00CA0545">
      <w:pPr>
        <w:pStyle w:val="FootnoteText"/>
      </w:pPr>
      <w:r>
        <w:rPr>
          <w:rStyle w:val="FootnoteReference"/>
        </w:rPr>
        <w:footnoteRef/>
      </w:r>
      <w:r>
        <w:t xml:space="preserve"> </w:t>
      </w:r>
      <w:proofErr w:type="spellStart"/>
      <w:r w:rsidRPr="006C29AF">
        <w:t>Ausems</w:t>
      </w:r>
      <w:proofErr w:type="spellEnd"/>
      <w:r w:rsidRPr="006C29AF">
        <w:t xml:space="preserve"> MG, </w:t>
      </w:r>
      <w:r>
        <w:t>et al</w:t>
      </w:r>
      <w:r w:rsidRPr="006C29AF">
        <w:t xml:space="preserve">. Phenotypic expression of late-onset glycogen storage disease type II: identification of asymptomatic adults through family studies and review of reported families. </w:t>
      </w:r>
      <w:proofErr w:type="spellStart"/>
      <w:r w:rsidRPr="00836764">
        <w:rPr>
          <w:i/>
          <w:iCs/>
        </w:rPr>
        <w:t>Neuromuscul</w:t>
      </w:r>
      <w:proofErr w:type="spellEnd"/>
      <w:r w:rsidRPr="00836764">
        <w:rPr>
          <w:i/>
          <w:iCs/>
        </w:rPr>
        <w:t xml:space="preserve"> </w:t>
      </w:r>
      <w:proofErr w:type="spellStart"/>
      <w:r w:rsidRPr="00836764">
        <w:rPr>
          <w:i/>
          <w:iCs/>
        </w:rPr>
        <w:t>Disord</w:t>
      </w:r>
      <w:proofErr w:type="spellEnd"/>
      <w:r w:rsidRPr="006C29AF">
        <w:t>. 2000;10(7):467-71.</w:t>
      </w:r>
    </w:p>
  </w:footnote>
  <w:footnote w:id="28">
    <w:p w14:paraId="66ABC853" w14:textId="4B1CBBEF" w:rsidR="00CA0545" w:rsidRDefault="00CA0545">
      <w:pPr>
        <w:pStyle w:val="FootnoteText"/>
      </w:pPr>
      <w:r>
        <w:rPr>
          <w:rStyle w:val="FootnoteReference"/>
        </w:rPr>
        <w:footnoteRef/>
      </w:r>
      <w:r>
        <w:t xml:space="preserve"> </w:t>
      </w:r>
      <w:r w:rsidRPr="005D7AEB">
        <w:t xml:space="preserve">Chien, Y-H, </w:t>
      </w:r>
      <w:r>
        <w:t>et al</w:t>
      </w:r>
      <w:r w:rsidRPr="005D7AEB">
        <w:t xml:space="preserve"> 2019, 'Newborn screening: Taiwanese experience', </w:t>
      </w:r>
      <w:r w:rsidRPr="005D7AEB">
        <w:rPr>
          <w:i/>
          <w:iCs/>
        </w:rPr>
        <w:t>Annals of Translational Medicine</w:t>
      </w:r>
      <w:r w:rsidRPr="005D7AEB">
        <w:t>, vol. 7, no. 13, p. 281.</w:t>
      </w:r>
    </w:p>
  </w:footnote>
  <w:footnote w:id="29">
    <w:p w14:paraId="2CB9DB89" w14:textId="580B0ECB" w:rsidR="00CA0545" w:rsidRDefault="00CA0545">
      <w:pPr>
        <w:pStyle w:val="FootnoteText"/>
      </w:pPr>
      <w:r>
        <w:rPr>
          <w:rStyle w:val="FootnoteReference"/>
        </w:rPr>
        <w:footnoteRef/>
      </w:r>
      <w:r>
        <w:t xml:space="preserve"> </w:t>
      </w:r>
      <w:r w:rsidRPr="005D7AEB">
        <w:t xml:space="preserve">ABS 2023, 'Life expectancy, Table 1.9 Life Tables, Australia, 2020-2022', in ABS (ed.), </w:t>
      </w:r>
      <w:r w:rsidRPr="005D7AEB">
        <w:rPr>
          <w:i/>
          <w:iCs/>
        </w:rPr>
        <w:t>Births, Australia</w:t>
      </w:r>
      <w:r w:rsidRPr="005D7AEB">
        <w:t>, Australian Bureau of Statistics, Canberra, ACT, viewed 21 May 2024, &lt;https://www.abs.gov.au/statistics/people/population/life-expectancy/latest-release#cite-window1&gt;.</w:t>
      </w:r>
    </w:p>
  </w:footnote>
  <w:footnote w:id="30">
    <w:p w14:paraId="69489452" w14:textId="77777777" w:rsidR="00CA0545" w:rsidRDefault="00CA0545">
      <w:pPr>
        <w:pStyle w:val="FootnoteText"/>
      </w:pPr>
      <w:r>
        <w:rPr>
          <w:rStyle w:val="FootnoteReference"/>
        </w:rPr>
        <w:footnoteRef/>
      </w:r>
      <w:r>
        <w:t xml:space="preserve"> </w:t>
      </w:r>
      <w:proofErr w:type="spellStart"/>
      <w:r w:rsidRPr="00275705">
        <w:t>HealthConsult</w:t>
      </w:r>
      <w:proofErr w:type="spellEnd"/>
      <w:r w:rsidRPr="00275705">
        <w:t xml:space="preserve"> 2020, </w:t>
      </w:r>
      <w:r w:rsidRPr="00275705">
        <w:rPr>
          <w:i/>
          <w:iCs/>
        </w:rPr>
        <w:t>Review of Life Savings Drugs Program medicines</w:t>
      </w:r>
      <w:r w:rsidRPr="00275705">
        <w:t>, Federal Department of Health.</w:t>
      </w:r>
    </w:p>
  </w:footnote>
  <w:footnote w:id="31">
    <w:p w14:paraId="17A8C9EA" w14:textId="5AEEF1CE" w:rsidR="00CA0545" w:rsidRDefault="00CA0545">
      <w:pPr>
        <w:pStyle w:val="FootnoteText"/>
      </w:pPr>
      <w:r>
        <w:rPr>
          <w:rStyle w:val="FootnoteReference"/>
        </w:rPr>
        <w:footnoteRef/>
      </w:r>
      <w:r>
        <w:t xml:space="preserve"> </w:t>
      </w:r>
      <w:r w:rsidRPr="00187558">
        <w:t xml:space="preserve">Richardson, JS, </w:t>
      </w:r>
      <w:r>
        <w:t>et al</w:t>
      </w:r>
      <w:r w:rsidRPr="00187558">
        <w:t xml:space="preserve"> 2021, 'Health and economic outcomes of newborn screening for infantile-onset Pompe disease', </w:t>
      </w:r>
      <w:r w:rsidRPr="00187558">
        <w:rPr>
          <w:i/>
        </w:rPr>
        <w:t>Genet Med</w:t>
      </w:r>
      <w:r w:rsidRPr="00187558">
        <w:t>, vol. 23, no. 4, Apr, pp. 758-766.</w:t>
      </w:r>
    </w:p>
  </w:footnote>
  <w:footnote w:id="32">
    <w:p w14:paraId="16961907" w14:textId="1BBF466D" w:rsidR="00CA0545" w:rsidRDefault="00CA0545">
      <w:pPr>
        <w:pStyle w:val="FootnoteText"/>
      </w:pPr>
      <w:r>
        <w:rPr>
          <w:rStyle w:val="FootnoteReference"/>
        </w:rPr>
        <w:footnoteRef/>
      </w:r>
      <w:r>
        <w:t xml:space="preserve"> </w:t>
      </w:r>
      <w:r w:rsidRPr="00187558">
        <w:t xml:space="preserve">Chen, </w:t>
      </w:r>
      <w:proofErr w:type="gramStart"/>
      <w:r w:rsidRPr="00187558">
        <w:t>G</w:t>
      </w:r>
      <w:r>
        <w:t>et</w:t>
      </w:r>
      <w:proofErr w:type="gramEnd"/>
      <w:r>
        <w:t xml:space="preserve"> al</w:t>
      </w:r>
      <w:r w:rsidRPr="00187558">
        <w:t xml:space="preserve"> 2015, 'Assessing the Health-Related Quality of Life of Australian Adolescents: An Empirical Comparison of the Child Health Utility 9D and EQ-5D-Y Instruments', </w:t>
      </w:r>
      <w:r w:rsidRPr="00187558">
        <w:rPr>
          <w:i/>
        </w:rPr>
        <w:t>Value in Health</w:t>
      </w:r>
      <w:r w:rsidRPr="00187558">
        <w:t>, vol. 18, no. 4, 2015/06/01/, pp. 432-438</w:t>
      </w:r>
    </w:p>
  </w:footnote>
  <w:footnote w:id="33">
    <w:p w14:paraId="254BE68C" w14:textId="13FD8E3B" w:rsidR="00CA0545" w:rsidRDefault="00CA0545">
      <w:pPr>
        <w:pStyle w:val="FootnoteText"/>
      </w:pPr>
      <w:r>
        <w:rPr>
          <w:rStyle w:val="FootnoteReference"/>
        </w:rPr>
        <w:footnoteRef/>
      </w:r>
      <w:r>
        <w:t xml:space="preserve"> </w:t>
      </w:r>
      <w:r w:rsidRPr="00187558">
        <w:t xml:space="preserve">McCaffrey, N, </w:t>
      </w:r>
      <w:r>
        <w:t>et al</w:t>
      </w:r>
      <w:r w:rsidRPr="00187558">
        <w:t xml:space="preserve"> 2016, 'Health-related quality of life measured using the EQ-5D–5L: South Australian population norms', </w:t>
      </w:r>
      <w:r w:rsidRPr="00187558">
        <w:rPr>
          <w:i/>
        </w:rPr>
        <w:t>Health and Quality of Life Outcomes</w:t>
      </w:r>
      <w:r w:rsidRPr="00187558">
        <w:t>, vol. 14, no. 1, 2016/09/20, p. 133.</w:t>
      </w:r>
    </w:p>
  </w:footnote>
  <w:footnote w:id="34">
    <w:p w14:paraId="4A3387CE" w14:textId="77777777" w:rsidR="00CA0545" w:rsidRDefault="00CA0545" w:rsidP="00ED5CB7">
      <w:pPr>
        <w:pStyle w:val="FootnoteText"/>
        <w:spacing w:before="0"/>
      </w:pPr>
      <w:r>
        <w:rPr>
          <w:rStyle w:val="FootnoteReference"/>
        </w:rPr>
        <w:footnoteRef/>
      </w:r>
      <w:r>
        <w:t xml:space="preserve"> Newborn Bloodspot Screening National Policy Framework (NBS NPF), Department of Health, 2018. Available at: </w:t>
      </w:r>
      <w:hyperlink r:id="rId7" w:history="1">
        <w:r w:rsidRPr="0008045B">
          <w:rPr>
            <w:rStyle w:val="Hyperlink"/>
          </w:rPr>
          <w:t>https://www.health.gov.au/resources/publications/newborn-bloodspot-screening-national-policyframework?language=en</w:t>
        </w:r>
      </w:hyperlink>
    </w:p>
  </w:footnote>
  <w:footnote w:id="35">
    <w:p w14:paraId="35EDBDE8" w14:textId="77777777" w:rsidR="00CA0545" w:rsidRDefault="00CA0545" w:rsidP="00ED5CB7">
      <w:pPr>
        <w:pStyle w:val="FootnoteText"/>
        <w:spacing w:before="0"/>
      </w:pPr>
      <w:r>
        <w:rPr>
          <w:rStyle w:val="FootnoteReference"/>
        </w:rPr>
        <w:footnoteRef/>
      </w:r>
      <w:r>
        <w:t xml:space="preserve"> </w:t>
      </w:r>
      <w:hyperlink r:id="rId8" w:history="1">
        <w:r w:rsidRPr="004867E2">
          <w:rPr>
            <w:rStyle w:val="Hyperlink"/>
          </w:rPr>
          <w:t>https://www.msac.gov.au/applications/1774</w:t>
        </w:r>
      </w:hyperlink>
    </w:p>
  </w:footnote>
  <w:footnote w:id="36">
    <w:p w14:paraId="7C9B3F79" w14:textId="77777777" w:rsidR="00CA0545" w:rsidRDefault="00CA0545" w:rsidP="00ED5CB7">
      <w:pPr>
        <w:pStyle w:val="FootnoteText"/>
        <w:spacing w:before="0"/>
      </w:pPr>
      <w:r>
        <w:rPr>
          <w:rStyle w:val="FootnoteReference"/>
        </w:rPr>
        <w:footnoteRef/>
      </w:r>
      <w:r>
        <w:t xml:space="preserve"> </w:t>
      </w:r>
      <w:hyperlink r:id="rId9" w:history="1">
        <w:r w:rsidRPr="004867E2">
          <w:rPr>
            <w:rStyle w:val="Hyperlink"/>
          </w:rPr>
          <w:t>https://www.msac.gov.au/applications/1775</w:t>
        </w:r>
      </w:hyperlink>
    </w:p>
  </w:footnote>
  <w:footnote w:id="37">
    <w:p w14:paraId="0A54165F" w14:textId="0FC85115" w:rsidR="00CA0545" w:rsidRDefault="00CA0545" w:rsidP="00ED5CB7">
      <w:pPr>
        <w:pStyle w:val="FootnoteText"/>
        <w:spacing w:before="0"/>
      </w:pPr>
      <w:r>
        <w:rPr>
          <w:rStyle w:val="FootnoteReference"/>
        </w:rPr>
        <w:footnoteRef/>
      </w:r>
      <w:r>
        <w:t xml:space="preserve"> </w:t>
      </w:r>
      <w:hyperlink r:id="rId10" w:history="1">
        <w:r w:rsidRPr="004867E2">
          <w:rPr>
            <w:rStyle w:val="Hyperlink"/>
          </w:rPr>
          <w:t>https://www.msac.gov.au/applications/1776</w:t>
        </w:r>
      </w:hyperlink>
    </w:p>
  </w:footnote>
  <w:footnote w:id="38">
    <w:p w14:paraId="56EAE299" w14:textId="77777777" w:rsidR="00CA0545" w:rsidRDefault="00CA0545" w:rsidP="00ED5CB7">
      <w:pPr>
        <w:pStyle w:val="FootnoteText"/>
      </w:pPr>
      <w:r>
        <w:rPr>
          <w:rStyle w:val="FootnoteReference"/>
        </w:rPr>
        <w:footnoteRef/>
      </w:r>
      <w:r>
        <w:t xml:space="preserve"> </w:t>
      </w:r>
      <w:r w:rsidRPr="0044706B">
        <w:t xml:space="preserve">Chin S, Fuller M. Prevalence of lysosomal storage disorders in Australia from 2009 to 2020. </w:t>
      </w:r>
      <w:r w:rsidRPr="00C3343D">
        <w:rPr>
          <w:i/>
        </w:rPr>
        <w:t>Lancet Reg Health West Pac</w:t>
      </w:r>
      <w:r w:rsidRPr="0044706B">
        <w:t xml:space="preserve">. </w:t>
      </w:r>
      <w:proofErr w:type="gramStart"/>
      <w:r w:rsidRPr="0044706B">
        <w:t>2022;19:100344.</w:t>
      </w:r>
      <w:r w:rsidRPr="008B47C4">
        <w:t>.</w:t>
      </w:r>
      <w:proofErr w:type="gramEnd"/>
    </w:p>
  </w:footnote>
  <w:footnote w:id="39">
    <w:p w14:paraId="0CF15224" w14:textId="77777777" w:rsidR="00CA0545" w:rsidRDefault="00CA0545" w:rsidP="00ED5CB7">
      <w:pPr>
        <w:pStyle w:val="FootnoteText"/>
      </w:pPr>
      <w:r>
        <w:rPr>
          <w:rStyle w:val="FootnoteReference"/>
        </w:rPr>
        <w:footnoteRef/>
      </w:r>
      <w:r>
        <w:t xml:space="preserve"> </w:t>
      </w:r>
      <w:r w:rsidRPr="00664DAC">
        <w:t>https://www.health.gov.au/resources/publications/avalglucosidase-alfa-terms-of-reference-and-protocol-questions?language=en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FEB8" w14:textId="62DE67A0" w:rsidR="00CA0545" w:rsidRDefault="00CA0545">
    <w:pPr>
      <w:pStyle w:val="Header"/>
    </w:pPr>
  </w:p>
  <w:p w14:paraId="355A4161" w14:textId="77777777" w:rsidR="00CA0545" w:rsidRDefault="00CA05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5740" w14:textId="77777777" w:rsidR="00CA0545" w:rsidRDefault="00CA05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B1CD" w14:textId="77777777" w:rsidR="00CA0545" w:rsidRDefault="00CA0545">
    <w:pPr>
      <w:pStyle w:val="Header"/>
    </w:pPr>
  </w:p>
  <w:p w14:paraId="6FD99738" w14:textId="77777777" w:rsidR="00CA0545" w:rsidRDefault="00CA054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19D8" w14:textId="77777777" w:rsidR="00CA0545" w:rsidRDefault="00CA05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5906" w14:textId="77777777" w:rsidR="00CA0545" w:rsidRPr="00E606A1" w:rsidRDefault="00CA05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EAFA" w14:textId="77777777" w:rsidR="00CA0545" w:rsidRDefault="00CA0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0229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971CA"/>
    <w:multiLevelType w:val="hybridMultilevel"/>
    <w:tmpl w:val="AFD04A60"/>
    <w:lvl w:ilvl="0" w:tplc="D69226E4">
      <w:start w:val="1"/>
      <w:numFmt w:val="bullet"/>
      <w:pStyle w:val="BoxDash"/>
      <w:lvlText w:val="o"/>
      <w:lvlJc w:val="left"/>
      <w:pPr>
        <w:ind w:left="36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A1460"/>
    <w:multiLevelType w:val="hybridMultilevel"/>
    <w:tmpl w:val="BB86A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9465E9"/>
    <w:multiLevelType w:val="hybridMultilevel"/>
    <w:tmpl w:val="ADE6D18E"/>
    <w:lvl w:ilvl="0" w:tplc="C1BA78B0">
      <w:start w:val="1"/>
      <w:numFmt w:val="bullet"/>
      <w:lvlText w:val=""/>
      <w:lvlJc w:val="left"/>
      <w:pPr>
        <w:tabs>
          <w:tab w:val="num" w:pos="720"/>
        </w:tabs>
        <w:ind w:left="720" w:hanging="360"/>
      </w:pPr>
      <w:rPr>
        <w:rFonts w:ascii="Wingdings" w:hAnsi="Wingdings" w:hint="default"/>
      </w:rPr>
    </w:lvl>
    <w:lvl w:ilvl="1" w:tplc="8BEEBFE2" w:tentative="1">
      <w:start w:val="1"/>
      <w:numFmt w:val="bullet"/>
      <w:lvlText w:val=""/>
      <w:lvlJc w:val="left"/>
      <w:pPr>
        <w:tabs>
          <w:tab w:val="num" w:pos="1440"/>
        </w:tabs>
        <w:ind w:left="1440" w:hanging="360"/>
      </w:pPr>
      <w:rPr>
        <w:rFonts w:ascii="Wingdings" w:hAnsi="Wingdings" w:hint="default"/>
      </w:rPr>
    </w:lvl>
    <w:lvl w:ilvl="2" w:tplc="F8686CD2" w:tentative="1">
      <w:start w:val="1"/>
      <w:numFmt w:val="bullet"/>
      <w:lvlText w:val=""/>
      <w:lvlJc w:val="left"/>
      <w:pPr>
        <w:tabs>
          <w:tab w:val="num" w:pos="2160"/>
        </w:tabs>
        <w:ind w:left="2160" w:hanging="360"/>
      </w:pPr>
      <w:rPr>
        <w:rFonts w:ascii="Wingdings" w:hAnsi="Wingdings" w:hint="default"/>
      </w:rPr>
    </w:lvl>
    <w:lvl w:ilvl="3" w:tplc="38C89854" w:tentative="1">
      <w:start w:val="1"/>
      <w:numFmt w:val="bullet"/>
      <w:lvlText w:val=""/>
      <w:lvlJc w:val="left"/>
      <w:pPr>
        <w:tabs>
          <w:tab w:val="num" w:pos="2880"/>
        </w:tabs>
        <w:ind w:left="2880" w:hanging="360"/>
      </w:pPr>
      <w:rPr>
        <w:rFonts w:ascii="Wingdings" w:hAnsi="Wingdings" w:hint="default"/>
      </w:rPr>
    </w:lvl>
    <w:lvl w:ilvl="4" w:tplc="5782A174" w:tentative="1">
      <w:start w:val="1"/>
      <w:numFmt w:val="bullet"/>
      <w:lvlText w:val=""/>
      <w:lvlJc w:val="left"/>
      <w:pPr>
        <w:tabs>
          <w:tab w:val="num" w:pos="3600"/>
        </w:tabs>
        <w:ind w:left="3600" w:hanging="360"/>
      </w:pPr>
      <w:rPr>
        <w:rFonts w:ascii="Wingdings" w:hAnsi="Wingdings" w:hint="default"/>
      </w:rPr>
    </w:lvl>
    <w:lvl w:ilvl="5" w:tplc="6C82402A" w:tentative="1">
      <w:start w:val="1"/>
      <w:numFmt w:val="bullet"/>
      <w:lvlText w:val=""/>
      <w:lvlJc w:val="left"/>
      <w:pPr>
        <w:tabs>
          <w:tab w:val="num" w:pos="4320"/>
        </w:tabs>
        <w:ind w:left="4320" w:hanging="360"/>
      </w:pPr>
      <w:rPr>
        <w:rFonts w:ascii="Wingdings" w:hAnsi="Wingdings" w:hint="default"/>
      </w:rPr>
    </w:lvl>
    <w:lvl w:ilvl="6" w:tplc="DEA2B0F2" w:tentative="1">
      <w:start w:val="1"/>
      <w:numFmt w:val="bullet"/>
      <w:lvlText w:val=""/>
      <w:lvlJc w:val="left"/>
      <w:pPr>
        <w:tabs>
          <w:tab w:val="num" w:pos="5040"/>
        </w:tabs>
        <w:ind w:left="5040" w:hanging="360"/>
      </w:pPr>
      <w:rPr>
        <w:rFonts w:ascii="Wingdings" w:hAnsi="Wingdings" w:hint="default"/>
      </w:rPr>
    </w:lvl>
    <w:lvl w:ilvl="7" w:tplc="AC4ED7F0" w:tentative="1">
      <w:start w:val="1"/>
      <w:numFmt w:val="bullet"/>
      <w:lvlText w:val=""/>
      <w:lvlJc w:val="left"/>
      <w:pPr>
        <w:tabs>
          <w:tab w:val="num" w:pos="5760"/>
        </w:tabs>
        <w:ind w:left="5760" w:hanging="360"/>
      </w:pPr>
      <w:rPr>
        <w:rFonts w:ascii="Wingdings" w:hAnsi="Wingdings" w:hint="default"/>
      </w:rPr>
    </w:lvl>
    <w:lvl w:ilvl="8" w:tplc="B3A2EB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9579E"/>
    <w:multiLevelType w:val="hybridMultilevel"/>
    <w:tmpl w:val="4802FE72"/>
    <w:lvl w:ilvl="0" w:tplc="1830597E">
      <w:start w:val="1"/>
      <w:numFmt w:val="decimal"/>
      <w:lvlText w:val="%1."/>
      <w:lvlJc w:val="left"/>
      <w:pPr>
        <w:ind w:left="720" w:hanging="360"/>
      </w:pPr>
    </w:lvl>
    <w:lvl w:ilvl="1" w:tplc="A4AE2436">
      <w:start w:val="1"/>
      <w:numFmt w:val="lowerLetter"/>
      <w:lvlText w:val="%2."/>
      <w:lvlJc w:val="left"/>
      <w:pPr>
        <w:ind w:left="1440" w:hanging="360"/>
      </w:pPr>
    </w:lvl>
    <w:lvl w:ilvl="2" w:tplc="A3907280">
      <w:start w:val="1"/>
      <w:numFmt w:val="lowerRoman"/>
      <w:lvlText w:val="%3."/>
      <w:lvlJc w:val="right"/>
      <w:pPr>
        <w:ind w:left="2160" w:hanging="180"/>
      </w:pPr>
    </w:lvl>
    <w:lvl w:ilvl="3" w:tplc="088C67C0">
      <w:start w:val="1"/>
      <w:numFmt w:val="decimal"/>
      <w:lvlText w:val="%4."/>
      <w:lvlJc w:val="left"/>
      <w:pPr>
        <w:ind w:left="2880" w:hanging="360"/>
      </w:pPr>
    </w:lvl>
    <w:lvl w:ilvl="4" w:tplc="C75EE62C">
      <w:start w:val="1"/>
      <w:numFmt w:val="lowerLetter"/>
      <w:lvlText w:val="%5."/>
      <w:lvlJc w:val="left"/>
      <w:pPr>
        <w:ind w:left="3600" w:hanging="360"/>
      </w:pPr>
    </w:lvl>
    <w:lvl w:ilvl="5" w:tplc="E394528E">
      <w:start w:val="1"/>
      <w:numFmt w:val="lowerRoman"/>
      <w:lvlText w:val="%6."/>
      <w:lvlJc w:val="right"/>
      <w:pPr>
        <w:ind w:left="4320" w:hanging="180"/>
      </w:pPr>
    </w:lvl>
    <w:lvl w:ilvl="6" w:tplc="766C81BE">
      <w:start w:val="1"/>
      <w:numFmt w:val="decimal"/>
      <w:lvlText w:val="%7."/>
      <w:lvlJc w:val="left"/>
      <w:pPr>
        <w:ind w:left="5040" w:hanging="360"/>
      </w:pPr>
    </w:lvl>
    <w:lvl w:ilvl="7" w:tplc="F03A9C4C">
      <w:start w:val="1"/>
      <w:numFmt w:val="lowerLetter"/>
      <w:lvlText w:val="%8."/>
      <w:lvlJc w:val="left"/>
      <w:pPr>
        <w:ind w:left="5760" w:hanging="360"/>
      </w:pPr>
    </w:lvl>
    <w:lvl w:ilvl="8" w:tplc="A1024A8A">
      <w:start w:val="1"/>
      <w:numFmt w:val="lowerRoman"/>
      <w:lvlText w:val="%9."/>
      <w:lvlJc w:val="right"/>
      <w:pPr>
        <w:ind w:left="6480" w:hanging="180"/>
      </w:pPr>
    </w:lvl>
  </w:abstractNum>
  <w:abstractNum w:abstractNumId="5" w15:restartNumberingAfterBreak="0">
    <w:nsid w:val="0FFF556F"/>
    <w:multiLevelType w:val="hybridMultilevel"/>
    <w:tmpl w:val="6BC035C4"/>
    <w:lvl w:ilvl="0" w:tplc="FB942214">
      <w:start w:val="1"/>
      <w:numFmt w:val="bullet"/>
      <w:pStyle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411CE6"/>
    <w:multiLevelType w:val="hybridMultilevel"/>
    <w:tmpl w:val="A61C0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7762D"/>
    <w:multiLevelType w:val="hybridMultilevel"/>
    <w:tmpl w:val="F5AE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771AD"/>
    <w:multiLevelType w:val="hybridMultilevel"/>
    <w:tmpl w:val="A402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12D5244"/>
    <w:multiLevelType w:val="hybridMultilevel"/>
    <w:tmpl w:val="5E3CB33E"/>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8E74B1"/>
    <w:multiLevelType w:val="hybridMultilevel"/>
    <w:tmpl w:val="D43A6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6469E5"/>
    <w:multiLevelType w:val="hybridMultilevel"/>
    <w:tmpl w:val="E8E40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052FF2"/>
    <w:multiLevelType w:val="hybridMultilevel"/>
    <w:tmpl w:val="F156F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68212F"/>
    <w:multiLevelType w:val="hybridMultilevel"/>
    <w:tmpl w:val="7BACE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095746"/>
    <w:multiLevelType w:val="hybridMultilevel"/>
    <w:tmpl w:val="A3488448"/>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A3B0ED2"/>
    <w:multiLevelType w:val="hybridMultilevel"/>
    <w:tmpl w:val="7C822E92"/>
    <w:lvl w:ilvl="0" w:tplc="8012B79C">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A25B9B"/>
    <w:multiLevelType w:val="hybridMultilevel"/>
    <w:tmpl w:val="1BFA86DE"/>
    <w:lvl w:ilvl="0" w:tplc="7A06DAD6">
      <w:start w:val="1"/>
      <w:numFmt w:val="bullet"/>
      <w:lvlText w:val=""/>
      <w:lvlJc w:val="left"/>
      <w:pPr>
        <w:ind w:left="1440" w:hanging="360"/>
      </w:pPr>
      <w:rPr>
        <w:rFonts w:ascii="Symbol" w:hAnsi="Symbol"/>
      </w:rPr>
    </w:lvl>
    <w:lvl w:ilvl="1" w:tplc="C7D27842">
      <w:start w:val="1"/>
      <w:numFmt w:val="bullet"/>
      <w:lvlText w:val=""/>
      <w:lvlJc w:val="left"/>
      <w:pPr>
        <w:ind w:left="1440" w:hanging="360"/>
      </w:pPr>
      <w:rPr>
        <w:rFonts w:ascii="Symbol" w:hAnsi="Symbol"/>
      </w:rPr>
    </w:lvl>
    <w:lvl w:ilvl="2" w:tplc="E9B6680E">
      <w:start w:val="1"/>
      <w:numFmt w:val="bullet"/>
      <w:lvlText w:val=""/>
      <w:lvlJc w:val="left"/>
      <w:pPr>
        <w:ind w:left="1440" w:hanging="360"/>
      </w:pPr>
      <w:rPr>
        <w:rFonts w:ascii="Symbol" w:hAnsi="Symbol"/>
      </w:rPr>
    </w:lvl>
    <w:lvl w:ilvl="3" w:tplc="56FC9D8E">
      <w:start w:val="1"/>
      <w:numFmt w:val="bullet"/>
      <w:lvlText w:val=""/>
      <w:lvlJc w:val="left"/>
      <w:pPr>
        <w:ind w:left="1440" w:hanging="360"/>
      </w:pPr>
      <w:rPr>
        <w:rFonts w:ascii="Symbol" w:hAnsi="Symbol"/>
      </w:rPr>
    </w:lvl>
    <w:lvl w:ilvl="4" w:tplc="DA801A84">
      <w:start w:val="1"/>
      <w:numFmt w:val="bullet"/>
      <w:lvlText w:val=""/>
      <w:lvlJc w:val="left"/>
      <w:pPr>
        <w:ind w:left="1440" w:hanging="360"/>
      </w:pPr>
      <w:rPr>
        <w:rFonts w:ascii="Symbol" w:hAnsi="Symbol"/>
      </w:rPr>
    </w:lvl>
    <w:lvl w:ilvl="5" w:tplc="7CEA7ADC">
      <w:start w:val="1"/>
      <w:numFmt w:val="bullet"/>
      <w:lvlText w:val=""/>
      <w:lvlJc w:val="left"/>
      <w:pPr>
        <w:ind w:left="1440" w:hanging="360"/>
      </w:pPr>
      <w:rPr>
        <w:rFonts w:ascii="Symbol" w:hAnsi="Symbol"/>
      </w:rPr>
    </w:lvl>
    <w:lvl w:ilvl="6" w:tplc="DE66AB74">
      <w:start w:val="1"/>
      <w:numFmt w:val="bullet"/>
      <w:lvlText w:val=""/>
      <w:lvlJc w:val="left"/>
      <w:pPr>
        <w:ind w:left="1440" w:hanging="360"/>
      </w:pPr>
      <w:rPr>
        <w:rFonts w:ascii="Symbol" w:hAnsi="Symbol"/>
      </w:rPr>
    </w:lvl>
    <w:lvl w:ilvl="7" w:tplc="F6048ADA">
      <w:start w:val="1"/>
      <w:numFmt w:val="bullet"/>
      <w:lvlText w:val=""/>
      <w:lvlJc w:val="left"/>
      <w:pPr>
        <w:ind w:left="1440" w:hanging="360"/>
      </w:pPr>
      <w:rPr>
        <w:rFonts w:ascii="Symbol" w:hAnsi="Symbol"/>
      </w:rPr>
    </w:lvl>
    <w:lvl w:ilvl="8" w:tplc="5AE2E758">
      <w:start w:val="1"/>
      <w:numFmt w:val="bullet"/>
      <w:lvlText w:val=""/>
      <w:lvlJc w:val="left"/>
      <w:pPr>
        <w:ind w:left="1440" w:hanging="360"/>
      </w:pPr>
      <w:rPr>
        <w:rFonts w:ascii="Symbol" w:hAnsi="Symbol"/>
      </w:rPr>
    </w:lvl>
  </w:abstractNum>
  <w:abstractNum w:abstractNumId="21" w15:restartNumberingAfterBreak="0">
    <w:nsid w:val="4EBB295D"/>
    <w:multiLevelType w:val="hybridMultilevel"/>
    <w:tmpl w:val="8A848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A124DC"/>
    <w:multiLevelType w:val="hybridMultilevel"/>
    <w:tmpl w:val="87820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F817D9"/>
    <w:multiLevelType w:val="hybridMultilevel"/>
    <w:tmpl w:val="2C52B3B8"/>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122863"/>
    <w:multiLevelType w:val="hybridMultilevel"/>
    <w:tmpl w:val="182A5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5D6A8C"/>
    <w:multiLevelType w:val="hybridMultilevel"/>
    <w:tmpl w:val="626E6F92"/>
    <w:lvl w:ilvl="0" w:tplc="02DCF464">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7" w15:restartNumberingAfterBreak="0">
    <w:nsid w:val="66A80D47"/>
    <w:multiLevelType w:val="hybridMultilevel"/>
    <w:tmpl w:val="2976E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E13635"/>
    <w:multiLevelType w:val="hybridMultilevel"/>
    <w:tmpl w:val="B184B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E17686"/>
    <w:multiLevelType w:val="hybridMultilevel"/>
    <w:tmpl w:val="AAE21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440C2"/>
    <w:multiLevelType w:val="hybridMultilevel"/>
    <w:tmpl w:val="BBAE97F0"/>
    <w:styleLink w:val="Current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FA44A6"/>
    <w:multiLevelType w:val="hybridMultilevel"/>
    <w:tmpl w:val="D2828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abstractNum w:abstractNumId="35" w15:restartNumberingAfterBreak="0">
    <w:nsid w:val="7FE673F4"/>
    <w:multiLevelType w:val="hybridMultilevel"/>
    <w:tmpl w:val="5492F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F22E21"/>
    <w:multiLevelType w:val="hybridMultilevel"/>
    <w:tmpl w:val="DF80C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4011081">
    <w:abstractNumId w:val="34"/>
  </w:num>
  <w:num w:numId="2" w16cid:durableId="1064986606">
    <w:abstractNumId w:val="5"/>
  </w:num>
  <w:num w:numId="3" w16cid:durableId="463541685">
    <w:abstractNumId w:val="10"/>
  </w:num>
  <w:num w:numId="4" w16cid:durableId="1903102961">
    <w:abstractNumId w:val="31"/>
  </w:num>
  <w:num w:numId="5" w16cid:durableId="1975215929">
    <w:abstractNumId w:val="11"/>
  </w:num>
  <w:num w:numId="6" w16cid:durableId="1939559610">
    <w:abstractNumId w:val="12"/>
  </w:num>
  <w:num w:numId="7" w16cid:durableId="618221303">
    <w:abstractNumId w:val="13"/>
  </w:num>
  <w:num w:numId="8" w16cid:durableId="452677169">
    <w:abstractNumId w:val="18"/>
  </w:num>
  <w:num w:numId="9" w16cid:durableId="509177950">
    <w:abstractNumId w:val="36"/>
  </w:num>
  <w:num w:numId="10" w16cid:durableId="484132048">
    <w:abstractNumId w:val="17"/>
  </w:num>
  <w:num w:numId="11" w16cid:durableId="1943951773">
    <w:abstractNumId w:val="21"/>
  </w:num>
  <w:num w:numId="12" w16cid:durableId="130514720">
    <w:abstractNumId w:val="27"/>
  </w:num>
  <w:num w:numId="13" w16cid:durableId="2008243043">
    <w:abstractNumId w:val="2"/>
  </w:num>
  <w:num w:numId="14" w16cid:durableId="1969700230">
    <w:abstractNumId w:val="23"/>
  </w:num>
  <w:num w:numId="15" w16cid:durableId="953098382">
    <w:abstractNumId w:val="30"/>
  </w:num>
  <w:num w:numId="16" w16cid:durableId="909658258">
    <w:abstractNumId w:val="33"/>
  </w:num>
  <w:num w:numId="17" w16cid:durableId="645092223">
    <w:abstractNumId w:val="29"/>
  </w:num>
  <w:num w:numId="18" w16cid:durableId="987855832">
    <w:abstractNumId w:val="22"/>
  </w:num>
  <w:num w:numId="19" w16cid:durableId="1328900714">
    <w:abstractNumId w:val="35"/>
  </w:num>
  <w:num w:numId="20" w16cid:durableId="1626692628">
    <w:abstractNumId w:val="14"/>
  </w:num>
  <w:num w:numId="21" w16cid:durableId="961687083">
    <w:abstractNumId w:val="24"/>
  </w:num>
  <w:num w:numId="22" w16cid:durableId="855115266">
    <w:abstractNumId w:val="8"/>
  </w:num>
  <w:num w:numId="23" w16cid:durableId="763575565">
    <w:abstractNumId w:val="32"/>
  </w:num>
  <w:num w:numId="24" w16cid:durableId="1837988898">
    <w:abstractNumId w:val="1"/>
  </w:num>
  <w:num w:numId="25" w16cid:durableId="1723869145">
    <w:abstractNumId w:val="0"/>
  </w:num>
  <w:num w:numId="26" w16cid:durableId="980310152">
    <w:abstractNumId w:val="19"/>
  </w:num>
  <w:num w:numId="27" w16cid:durableId="651183760">
    <w:abstractNumId w:val="4"/>
  </w:num>
  <w:num w:numId="28" w16cid:durableId="790174504">
    <w:abstractNumId w:val="0"/>
  </w:num>
  <w:num w:numId="29" w16cid:durableId="653947336">
    <w:abstractNumId w:val="0"/>
  </w:num>
  <w:num w:numId="30" w16cid:durableId="1928613033">
    <w:abstractNumId w:val="0"/>
  </w:num>
  <w:num w:numId="31" w16cid:durableId="503320077">
    <w:abstractNumId w:val="0"/>
  </w:num>
  <w:num w:numId="32" w16cid:durableId="1198423096">
    <w:abstractNumId w:val="0"/>
  </w:num>
  <w:num w:numId="33" w16cid:durableId="733938647">
    <w:abstractNumId w:val="0"/>
  </w:num>
  <w:num w:numId="34" w16cid:durableId="1793208426">
    <w:abstractNumId w:val="0"/>
  </w:num>
  <w:num w:numId="35" w16cid:durableId="408232190">
    <w:abstractNumId w:val="15"/>
  </w:num>
  <w:num w:numId="36" w16cid:durableId="899747504">
    <w:abstractNumId w:val="25"/>
  </w:num>
  <w:num w:numId="37" w16cid:durableId="1283421397">
    <w:abstractNumId w:val="7"/>
  </w:num>
  <w:num w:numId="38" w16cid:durableId="229853736">
    <w:abstractNumId w:val="28"/>
  </w:num>
  <w:num w:numId="39" w16cid:durableId="1855416969">
    <w:abstractNumId w:val="9"/>
  </w:num>
  <w:num w:numId="40" w16cid:durableId="590314576">
    <w:abstractNumId w:val="16"/>
  </w:num>
  <w:num w:numId="41" w16cid:durableId="519660593">
    <w:abstractNumId w:val="3"/>
  </w:num>
  <w:num w:numId="42" w16cid:durableId="2019765849">
    <w:abstractNumId w:val="26"/>
  </w:num>
  <w:num w:numId="43" w16cid:durableId="1756703723">
    <w:abstractNumId w:val="6"/>
  </w:num>
  <w:num w:numId="44" w16cid:durableId="1177228914">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 UofA (Style Manual Australia 6th edn)&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2zxatf22afpcea0ecx2wv1zvdas0x52t0e&quot;&gt;GSD II Report library&lt;record-ids&gt;&lt;item&gt;1&lt;/item&gt;&lt;item&gt;2&lt;/item&gt;&lt;item&gt;4&lt;/item&gt;&lt;item&gt;5&lt;/item&gt;&lt;item&gt;6&lt;/item&gt;&lt;item&gt;8&lt;/item&gt;&lt;item&gt;9&lt;/item&gt;&lt;item&gt;10&lt;/item&gt;&lt;item&gt;11&lt;/item&gt;&lt;item&gt;12&lt;/item&gt;&lt;item&gt;13&lt;/item&gt;&lt;item&gt;14&lt;/item&gt;&lt;item&gt;15&lt;/item&gt;&lt;item&gt;16&lt;/item&gt;&lt;item&gt;17&lt;/item&gt;&lt;item&gt;19&lt;/item&gt;&lt;item&gt;21&lt;/item&gt;&lt;item&gt;22&lt;/item&gt;&lt;item&gt;23&lt;/item&gt;&lt;item&gt;25&lt;/item&gt;&lt;item&gt;27&lt;/item&gt;&lt;item&gt;30&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1&lt;/item&gt;&lt;item&gt;52&lt;/item&gt;&lt;item&gt;53&lt;/item&gt;&lt;item&gt;54&lt;/item&gt;&lt;item&gt;55&lt;/item&gt;&lt;item&gt;56&lt;/item&gt;&lt;item&gt;57&lt;/item&gt;&lt;item&gt;61&lt;/item&gt;&lt;item&gt;62&lt;/item&gt;&lt;item&gt;64&lt;/item&gt;&lt;item&gt;65&lt;/item&gt;&lt;item&gt;66&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6&lt;/item&gt;&lt;item&gt;107&lt;/item&gt;&lt;item&gt;108&lt;/item&gt;&lt;item&gt;111&lt;/item&gt;&lt;item&gt;112&lt;/item&gt;&lt;item&gt;113&lt;/item&gt;&lt;item&gt;115&lt;/item&gt;&lt;item&gt;116&lt;/item&gt;&lt;item&gt;117&lt;/item&gt;&lt;item&gt;118&lt;/item&gt;&lt;item&gt;119&lt;/item&gt;&lt;item&gt;120&lt;/item&gt;&lt;item&gt;121&lt;/item&gt;&lt;item&gt;122&lt;/item&gt;&lt;item&gt;123&lt;/item&gt;&lt;item&gt;126&lt;/item&gt;&lt;item&gt;127&lt;/item&gt;&lt;item&gt;128&lt;/item&gt;&lt;item&gt;129&lt;/item&gt;&lt;item&gt;131&lt;/item&gt;&lt;item&gt;132&lt;/item&gt;&lt;item&gt;134&lt;/item&gt;&lt;item&gt;135&lt;/item&gt;&lt;item&gt;136&lt;/item&gt;&lt;item&gt;137&lt;/item&gt;&lt;item&gt;138&lt;/item&gt;&lt;item&gt;139&lt;/item&gt;&lt;item&gt;140&lt;/item&gt;&lt;item&gt;141&lt;/item&gt;&lt;item&gt;142&lt;/item&gt;&lt;item&gt;144&lt;/item&gt;&lt;item&gt;145&lt;/item&gt;&lt;item&gt;146&lt;/item&gt;&lt;item&gt;147&lt;/item&gt;&lt;item&gt;149&lt;/item&gt;&lt;item&gt;150&lt;/item&gt;&lt;item&gt;151&lt;/item&gt;&lt;item&gt;152&lt;/item&gt;&lt;item&gt;153&lt;/item&gt;&lt;item&gt;154&lt;/item&gt;&lt;item&gt;155&lt;/item&gt;&lt;item&gt;156&lt;/item&gt;&lt;item&gt;157&lt;/item&gt;&lt;item&gt;158&lt;/item&gt;&lt;item&gt;159&lt;/item&gt;&lt;item&gt;160&lt;/item&gt;&lt;item&gt;161&lt;/item&gt;&lt;item&gt;166&lt;/item&gt;&lt;item&gt;167&lt;/item&gt;&lt;item&gt;168&lt;/item&gt;&lt;item&gt;170&lt;/item&gt;&lt;item&gt;171&lt;/item&gt;&lt;item&gt;172&lt;/item&gt;&lt;item&gt;173&lt;/item&gt;&lt;item&gt;174&lt;/item&gt;&lt;item&gt;175&lt;/item&gt;&lt;item&gt;176&lt;/item&gt;&lt;item&gt;177&lt;/item&gt;&lt;item&gt;179&lt;/item&gt;&lt;item&gt;180&lt;/item&gt;&lt;item&gt;182&lt;/item&gt;&lt;item&gt;183&lt;/item&gt;&lt;item&gt;184&lt;/item&gt;&lt;item&gt;185&lt;/item&gt;&lt;item&gt;186&lt;/item&gt;&lt;item&gt;187&lt;/item&gt;&lt;item&gt;188&lt;/item&gt;&lt;item&gt;189&lt;/item&gt;&lt;item&gt;190&lt;/item&gt;&lt;/record-ids&gt;&lt;/item&gt;&lt;/Libraries&gt;"/>
  </w:docVars>
  <w:rsids>
    <w:rsidRoot w:val="008157F1"/>
    <w:rsid w:val="0000001E"/>
    <w:rsid w:val="00000109"/>
    <w:rsid w:val="00000148"/>
    <w:rsid w:val="00000224"/>
    <w:rsid w:val="0000023B"/>
    <w:rsid w:val="0000029E"/>
    <w:rsid w:val="00000383"/>
    <w:rsid w:val="000003AD"/>
    <w:rsid w:val="0000041A"/>
    <w:rsid w:val="00000437"/>
    <w:rsid w:val="0000060F"/>
    <w:rsid w:val="000006E4"/>
    <w:rsid w:val="000006E7"/>
    <w:rsid w:val="0000070F"/>
    <w:rsid w:val="000007BF"/>
    <w:rsid w:val="000007F0"/>
    <w:rsid w:val="0000082C"/>
    <w:rsid w:val="0000090F"/>
    <w:rsid w:val="000009E5"/>
    <w:rsid w:val="00000B8D"/>
    <w:rsid w:val="00000BFC"/>
    <w:rsid w:val="00000C17"/>
    <w:rsid w:val="00000C8D"/>
    <w:rsid w:val="00000CCC"/>
    <w:rsid w:val="00000D98"/>
    <w:rsid w:val="00000DC5"/>
    <w:rsid w:val="00000E0A"/>
    <w:rsid w:val="00000F0F"/>
    <w:rsid w:val="00000F3D"/>
    <w:rsid w:val="0000109A"/>
    <w:rsid w:val="000011E4"/>
    <w:rsid w:val="00001280"/>
    <w:rsid w:val="000014E5"/>
    <w:rsid w:val="000015E3"/>
    <w:rsid w:val="0000161B"/>
    <w:rsid w:val="00001638"/>
    <w:rsid w:val="000017CB"/>
    <w:rsid w:val="00001A54"/>
    <w:rsid w:val="00001A5E"/>
    <w:rsid w:val="00001AD8"/>
    <w:rsid w:val="00001AE6"/>
    <w:rsid w:val="00001B00"/>
    <w:rsid w:val="00001C8E"/>
    <w:rsid w:val="00001E2E"/>
    <w:rsid w:val="00001EFD"/>
    <w:rsid w:val="00001FAC"/>
    <w:rsid w:val="00001FAF"/>
    <w:rsid w:val="00001FDD"/>
    <w:rsid w:val="0000218D"/>
    <w:rsid w:val="000021BC"/>
    <w:rsid w:val="00002222"/>
    <w:rsid w:val="00002267"/>
    <w:rsid w:val="00002322"/>
    <w:rsid w:val="00002393"/>
    <w:rsid w:val="00002439"/>
    <w:rsid w:val="000024C8"/>
    <w:rsid w:val="000024F3"/>
    <w:rsid w:val="00002535"/>
    <w:rsid w:val="00002553"/>
    <w:rsid w:val="0000255E"/>
    <w:rsid w:val="00002581"/>
    <w:rsid w:val="000025DB"/>
    <w:rsid w:val="00002661"/>
    <w:rsid w:val="00002780"/>
    <w:rsid w:val="000027E6"/>
    <w:rsid w:val="00002808"/>
    <w:rsid w:val="0000292C"/>
    <w:rsid w:val="0000298F"/>
    <w:rsid w:val="000029D9"/>
    <w:rsid w:val="000029F4"/>
    <w:rsid w:val="00002A11"/>
    <w:rsid w:val="00002B8D"/>
    <w:rsid w:val="00002BC5"/>
    <w:rsid w:val="00002C2E"/>
    <w:rsid w:val="00002C72"/>
    <w:rsid w:val="00002CD5"/>
    <w:rsid w:val="00002D15"/>
    <w:rsid w:val="00002D7E"/>
    <w:rsid w:val="00002D83"/>
    <w:rsid w:val="00002DB3"/>
    <w:rsid w:val="00002DD7"/>
    <w:rsid w:val="00002E46"/>
    <w:rsid w:val="00002ECE"/>
    <w:rsid w:val="00002FBA"/>
    <w:rsid w:val="00002FBB"/>
    <w:rsid w:val="00002FC3"/>
    <w:rsid w:val="0000306F"/>
    <w:rsid w:val="000030AE"/>
    <w:rsid w:val="00003124"/>
    <w:rsid w:val="0000314F"/>
    <w:rsid w:val="00003157"/>
    <w:rsid w:val="000031BB"/>
    <w:rsid w:val="00003347"/>
    <w:rsid w:val="0000334E"/>
    <w:rsid w:val="0000336A"/>
    <w:rsid w:val="0000336F"/>
    <w:rsid w:val="00003373"/>
    <w:rsid w:val="00003391"/>
    <w:rsid w:val="000033FF"/>
    <w:rsid w:val="00003494"/>
    <w:rsid w:val="000034E2"/>
    <w:rsid w:val="000039CE"/>
    <w:rsid w:val="00003A21"/>
    <w:rsid w:val="00003B5A"/>
    <w:rsid w:val="00003B8C"/>
    <w:rsid w:val="00003C1F"/>
    <w:rsid w:val="00003C56"/>
    <w:rsid w:val="00003CCA"/>
    <w:rsid w:val="00003CDC"/>
    <w:rsid w:val="00003D0E"/>
    <w:rsid w:val="00003D81"/>
    <w:rsid w:val="00003E12"/>
    <w:rsid w:val="00003E88"/>
    <w:rsid w:val="00003EA5"/>
    <w:rsid w:val="00004025"/>
    <w:rsid w:val="0000411B"/>
    <w:rsid w:val="00004216"/>
    <w:rsid w:val="00004217"/>
    <w:rsid w:val="000042E5"/>
    <w:rsid w:val="00004433"/>
    <w:rsid w:val="00004437"/>
    <w:rsid w:val="00004456"/>
    <w:rsid w:val="000044C5"/>
    <w:rsid w:val="000044D9"/>
    <w:rsid w:val="00004524"/>
    <w:rsid w:val="00004550"/>
    <w:rsid w:val="00004564"/>
    <w:rsid w:val="00004633"/>
    <w:rsid w:val="00004684"/>
    <w:rsid w:val="000046B4"/>
    <w:rsid w:val="00004792"/>
    <w:rsid w:val="000047E3"/>
    <w:rsid w:val="0000485A"/>
    <w:rsid w:val="0000485F"/>
    <w:rsid w:val="000048DA"/>
    <w:rsid w:val="00004A70"/>
    <w:rsid w:val="00004BCC"/>
    <w:rsid w:val="00004BD7"/>
    <w:rsid w:val="00004CCB"/>
    <w:rsid w:val="00004D69"/>
    <w:rsid w:val="00004DF8"/>
    <w:rsid w:val="00004EBB"/>
    <w:rsid w:val="00004F76"/>
    <w:rsid w:val="00004F7F"/>
    <w:rsid w:val="00004FD0"/>
    <w:rsid w:val="0000502C"/>
    <w:rsid w:val="00005106"/>
    <w:rsid w:val="00005163"/>
    <w:rsid w:val="0000516D"/>
    <w:rsid w:val="00005256"/>
    <w:rsid w:val="000052C9"/>
    <w:rsid w:val="0000531B"/>
    <w:rsid w:val="000053E9"/>
    <w:rsid w:val="000053EE"/>
    <w:rsid w:val="000054C9"/>
    <w:rsid w:val="000054E3"/>
    <w:rsid w:val="000055B7"/>
    <w:rsid w:val="000056BD"/>
    <w:rsid w:val="000056BF"/>
    <w:rsid w:val="000057EB"/>
    <w:rsid w:val="0000580E"/>
    <w:rsid w:val="00005819"/>
    <w:rsid w:val="00005887"/>
    <w:rsid w:val="00005945"/>
    <w:rsid w:val="0000595E"/>
    <w:rsid w:val="00005967"/>
    <w:rsid w:val="00005A2A"/>
    <w:rsid w:val="00005A7A"/>
    <w:rsid w:val="00005A86"/>
    <w:rsid w:val="00005A88"/>
    <w:rsid w:val="00005B63"/>
    <w:rsid w:val="00005B82"/>
    <w:rsid w:val="00005C24"/>
    <w:rsid w:val="00005CE8"/>
    <w:rsid w:val="00005D3C"/>
    <w:rsid w:val="00005D85"/>
    <w:rsid w:val="00005DED"/>
    <w:rsid w:val="00005E9C"/>
    <w:rsid w:val="00005F66"/>
    <w:rsid w:val="00005F70"/>
    <w:rsid w:val="00006026"/>
    <w:rsid w:val="0000602F"/>
    <w:rsid w:val="000060DD"/>
    <w:rsid w:val="00006103"/>
    <w:rsid w:val="00006127"/>
    <w:rsid w:val="000061FD"/>
    <w:rsid w:val="000062A2"/>
    <w:rsid w:val="000063A3"/>
    <w:rsid w:val="000063E0"/>
    <w:rsid w:val="000064C4"/>
    <w:rsid w:val="0000653E"/>
    <w:rsid w:val="000065DB"/>
    <w:rsid w:val="0000664F"/>
    <w:rsid w:val="0000667E"/>
    <w:rsid w:val="00006889"/>
    <w:rsid w:val="000068D5"/>
    <w:rsid w:val="000069C5"/>
    <w:rsid w:val="000069CD"/>
    <w:rsid w:val="00006A35"/>
    <w:rsid w:val="00006A8A"/>
    <w:rsid w:val="00006AA1"/>
    <w:rsid w:val="00006AD2"/>
    <w:rsid w:val="00006B58"/>
    <w:rsid w:val="00006BCA"/>
    <w:rsid w:val="00006C2A"/>
    <w:rsid w:val="00006D17"/>
    <w:rsid w:val="00006D9D"/>
    <w:rsid w:val="00006E0E"/>
    <w:rsid w:val="00006E17"/>
    <w:rsid w:val="00006EEB"/>
    <w:rsid w:val="00006FC1"/>
    <w:rsid w:val="00007037"/>
    <w:rsid w:val="0000709B"/>
    <w:rsid w:val="00007108"/>
    <w:rsid w:val="00007257"/>
    <w:rsid w:val="000072CF"/>
    <w:rsid w:val="0000744A"/>
    <w:rsid w:val="0000765E"/>
    <w:rsid w:val="0000768E"/>
    <w:rsid w:val="000076D5"/>
    <w:rsid w:val="000076F0"/>
    <w:rsid w:val="000076F2"/>
    <w:rsid w:val="00007750"/>
    <w:rsid w:val="000077D4"/>
    <w:rsid w:val="000078A8"/>
    <w:rsid w:val="000078E5"/>
    <w:rsid w:val="000078E7"/>
    <w:rsid w:val="00007C55"/>
    <w:rsid w:val="00007DE3"/>
    <w:rsid w:val="00007F74"/>
    <w:rsid w:val="00010032"/>
    <w:rsid w:val="0001005A"/>
    <w:rsid w:val="00010161"/>
    <w:rsid w:val="000101D0"/>
    <w:rsid w:val="0001023F"/>
    <w:rsid w:val="00010313"/>
    <w:rsid w:val="00010347"/>
    <w:rsid w:val="000103FC"/>
    <w:rsid w:val="000104E7"/>
    <w:rsid w:val="000104FC"/>
    <w:rsid w:val="00010550"/>
    <w:rsid w:val="0001055C"/>
    <w:rsid w:val="000108C6"/>
    <w:rsid w:val="000109F5"/>
    <w:rsid w:val="00010AF2"/>
    <w:rsid w:val="00010B12"/>
    <w:rsid w:val="00010C7B"/>
    <w:rsid w:val="00010D49"/>
    <w:rsid w:val="00010D9E"/>
    <w:rsid w:val="00010DF9"/>
    <w:rsid w:val="00010E49"/>
    <w:rsid w:val="00010F68"/>
    <w:rsid w:val="00011141"/>
    <w:rsid w:val="000111F7"/>
    <w:rsid w:val="000112CC"/>
    <w:rsid w:val="000113D2"/>
    <w:rsid w:val="00011415"/>
    <w:rsid w:val="0001150D"/>
    <w:rsid w:val="00011568"/>
    <w:rsid w:val="000115FA"/>
    <w:rsid w:val="0001179C"/>
    <w:rsid w:val="000117F1"/>
    <w:rsid w:val="0001183F"/>
    <w:rsid w:val="00011AF3"/>
    <w:rsid w:val="00011B94"/>
    <w:rsid w:val="00011C0E"/>
    <w:rsid w:val="00011C2E"/>
    <w:rsid w:val="00011C80"/>
    <w:rsid w:val="00011CC9"/>
    <w:rsid w:val="00011CDE"/>
    <w:rsid w:val="00011D93"/>
    <w:rsid w:val="00011E71"/>
    <w:rsid w:val="00012029"/>
    <w:rsid w:val="000120EB"/>
    <w:rsid w:val="00012114"/>
    <w:rsid w:val="000122BF"/>
    <w:rsid w:val="000122E9"/>
    <w:rsid w:val="00012354"/>
    <w:rsid w:val="00012365"/>
    <w:rsid w:val="000125C3"/>
    <w:rsid w:val="000126AE"/>
    <w:rsid w:val="0001271A"/>
    <w:rsid w:val="00012856"/>
    <w:rsid w:val="00012859"/>
    <w:rsid w:val="0001285C"/>
    <w:rsid w:val="000128C4"/>
    <w:rsid w:val="000128CA"/>
    <w:rsid w:val="0001293C"/>
    <w:rsid w:val="00012946"/>
    <w:rsid w:val="00012964"/>
    <w:rsid w:val="00012A38"/>
    <w:rsid w:val="00012B89"/>
    <w:rsid w:val="00012BA7"/>
    <w:rsid w:val="00012BAD"/>
    <w:rsid w:val="00012C2D"/>
    <w:rsid w:val="00012D7F"/>
    <w:rsid w:val="00012E2E"/>
    <w:rsid w:val="00012E6B"/>
    <w:rsid w:val="00012F9B"/>
    <w:rsid w:val="00012FC0"/>
    <w:rsid w:val="00013041"/>
    <w:rsid w:val="000130B9"/>
    <w:rsid w:val="000130FA"/>
    <w:rsid w:val="00013192"/>
    <w:rsid w:val="000132D6"/>
    <w:rsid w:val="0001339D"/>
    <w:rsid w:val="00013416"/>
    <w:rsid w:val="00013432"/>
    <w:rsid w:val="00013539"/>
    <w:rsid w:val="0001369D"/>
    <w:rsid w:val="000136FF"/>
    <w:rsid w:val="00013725"/>
    <w:rsid w:val="00013747"/>
    <w:rsid w:val="000137F1"/>
    <w:rsid w:val="00013891"/>
    <w:rsid w:val="000138A2"/>
    <w:rsid w:val="00013A06"/>
    <w:rsid w:val="00013AEC"/>
    <w:rsid w:val="00013B29"/>
    <w:rsid w:val="00013B3D"/>
    <w:rsid w:val="00013BB7"/>
    <w:rsid w:val="00013C06"/>
    <w:rsid w:val="00013D11"/>
    <w:rsid w:val="00013E05"/>
    <w:rsid w:val="00013EB3"/>
    <w:rsid w:val="00013EE0"/>
    <w:rsid w:val="00014045"/>
    <w:rsid w:val="000140FE"/>
    <w:rsid w:val="000141F3"/>
    <w:rsid w:val="00014244"/>
    <w:rsid w:val="00014352"/>
    <w:rsid w:val="00014373"/>
    <w:rsid w:val="0001440A"/>
    <w:rsid w:val="0001452D"/>
    <w:rsid w:val="000146FB"/>
    <w:rsid w:val="0001486E"/>
    <w:rsid w:val="00014872"/>
    <w:rsid w:val="00014880"/>
    <w:rsid w:val="000148A5"/>
    <w:rsid w:val="00014974"/>
    <w:rsid w:val="00014AE6"/>
    <w:rsid w:val="00014B1B"/>
    <w:rsid w:val="00014BD6"/>
    <w:rsid w:val="00014C04"/>
    <w:rsid w:val="00014C2B"/>
    <w:rsid w:val="00014CF0"/>
    <w:rsid w:val="00014D7B"/>
    <w:rsid w:val="00014DA8"/>
    <w:rsid w:val="00014E0B"/>
    <w:rsid w:val="00014E9B"/>
    <w:rsid w:val="00014FC5"/>
    <w:rsid w:val="00015024"/>
    <w:rsid w:val="000150F8"/>
    <w:rsid w:val="0001518E"/>
    <w:rsid w:val="000151F1"/>
    <w:rsid w:val="0001557C"/>
    <w:rsid w:val="0001563B"/>
    <w:rsid w:val="00015642"/>
    <w:rsid w:val="000156A0"/>
    <w:rsid w:val="00015776"/>
    <w:rsid w:val="000157AE"/>
    <w:rsid w:val="00015842"/>
    <w:rsid w:val="00015877"/>
    <w:rsid w:val="000158D2"/>
    <w:rsid w:val="00015904"/>
    <w:rsid w:val="0001594F"/>
    <w:rsid w:val="00015A85"/>
    <w:rsid w:val="00015B14"/>
    <w:rsid w:val="00015B3A"/>
    <w:rsid w:val="00015B4E"/>
    <w:rsid w:val="00015B75"/>
    <w:rsid w:val="00015C9F"/>
    <w:rsid w:val="00015D9D"/>
    <w:rsid w:val="00015DAD"/>
    <w:rsid w:val="00015E44"/>
    <w:rsid w:val="00015E54"/>
    <w:rsid w:val="00015EF9"/>
    <w:rsid w:val="00016140"/>
    <w:rsid w:val="0001622A"/>
    <w:rsid w:val="0001622E"/>
    <w:rsid w:val="00016280"/>
    <w:rsid w:val="0001628F"/>
    <w:rsid w:val="000162E7"/>
    <w:rsid w:val="00016331"/>
    <w:rsid w:val="000163ED"/>
    <w:rsid w:val="00016449"/>
    <w:rsid w:val="00016502"/>
    <w:rsid w:val="00016614"/>
    <w:rsid w:val="0001662A"/>
    <w:rsid w:val="00016739"/>
    <w:rsid w:val="00016792"/>
    <w:rsid w:val="00016830"/>
    <w:rsid w:val="000168DB"/>
    <w:rsid w:val="000168FB"/>
    <w:rsid w:val="00016922"/>
    <w:rsid w:val="00016943"/>
    <w:rsid w:val="000169A3"/>
    <w:rsid w:val="00016A04"/>
    <w:rsid w:val="00016A28"/>
    <w:rsid w:val="00016B46"/>
    <w:rsid w:val="00016C18"/>
    <w:rsid w:val="00016CE3"/>
    <w:rsid w:val="00016D83"/>
    <w:rsid w:val="00016EE6"/>
    <w:rsid w:val="00016F47"/>
    <w:rsid w:val="00017024"/>
    <w:rsid w:val="00017053"/>
    <w:rsid w:val="00017143"/>
    <w:rsid w:val="00017548"/>
    <w:rsid w:val="000175E6"/>
    <w:rsid w:val="0001764C"/>
    <w:rsid w:val="00017692"/>
    <w:rsid w:val="000176EF"/>
    <w:rsid w:val="00017852"/>
    <w:rsid w:val="000178A1"/>
    <w:rsid w:val="000178E6"/>
    <w:rsid w:val="000179C2"/>
    <w:rsid w:val="00017A4D"/>
    <w:rsid w:val="00017DE3"/>
    <w:rsid w:val="00017E9C"/>
    <w:rsid w:val="00017F5E"/>
    <w:rsid w:val="0002004D"/>
    <w:rsid w:val="000203FB"/>
    <w:rsid w:val="00020562"/>
    <w:rsid w:val="0002070A"/>
    <w:rsid w:val="0002078F"/>
    <w:rsid w:val="00020884"/>
    <w:rsid w:val="000208B7"/>
    <w:rsid w:val="000209BD"/>
    <w:rsid w:val="000209C8"/>
    <w:rsid w:val="000209CD"/>
    <w:rsid w:val="00020AA4"/>
    <w:rsid w:val="00020AAD"/>
    <w:rsid w:val="00020C50"/>
    <w:rsid w:val="00020C57"/>
    <w:rsid w:val="00020C91"/>
    <w:rsid w:val="00020E2C"/>
    <w:rsid w:val="00020E69"/>
    <w:rsid w:val="00020F2E"/>
    <w:rsid w:val="000213A7"/>
    <w:rsid w:val="000214A0"/>
    <w:rsid w:val="000215DB"/>
    <w:rsid w:val="000215DD"/>
    <w:rsid w:val="00021625"/>
    <w:rsid w:val="00021632"/>
    <w:rsid w:val="00021741"/>
    <w:rsid w:val="000217AF"/>
    <w:rsid w:val="000217B3"/>
    <w:rsid w:val="0002186B"/>
    <w:rsid w:val="00021937"/>
    <w:rsid w:val="00021A0B"/>
    <w:rsid w:val="00021A76"/>
    <w:rsid w:val="00021AAB"/>
    <w:rsid w:val="00021B66"/>
    <w:rsid w:val="00021B7C"/>
    <w:rsid w:val="00021BCB"/>
    <w:rsid w:val="00021BE2"/>
    <w:rsid w:val="00021C38"/>
    <w:rsid w:val="00021C3B"/>
    <w:rsid w:val="00021FBA"/>
    <w:rsid w:val="0002202E"/>
    <w:rsid w:val="0002208A"/>
    <w:rsid w:val="000220C7"/>
    <w:rsid w:val="00022217"/>
    <w:rsid w:val="0002231B"/>
    <w:rsid w:val="0002237C"/>
    <w:rsid w:val="0002240C"/>
    <w:rsid w:val="0002242D"/>
    <w:rsid w:val="0002245A"/>
    <w:rsid w:val="000226E0"/>
    <w:rsid w:val="00022797"/>
    <w:rsid w:val="000228B8"/>
    <w:rsid w:val="000228C2"/>
    <w:rsid w:val="0002290F"/>
    <w:rsid w:val="000229FB"/>
    <w:rsid w:val="00022A43"/>
    <w:rsid w:val="00022B89"/>
    <w:rsid w:val="00022D28"/>
    <w:rsid w:val="00022ED0"/>
    <w:rsid w:val="00022EE4"/>
    <w:rsid w:val="00022F1E"/>
    <w:rsid w:val="0002307B"/>
    <w:rsid w:val="000230A6"/>
    <w:rsid w:val="000231AD"/>
    <w:rsid w:val="000231FB"/>
    <w:rsid w:val="0002326B"/>
    <w:rsid w:val="0002327A"/>
    <w:rsid w:val="000232A3"/>
    <w:rsid w:val="000232C1"/>
    <w:rsid w:val="000232DF"/>
    <w:rsid w:val="000233C2"/>
    <w:rsid w:val="000233CE"/>
    <w:rsid w:val="00023464"/>
    <w:rsid w:val="0002363F"/>
    <w:rsid w:val="000236D7"/>
    <w:rsid w:val="0002373E"/>
    <w:rsid w:val="00023816"/>
    <w:rsid w:val="0002381B"/>
    <w:rsid w:val="00023862"/>
    <w:rsid w:val="000238B7"/>
    <w:rsid w:val="0002396A"/>
    <w:rsid w:val="000239BC"/>
    <w:rsid w:val="000239EA"/>
    <w:rsid w:val="00023A9D"/>
    <w:rsid w:val="00023AE8"/>
    <w:rsid w:val="00023B31"/>
    <w:rsid w:val="00023B6A"/>
    <w:rsid w:val="00023BA1"/>
    <w:rsid w:val="00023C0E"/>
    <w:rsid w:val="00023C20"/>
    <w:rsid w:val="00023C82"/>
    <w:rsid w:val="00023C89"/>
    <w:rsid w:val="00023CB0"/>
    <w:rsid w:val="00023D9B"/>
    <w:rsid w:val="00023DCC"/>
    <w:rsid w:val="00023E06"/>
    <w:rsid w:val="00023E43"/>
    <w:rsid w:val="00023F50"/>
    <w:rsid w:val="00023F8F"/>
    <w:rsid w:val="000240FC"/>
    <w:rsid w:val="000241D7"/>
    <w:rsid w:val="000242A2"/>
    <w:rsid w:val="000243A6"/>
    <w:rsid w:val="0002446F"/>
    <w:rsid w:val="000244D5"/>
    <w:rsid w:val="000244DD"/>
    <w:rsid w:val="00024510"/>
    <w:rsid w:val="0002453A"/>
    <w:rsid w:val="0002458E"/>
    <w:rsid w:val="000246BE"/>
    <w:rsid w:val="0002472C"/>
    <w:rsid w:val="00024873"/>
    <w:rsid w:val="000248A4"/>
    <w:rsid w:val="000248AF"/>
    <w:rsid w:val="00024961"/>
    <w:rsid w:val="00024996"/>
    <w:rsid w:val="000249CD"/>
    <w:rsid w:val="00024BAF"/>
    <w:rsid w:val="00024BB9"/>
    <w:rsid w:val="00024BEE"/>
    <w:rsid w:val="00024C57"/>
    <w:rsid w:val="00024CCF"/>
    <w:rsid w:val="00024CEA"/>
    <w:rsid w:val="00024D8C"/>
    <w:rsid w:val="00024E00"/>
    <w:rsid w:val="00024E43"/>
    <w:rsid w:val="00024EA5"/>
    <w:rsid w:val="00024EA8"/>
    <w:rsid w:val="00024EF6"/>
    <w:rsid w:val="0002501C"/>
    <w:rsid w:val="0002509A"/>
    <w:rsid w:val="000250B4"/>
    <w:rsid w:val="00025118"/>
    <w:rsid w:val="0002520E"/>
    <w:rsid w:val="000252B2"/>
    <w:rsid w:val="000252EF"/>
    <w:rsid w:val="0002546E"/>
    <w:rsid w:val="000254C2"/>
    <w:rsid w:val="00025505"/>
    <w:rsid w:val="00025552"/>
    <w:rsid w:val="0002572C"/>
    <w:rsid w:val="00025740"/>
    <w:rsid w:val="00025783"/>
    <w:rsid w:val="00025897"/>
    <w:rsid w:val="000258B0"/>
    <w:rsid w:val="000258B3"/>
    <w:rsid w:val="000258DC"/>
    <w:rsid w:val="00025943"/>
    <w:rsid w:val="00025949"/>
    <w:rsid w:val="00025957"/>
    <w:rsid w:val="00025993"/>
    <w:rsid w:val="000259B3"/>
    <w:rsid w:val="000259F4"/>
    <w:rsid w:val="00025AFD"/>
    <w:rsid w:val="00025C0A"/>
    <w:rsid w:val="00025C26"/>
    <w:rsid w:val="00025CB0"/>
    <w:rsid w:val="00025CB8"/>
    <w:rsid w:val="00025CCF"/>
    <w:rsid w:val="00025DDD"/>
    <w:rsid w:val="00025E8C"/>
    <w:rsid w:val="00025E95"/>
    <w:rsid w:val="000260CB"/>
    <w:rsid w:val="00026188"/>
    <w:rsid w:val="0002620C"/>
    <w:rsid w:val="00026213"/>
    <w:rsid w:val="00026219"/>
    <w:rsid w:val="0002636D"/>
    <w:rsid w:val="000263DB"/>
    <w:rsid w:val="00026400"/>
    <w:rsid w:val="00026469"/>
    <w:rsid w:val="00026523"/>
    <w:rsid w:val="000265AE"/>
    <w:rsid w:val="000266A1"/>
    <w:rsid w:val="000266C4"/>
    <w:rsid w:val="000268D9"/>
    <w:rsid w:val="00026A07"/>
    <w:rsid w:val="00026A10"/>
    <w:rsid w:val="00026AA1"/>
    <w:rsid w:val="00026B2B"/>
    <w:rsid w:val="00026B3B"/>
    <w:rsid w:val="00026C29"/>
    <w:rsid w:val="00026DA1"/>
    <w:rsid w:val="00026DB9"/>
    <w:rsid w:val="00026DE7"/>
    <w:rsid w:val="00026DF0"/>
    <w:rsid w:val="00026EAC"/>
    <w:rsid w:val="00026EFE"/>
    <w:rsid w:val="00026F75"/>
    <w:rsid w:val="00026F85"/>
    <w:rsid w:val="00026FE4"/>
    <w:rsid w:val="000270E2"/>
    <w:rsid w:val="0002710C"/>
    <w:rsid w:val="00027340"/>
    <w:rsid w:val="000273C4"/>
    <w:rsid w:val="00027452"/>
    <w:rsid w:val="00027477"/>
    <w:rsid w:val="0002755F"/>
    <w:rsid w:val="000275EB"/>
    <w:rsid w:val="0002771C"/>
    <w:rsid w:val="00027735"/>
    <w:rsid w:val="000277D5"/>
    <w:rsid w:val="000278A2"/>
    <w:rsid w:val="000278AE"/>
    <w:rsid w:val="000279BA"/>
    <w:rsid w:val="00027B3A"/>
    <w:rsid w:val="00027B3B"/>
    <w:rsid w:val="00027C41"/>
    <w:rsid w:val="00027DB6"/>
    <w:rsid w:val="00027E37"/>
    <w:rsid w:val="00027EA8"/>
    <w:rsid w:val="00027F29"/>
    <w:rsid w:val="00027F31"/>
    <w:rsid w:val="00030073"/>
    <w:rsid w:val="00030153"/>
    <w:rsid w:val="000301AF"/>
    <w:rsid w:val="00030260"/>
    <w:rsid w:val="0003043F"/>
    <w:rsid w:val="00030452"/>
    <w:rsid w:val="00030467"/>
    <w:rsid w:val="00030512"/>
    <w:rsid w:val="00030608"/>
    <w:rsid w:val="00030769"/>
    <w:rsid w:val="000307DA"/>
    <w:rsid w:val="000307DF"/>
    <w:rsid w:val="000307FC"/>
    <w:rsid w:val="00030839"/>
    <w:rsid w:val="000308B0"/>
    <w:rsid w:val="0003099A"/>
    <w:rsid w:val="00030A9B"/>
    <w:rsid w:val="00030ACB"/>
    <w:rsid w:val="00030AD1"/>
    <w:rsid w:val="00030B16"/>
    <w:rsid w:val="00030B65"/>
    <w:rsid w:val="00030C13"/>
    <w:rsid w:val="00030E48"/>
    <w:rsid w:val="00030EE4"/>
    <w:rsid w:val="00030F16"/>
    <w:rsid w:val="00030F18"/>
    <w:rsid w:val="00031054"/>
    <w:rsid w:val="00031095"/>
    <w:rsid w:val="00031158"/>
    <w:rsid w:val="00031211"/>
    <w:rsid w:val="000312B8"/>
    <w:rsid w:val="000312EB"/>
    <w:rsid w:val="00031333"/>
    <w:rsid w:val="00031345"/>
    <w:rsid w:val="00031377"/>
    <w:rsid w:val="0003137B"/>
    <w:rsid w:val="00031429"/>
    <w:rsid w:val="0003146C"/>
    <w:rsid w:val="0003162D"/>
    <w:rsid w:val="00031634"/>
    <w:rsid w:val="000316FD"/>
    <w:rsid w:val="000317B6"/>
    <w:rsid w:val="00031946"/>
    <w:rsid w:val="000319AB"/>
    <w:rsid w:val="00031AF1"/>
    <w:rsid w:val="00031B43"/>
    <w:rsid w:val="00031BC2"/>
    <w:rsid w:val="00031C32"/>
    <w:rsid w:val="00031C98"/>
    <w:rsid w:val="00031CC8"/>
    <w:rsid w:val="00031E54"/>
    <w:rsid w:val="00031EAA"/>
    <w:rsid w:val="00031ED5"/>
    <w:rsid w:val="00031F3C"/>
    <w:rsid w:val="00031F72"/>
    <w:rsid w:val="00031FE2"/>
    <w:rsid w:val="000320AE"/>
    <w:rsid w:val="0003217D"/>
    <w:rsid w:val="0003226F"/>
    <w:rsid w:val="0003236B"/>
    <w:rsid w:val="000323B5"/>
    <w:rsid w:val="000324FF"/>
    <w:rsid w:val="00032552"/>
    <w:rsid w:val="000326D2"/>
    <w:rsid w:val="000326EC"/>
    <w:rsid w:val="0003276C"/>
    <w:rsid w:val="0003279C"/>
    <w:rsid w:val="000327BC"/>
    <w:rsid w:val="000327F3"/>
    <w:rsid w:val="00032847"/>
    <w:rsid w:val="00032861"/>
    <w:rsid w:val="0003294C"/>
    <w:rsid w:val="000329EA"/>
    <w:rsid w:val="00032A38"/>
    <w:rsid w:val="00032A47"/>
    <w:rsid w:val="00032A6A"/>
    <w:rsid w:val="00032A7C"/>
    <w:rsid w:val="00032AFC"/>
    <w:rsid w:val="00032B9F"/>
    <w:rsid w:val="00032BDF"/>
    <w:rsid w:val="00032D93"/>
    <w:rsid w:val="00032D9B"/>
    <w:rsid w:val="00032E87"/>
    <w:rsid w:val="00032EC7"/>
    <w:rsid w:val="00032FB8"/>
    <w:rsid w:val="00032FCF"/>
    <w:rsid w:val="000330B5"/>
    <w:rsid w:val="000330C2"/>
    <w:rsid w:val="000330ED"/>
    <w:rsid w:val="000330F9"/>
    <w:rsid w:val="000331B7"/>
    <w:rsid w:val="0003330F"/>
    <w:rsid w:val="0003345D"/>
    <w:rsid w:val="000335A1"/>
    <w:rsid w:val="000335EC"/>
    <w:rsid w:val="000335ED"/>
    <w:rsid w:val="00033701"/>
    <w:rsid w:val="00033732"/>
    <w:rsid w:val="000338F7"/>
    <w:rsid w:val="000339DE"/>
    <w:rsid w:val="00033A0F"/>
    <w:rsid w:val="00033B9A"/>
    <w:rsid w:val="00033C6E"/>
    <w:rsid w:val="00033C83"/>
    <w:rsid w:val="00033CE0"/>
    <w:rsid w:val="00033E1D"/>
    <w:rsid w:val="00033E86"/>
    <w:rsid w:val="00033ED3"/>
    <w:rsid w:val="00033F94"/>
    <w:rsid w:val="00033FD8"/>
    <w:rsid w:val="00034051"/>
    <w:rsid w:val="00034066"/>
    <w:rsid w:val="0003416F"/>
    <w:rsid w:val="00034229"/>
    <w:rsid w:val="0003423A"/>
    <w:rsid w:val="000342BE"/>
    <w:rsid w:val="000343F2"/>
    <w:rsid w:val="0003440C"/>
    <w:rsid w:val="000344AF"/>
    <w:rsid w:val="000344B3"/>
    <w:rsid w:val="00034512"/>
    <w:rsid w:val="0003464B"/>
    <w:rsid w:val="000346F3"/>
    <w:rsid w:val="0003471B"/>
    <w:rsid w:val="0003477F"/>
    <w:rsid w:val="00034784"/>
    <w:rsid w:val="000347AA"/>
    <w:rsid w:val="00034871"/>
    <w:rsid w:val="000348A0"/>
    <w:rsid w:val="000349DA"/>
    <w:rsid w:val="000349FE"/>
    <w:rsid w:val="00034B16"/>
    <w:rsid w:val="00034B4A"/>
    <w:rsid w:val="00034BFA"/>
    <w:rsid w:val="00034C87"/>
    <w:rsid w:val="00034CFF"/>
    <w:rsid w:val="00034D0A"/>
    <w:rsid w:val="00034D77"/>
    <w:rsid w:val="00034E53"/>
    <w:rsid w:val="00034E7A"/>
    <w:rsid w:val="0003509E"/>
    <w:rsid w:val="000350E2"/>
    <w:rsid w:val="00035105"/>
    <w:rsid w:val="00035408"/>
    <w:rsid w:val="0003545C"/>
    <w:rsid w:val="00035494"/>
    <w:rsid w:val="000355B1"/>
    <w:rsid w:val="000356CF"/>
    <w:rsid w:val="0003571F"/>
    <w:rsid w:val="0003573F"/>
    <w:rsid w:val="000357D4"/>
    <w:rsid w:val="0003586A"/>
    <w:rsid w:val="000358DA"/>
    <w:rsid w:val="00035909"/>
    <w:rsid w:val="00035A74"/>
    <w:rsid w:val="00035AD8"/>
    <w:rsid w:val="00035B82"/>
    <w:rsid w:val="00035BC2"/>
    <w:rsid w:val="00035C1D"/>
    <w:rsid w:val="00035C3A"/>
    <w:rsid w:val="00035C8D"/>
    <w:rsid w:val="00035D03"/>
    <w:rsid w:val="00035D3C"/>
    <w:rsid w:val="00035D7A"/>
    <w:rsid w:val="00035DD4"/>
    <w:rsid w:val="00035DDF"/>
    <w:rsid w:val="00035E50"/>
    <w:rsid w:val="00035E99"/>
    <w:rsid w:val="00035FA8"/>
    <w:rsid w:val="00035FB6"/>
    <w:rsid w:val="00035FFA"/>
    <w:rsid w:val="00036053"/>
    <w:rsid w:val="0003615F"/>
    <w:rsid w:val="000361A0"/>
    <w:rsid w:val="000361D1"/>
    <w:rsid w:val="000363E3"/>
    <w:rsid w:val="00036503"/>
    <w:rsid w:val="00036551"/>
    <w:rsid w:val="0003657D"/>
    <w:rsid w:val="00036710"/>
    <w:rsid w:val="000367CD"/>
    <w:rsid w:val="000367EB"/>
    <w:rsid w:val="000367F0"/>
    <w:rsid w:val="000367FE"/>
    <w:rsid w:val="000368C9"/>
    <w:rsid w:val="000368D2"/>
    <w:rsid w:val="00036A3A"/>
    <w:rsid w:val="00036AD8"/>
    <w:rsid w:val="00036AEB"/>
    <w:rsid w:val="00036AF0"/>
    <w:rsid w:val="00036B74"/>
    <w:rsid w:val="00036C8F"/>
    <w:rsid w:val="00036D6D"/>
    <w:rsid w:val="00036E60"/>
    <w:rsid w:val="00036EF3"/>
    <w:rsid w:val="00036F7B"/>
    <w:rsid w:val="00036FBA"/>
    <w:rsid w:val="00037017"/>
    <w:rsid w:val="0003701A"/>
    <w:rsid w:val="00037037"/>
    <w:rsid w:val="00037302"/>
    <w:rsid w:val="00037339"/>
    <w:rsid w:val="0003737B"/>
    <w:rsid w:val="00037398"/>
    <w:rsid w:val="000374E9"/>
    <w:rsid w:val="00037A5A"/>
    <w:rsid w:val="00037A8B"/>
    <w:rsid w:val="00037BC7"/>
    <w:rsid w:val="00037BE0"/>
    <w:rsid w:val="00037DDF"/>
    <w:rsid w:val="00037E3E"/>
    <w:rsid w:val="00037E3F"/>
    <w:rsid w:val="00037F42"/>
    <w:rsid w:val="00037F89"/>
    <w:rsid w:val="0004005D"/>
    <w:rsid w:val="000400E5"/>
    <w:rsid w:val="00040482"/>
    <w:rsid w:val="00040490"/>
    <w:rsid w:val="0004058A"/>
    <w:rsid w:val="00040625"/>
    <w:rsid w:val="00040635"/>
    <w:rsid w:val="00040703"/>
    <w:rsid w:val="000408F5"/>
    <w:rsid w:val="00040990"/>
    <w:rsid w:val="000409BA"/>
    <w:rsid w:val="000409D7"/>
    <w:rsid w:val="00040AAF"/>
    <w:rsid w:val="00040AC5"/>
    <w:rsid w:val="00040ADF"/>
    <w:rsid w:val="00040C88"/>
    <w:rsid w:val="00040D5D"/>
    <w:rsid w:val="00040DFB"/>
    <w:rsid w:val="00040E23"/>
    <w:rsid w:val="00040F86"/>
    <w:rsid w:val="00040FB4"/>
    <w:rsid w:val="00040FEE"/>
    <w:rsid w:val="0004107F"/>
    <w:rsid w:val="00041113"/>
    <w:rsid w:val="00041159"/>
    <w:rsid w:val="00041367"/>
    <w:rsid w:val="00041394"/>
    <w:rsid w:val="000415AF"/>
    <w:rsid w:val="00041659"/>
    <w:rsid w:val="00041684"/>
    <w:rsid w:val="0004178C"/>
    <w:rsid w:val="00041794"/>
    <w:rsid w:val="000417C1"/>
    <w:rsid w:val="0004190B"/>
    <w:rsid w:val="00041A3C"/>
    <w:rsid w:val="00041A6C"/>
    <w:rsid w:val="00041A8F"/>
    <w:rsid w:val="00041AD9"/>
    <w:rsid w:val="00041BB5"/>
    <w:rsid w:val="00041BF1"/>
    <w:rsid w:val="00041C3C"/>
    <w:rsid w:val="00041CA8"/>
    <w:rsid w:val="00041CCF"/>
    <w:rsid w:val="00041D4B"/>
    <w:rsid w:val="00041EBD"/>
    <w:rsid w:val="00041F55"/>
    <w:rsid w:val="00041F5D"/>
    <w:rsid w:val="00041FC7"/>
    <w:rsid w:val="00041FD1"/>
    <w:rsid w:val="00042032"/>
    <w:rsid w:val="000420B7"/>
    <w:rsid w:val="000420E2"/>
    <w:rsid w:val="000421F0"/>
    <w:rsid w:val="0004224C"/>
    <w:rsid w:val="0004226C"/>
    <w:rsid w:val="000422DB"/>
    <w:rsid w:val="00042460"/>
    <w:rsid w:val="0004247D"/>
    <w:rsid w:val="000424F1"/>
    <w:rsid w:val="000424F7"/>
    <w:rsid w:val="00042628"/>
    <w:rsid w:val="000426AA"/>
    <w:rsid w:val="000427FE"/>
    <w:rsid w:val="00042867"/>
    <w:rsid w:val="000428C7"/>
    <w:rsid w:val="000428DF"/>
    <w:rsid w:val="0004294F"/>
    <w:rsid w:val="00042B95"/>
    <w:rsid w:val="00042BFB"/>
    <w:rsid w:val="00042D1D"/>
    <w:rsid w:val="00042DBC"/>
    <w:rsid w:val="00043042"/>
    <w:rsid w:val="000430BB"/>
    <w:rsid w:val="00043159"/>
    <w:rsid w:val="00043176"/>
    <w:rsid w:val="0004323E"/>
    <w:rsid w:val="00043359"/>
    <w:rsid w:val="0004339F"/>
    <w:rsid w:val="00043534"/>
    <w:rsid w:val="00043543"/>
    <w:rsid w:val="00043636"/>
    <w:rsid w:val="000438DF"/>
    <w:rsid w:val="00043AB2"/>
    <w:rsid w:val="00043BC8"/>
    <w:rsid w:val="00043C5F"/>
    <w:rsid w:val="00043D7B"/>
    <w:rsid w:val="00043D92"/>
    <w:rsid w:val="00043E9A"/>
    <w:rsid w:val="00043F24"/>
    <w:rsid w:val="00044077"/>
    <w:rsid w:val="000440DB"/>
    <w:rsid w:val="000440E0"/>
    <w:rsid w:val="00044179"/>
    <w:rsid w:val="00044255"/>
    <w:rsid w:val="00044294"/>
    <w:rsid w:val="000443A6"/>
    <w:rsid w:val="0004441F"/>
    <w:rsid w:val="000444E7"/>
    <w:rsid w:val="00044559"/>
    <w:rsid w:val="00044593"/>
    <w:rsid w:val="0004464A"/>
    <w:rsid w:val="000446A4"/>
    <w:rsid w:val="0004471D"/>
    <w:rsid w:val="000447B4"/>
    <w:rsid w:val="000448D4"/>
    <w:rsid w:val="000448F5"/>
    <w:rsid w:val="00044978"/>
    <w:rsid w:val="0004497A"/>
    <w:rsid w:val="000449D1"/>
    <w:rsid w:val="000449DB"/>
    <w:rsid w:val="000449E0"/>
    <w:rsid w:val="00044A92"/>
    <w:rsid w:val="00044B07"/>
    <w:rsid w:val="00044B66"/>
    <w:rsid w:val="00044BD6"/>
    <w:rsid w:val="00044D15"/>
    <w:rsid w:val="00044D77"/>
    <w:rsid w:val="00044D7E"/>
    <w:rsid w:val="00044DB8"/>
    <w:rsid w:val="00044DFA"/>
    <w:rsid w:val="00044EC9"/>
    <w:rsid w:val="00044FA5"/>
    <w:rsid w:val="00045047"/>
    <w:rsid w:val="0004514B"/>
    <w:rsid w:val="000453B4"/>
    <w:rsid w:val="000454A5"/>
    <w:rsid w:val="000454A8"/>
    <w:rsid w:val="000458E8"/>
    <w:rsid w:val="000459AE"/>
    <w:rsid w:val="000459D7"/>
    <w:rsid w:val="00045B63"/>
    <w:rsid w:val="00045B8D"/>
    <w:rsid w:val="00045BA4"/>
    <w:rsid w:val="00045BD5"/>
    <w:rsid w:val="00045C19"/>
    <w:rsid w:val="00045CC5"/>
    <w:rsid w:val="00045DA9"/>
    <w:rsid w:val="00045E73"/>
    <w:rsid w:val="00045EE9"/>
    <w:rsid w:val="00046020"/>
    <w:rsid w:val="00046059"/>
    <w:rsid w:val="00046146"/>
    <w:rsid w:val="0004614D"/>
    <w:rsid w:val="000461A8"/>
    <w:rsid w:val="00046228"/>
    <w:rsid w:val="0004628D"/>
    <w:rsid w:val="000462E4"/>
    <w:rsid w:val="00046340"/>
    <w:rsid w:val="00046393"/>
    <w:rsid w:val="00046412"/>
    <w:rsid w:val="00046469"/>
    <w:rsid w:val="00046543"/>
    <w:rsid w:val="00046544"/>
    <w:rsid w:val="000465CA"/>
    <w:rsid w:val="000465EA"/>
    <w:rsid w:val="000466D5"/>
    <w:rsid w:val="0004693F"/>
    <w:rsid w:val="00046990"/>
    <w:rsid w:val="000469BE"/>
    <w:rsid w:val="000469C1"/>
    <w:rsid w:val="00046A06"/>
    <w:rsid w:val="00046A51"/>
    <w:rsid w:val="00046A70"/>
    <w:rsid w:val="00046A85"/>
    <w:rsid w:val="00046AAF"/>
    <w:rsid w:val="00046B6A"/>
    <w:rsid w:val="00046BBD"/>
    <w:rsid w:val="00046C84"/>
    <w:rsid w:val="00046CCF"/>
    <w:rsid w:val="00046F1D"/>
    <w:rsid w:val="00046FFB"/>
    <w:rsid w:val="000470D9"/>
    <w:rsid w:val="000471C2"/>
    <w:rsid w:val="000471F5"/>
    <w:rsid w:val="000472D4"/>
    <w:rsid w:val="00047323"/>
    <w:rsid w:val="000473D0"/>
    <w:rsid w:val="0004745D"/>
    <w:rsid w:val="000474F2"/>
    <w:rsid w:val="00047537"/>
    <w:rsid w:val="0004758D"/>
    <w:rsid w:val="000475B7"/>
    <w:rsid w:val="0004765B"/>
    <w:rsid w:val="000476FB"/>
    <w:rsid w:val="00047733"/>
    <w:rsid w:val="000477A3"/>
    <w:rsid w:val="000477F6"/>
    <w:rsid w:val="00047846"/>
    <w:rsid w:val="00047922"/>
    <w:rsid w:val="00047A27"/>
    <w:rsid w:val="00047C78"/>
    <w:rsid w:val="00047C9C"/>
    <w:rsid w:val="00047CF4"/>
    <w:rsid w:val="00047D3C"/>
    <w:rsid w:val="00047DA2"/>
    <w:rsid w:val="00047DE0"/>
    <w:rsid w:val="00047E2F"/>
    <w:rsid w:val="00047EE9"/>
    <w:rsid w:val="00047FB8"/>
    <w:rsid w:val="00047FEF"/>
    <w:rsid w:val="0004C780"/>
    <w:rsid w:val="0005005B"/>
    <w:rsid w:val="0005008E"/>
    <w:rsid w:val="00050100"/>
    <w:rsid w:val="0005010A"/>
    <w:rsid w:val="00050185"/>
    <w:rsid w:val="00050193"/>
    <w:rsid w:val="0005034E"/>
    <w:rsid w:val="0005035D"/>
    <w:rsid w:val="00050486"/>
    <w:rsid w:val="00050587"/>
    <w:rsid w:val="000505F7"/>
    <w:rsid w:val="0005062F"/>
    <w:rsid w:val="00050756"/>
    <w:rsid w:val="00050770"/>
    <w:rsid w:val="00050785"/>
    <w:rsid w:val="000507D9"/>
    <w:rsid w:val="000507DD"/>
    <w:rsid w:val="000507F3"/>
    <w:rsid w:val="000508B5"/>
    <w:rsid w:val="000508FF"/>
    <w:rsid w:val="00050930"/>
    <w:rsid w:val="00050984"/>
    <w:rsid w:val="00050998"/>
    <w:rsid w:val="000509C6"/>
    <w:rsid w:val="000509F7"/>
    <w:rsid w:val="00050A5A"/>
    <w:rsid w:val="00050AE4"/>
    <w:rsid w:val="00050AF0"/>
    <w:rsid w:val="00050AFD"/>
    <w:rsid w:val="00050B40"/>
    <w:rsid w:val="00050DC9"/>
    <w:rsid w:val="00050DE3"/>
    <w:rsid w:val="00050DE8"/>
    <w:rsid w:val="00050DEE"/>
    <w:rsid w:val="00050E66"/>
    <w:rsid w:val="00050F75"/>
    <w:rsid w:val="00051022"/>
    <w:rsid w:val="0005122B"/>
    <w:rsid w:val="000512B5"/>
    <w:rsid w:val="000512C9"/>
    <w:rsid w:val="000513B2"/>
    <w:rsid w:val="000514E0"/>
    <w:rsid w:val="00051582"/>
    <w:rsid w:val="000515B4"/>
    <w:rsid w:val="00051624"/>
    <w:rsid w:val="0005166B"/>
    <w:rsid w:val="00051790"/>
    <w:rsid w:val="00051796"/>
    <w:rsid w:val="00051868"/>
    <w:rsid w:val="000518A0"/>
    <w:rsid w:val="0005198F"/>
    <w:rsid w:val="000519F4"/>
    <w:rsid w:val="00051A6A"/>
    <w:rsid w:val="00051A85"/>
    <w:rsid w:val="00051A8B"/>
    <w:rsid w:val="00051B16"/>
    <w:rsid w:val="00051BDB"/>
    <w:rsid w:val="00051BE9"/>
    <w:rsid w:val="00051D0C"/>
    <w:rsid w:val="00051D57"/>
    <w:rsid w:val="00051D68"/>
    <w:rsid w:val="00051D7B"/>
    <w:rsid w:val="00051DA4"/>
    <w:rsid w:val="00051DF5"/>
    <w:rsid w:val="00051EC5"/>
    <w:rsid w:val="00051ED0"/>
    <w:rsid w:val="000520C7"/>
    <w:rsid w:val="00052173"/>
    <w:rsid w:val="000521EE"/>
    <w:rsid w:val="00052223"/>
    <w:rsid w:val="00052289"/>
    <w:rsid w:val="000522CE"/>
    <w:rsid w:val="000523F1"/>
    <w:rsid w:val="00052467"/>
    <w:rsid w:val="000524D0"/>
    <w:rsid w:val="000525D1"/>
    <w:rsid w:val="000527EB"/>
    <w:rsid w:val="000529BA"/>
    <w:rsid w:val="00052A06"/>
    <w:rsid w:val="00052B3C"/>
    <w:rsid w:val="00052B74"/>
    <w:rsid w:val="00052BE0"/>
    <w:rsid w:val="00052C30"/>
    <w:rsid w:val="00052C63"/>
    <w:rsid w:val="00052C92"/>
    <w:rsid w:val="00052C96"/>
    <w:rsid w:val="00052D66"/>
    <w:rsid w:val="00052DC3"/>
    <w:rsid w:val="00052DD3"/>
    <w:rsid w:val="00052DF4"/>
    <w:rsid w:val="00052E5E"/>
    <w:rsid w:val="00052EE9"/>
    <w:rsid w:val="00052EF2"/>
    <w:rsid w:val="00052EF5"/>
    <w:rsid w:val="00052F8B"/>
    <w:rsid w:val="00053027"/>
    <w:rsid w:val="0005317B"/>
    <w:rsid w:val="00053193"/>
    <w:rsid w:val="000531B1"/>
    <w:rsid w:val="00053220"/>
    <w:rsid w:val="0005326D"/>
    <w:rsid w:val="0005341D"/>
    <w:rsid w:val="00053679"/>
    <w:rsid w:val="00053707"/>
    <w:rsid w:val="00053771"/>
    <w:rsid w:val="0005380E"/>
    <w:rsid w:val="00053937"/>
    <w:rsid w:val="00053944"/>
    <w:rsid w:val="00053A0F"/>
    <w:rsid w:val="00053A45"/>
    <w:rsid w:val="00053B87"/>
    <w:rsid w:val="00053C6F"/>
    <w:rsid w:val="00053CA6"/>
    <w:rsid w:val="00053D8F"/>
    <w:rsid w:val="00053E67"/>
    <w:rsid w:val="00053EF7"/>
    <w:rsid w:val="00053EF8"/>
    <w:rsid w:val="00053F6C"/>
    <w:rsid w:val="00053F74"/>
    <w:rsid w:val="00053FA1"/>
    <w:rsid w:val="0005400A"/>
    <w:rsid w:val="00054116"/>
    <w:rsid w:val="00054311"/>
    <w:rsid w:val="000543E7"/>
    <w:rsid w:val="00054417"/>
    <w:rsid w:val="00054430"/>
    <w:rsid w:val="000545D5"/>
    <w:rsid w:val="000546DD"/>
    <w:rsid w:val="00054790"/>
    <w:rsid w:val="000547A1"/>
    <w:rsid w:val="0005483E"/>
    <w:rsid w:val="000549DA"/>
    <w:rsid w:val="000549E6"/>
    <w:rsid w:val="00054B88"/>
    <w:rsid w:val="00054BD5"/>
    <w:rsid w:val="00054F7D"/>
    <w:rsid w:val="00054F92"/>
    <w:rsid w:val="00054FC2"/>
    <w:rsid w:val="00055127"/>
    <w:rsid w:val="000551B3"/>
    <w:rsid w:val="00055212"/>
    <w:rsid w:val="00055290"/>
    <w:rsid w:val="0005529E"/>
    <w:rsid w:val="000552F3"/>
    <w:rsid w:val="000553BF"/>
    <w:rsid w:val="00055436"/>
    <w:rsid w:val="00055458"/>
    <w:rsid w:val="00055483"/>
    <w:rsid w:val="0005569E"/>
    <w:rsid w:val="000557A0"/>
    <w:rsid w:val="00055860"/>
    <w:rsid w:val="00055AC3"/>
    <w:rsid w:val="00055B27"/>
    <w:rsid w:val="00055B57"/>
    <w:rsid w:val="00055B68"/>
    <w:rsid w:val="00055B87"/>
    <w:rsid w:val="00055BD4"/>
    <w:rsid w:val="00055D66"/>
    <w:rsid w:val="00055DCF"/>
    <w:rsid w:val="00055EA1"/>
    <w:rsid w:val="00055ECD"/>
    <w:rsid w:val="00055F14"/>
    <w:rsid w:val="00055F3C"/>
    <w:rsid w:val="00056059"/>
    <w:rsid w:val="00056223"/>
    <w:rsid w:val="00056275"/>
    <w:rsid w:val="000562BF"/>
    <w:rsid w:val="00056319"/>
    <w:rsid w:val="0005631B"/>
    <w:rsid w:val="0005639D"/>
    <w:rsid w:val="00056443"/>
    <w:rsid w:val="0005645F"/>
    <w:rsid w:val="000564D1"/>
    <w:rsid w:val="00056506"/>
    <w:rsid w:val="00056584"/>
    <w:rsid w:val="000565AA"/>
    <w:rsid w:val="0005662F"/>
    <w:rsid w:val="000566D7"/>
    <w:rsid w:val="00056713"/>
    <w:rsid w:val="0005675D"/>
    <w:rsid w:val="000567D2"/>
    <w:rsid w:val="000567FB"/>
    <w:rsid w:val="00056926"/>
    <w:rsid w:val="000569F9"/>
    <w:rsid w:val="00056B89"/>
    <w:rsid w:val="00056B8D"/>
    <w:rsid w:val="00056BC5"/>
    <w:rsid w:val="00056C47"/>
    <w:rsid w:val="00056D66"/>
    <w:rsid w:val="00056D6F"/>
    <w:rsid w:val="00056E22"/>
    <w:rsid w:val="00056E78"/>
    <w:rsid w:val="00056F02"/>
    <w:rsid w:val="00056FA5"/>
    <w:rsid w:val="000570A7"/>
    <w:rsid w:val="00057171"/>
    <w:rsid w:val="0005729A"/>
    <w:rsid w:val="00057334"/>
    <w:rsid w:val="000573E2"/>
    <w:rsid w:val="0005743B"/>
    <w:rsid w:val="00057449"/>
    <w:rsid w:val="00057468"/>
    <w:rsid w:val="000574C1"/>
    <w:rsid w:val="0005757D"/>
    <w:rsid w:val="00057586"/>
    <w:rsid w:val="000575C6"/>
    <w:rsid w:val="000575FB"/>
    <w:rsid w:val="000576B8"/>
    <w:rsid w:val="00057895"/>
    <w:rsid w:val="00057937"/>
    <w:rsid w:val="00057980"/>
    <w:rsid w:val="000579F9"/>
    <w:rsid w:val="00057A1E"/>
    <w:rsid w:val="00057B58"/>
    <w:rsid w:val="00057B78"/>
    <w:rsid w:val="00057B7F"/>
    <w:rsid w:val="00057CC0"/>
    <w:rsid w:val="00057DD6"/>
    <w:rsid w:val="00057EC5"/>
    <w:rsid w:val="00057EF2"/>
    <w:rsid w:val="0006001B"/>
    <w:rsid w:val="00060066"/>
    <w:rsid w:val="000600EA"/>
    <w:rsid w:val="00060143"/>
    <w:rsid w:val="00060206"/>
    <w:rsid w:val="0006020C"/>
    <w:rsid w:val="0006021E"/>
    <w:rsid w:val="0006030F"/>
    <w:rsid w:val="000603C8"/>
    <w:rsid w:val="000603E9"/>
    <w:rsid w:val="00060590"/>
    <w:rsid w:val="0006068F"/>
    <w:rsid w:val="00060810"/>
    <w:rsid w:val="00060AD2"/>
    <w:rsid w:val="00060ADD"/>
    <w:rsid w:val="00060BC6"/>
    <w:rsid w:val="00060BCA"/>
    <w:rsid w:val="00060CB6"/>
    <w:rsid w:val="00060CE0"/>
    <w:rsid w:val="00060D88"/>
    <w:rsid w:val="00060DB1"/>
    <w:rsid w:val="00060EF4"/>
    <w:rsid w:val="000611CE"/>
    <w:rsid w:val="00061205"/>
    <w:rsid w:val="000612A7"/>
    <w:rsid w:val="000616B4"/>
    <w:rsid w:val="000618BA"/>
    <w:rsid w:val="000618C8"/>
    <w:rsid w:val="0006192F"/>
    <w:rsid w:val="00061A65"/>
    <w:rsid w:val="00061ADE"/>
    <w:rsid w:val="00061B4C"/>
    <w:rsid w:val="00061BC3"/>
    <w:rsid w:val="00061C5F"/>
    <w:rsid w:val="00061CB9"/>
    <w:rsid w:val="00061CE1"/>
    <w:rsid w:val="00061D56"/>
    <w:rsid w:val="00061EC5"/>
    <w:rsid w:val="00061ECA"/>
    <w:rsid w:val="00061EF4"/>
    <w:rsid w:val="00062005"/>
    <w:rsid w:val="00062012"/>
    <w:rsid w:val="0006205E"/>
    <w:rsid w:val="00062283"/>
    <w:rsid w:val="0006238B"/>
    <w:rsid w:val="00062466"/>
    <w:rsid w:val="000624F2"/>
    <w:rsid w:val="0006251C"/>
    <w:rsid w:val="0006259A"/>
    <w:rsid w:val="000625BF"/>
    <w:rsid w:val="000625D0"/>
    <w:rsid w:val="000626D4"/>
    <w:rsid w:val="000627C0"/>
    <w:rsid w:val="000627EF"/>
    <w:rsid w:val="0006286B"/>
    <w:rsid w:val="00062892"/>
    <w:rsid w:val="000628F0"/>
    <w:rsid w:val="00062A3C"/>
    <w:rsid w:val="00062B5F"/>
    <w:rsid w:val="00062CA4"/>
    <w:rsid w:val="00062CCE"/>
    <w:rsid w:val="00062D3A"/>
    <w:rsid w:val="00062D9B"/>
    <w:rsid w:val="00062DE3"/>
    <w:rsid w:val="00062E6D"/>
    <w:rsid w:val="00062EEC"/>
    <w:rsid w:val="00062F78"/>
    <w:rsid w:val="00062FDB"/>
    <w:rsid w:val="0006306F"/>
    <w:rsid w:val="000631C1"/>
    <w:rsid w:val="00063282"/>
    <w:rsid w:val="000632B7"/>
    <w:rsid w:val="0006339C"/>
    <w:rsid w:val="00063472"/>
    <w:rsid w:val="000635C7"/>
    <w:rsid w:val="000635F5"/>
    <w:rsid w:val="00063667"/>
    <w:rsid w:val="000636B7"/>
    <w:rsid w:val="000636DC"/>
    <w:rsid w:val="000638BE"/>
    <w:rsid w:val="000639EE"/>
    <w:rsid w:val="00063A52"/>
    <w:rsid w:val="00063A62"/>
    <w:rsid w:val="00063AFA"/>
    <w:rsid w:val="00063B2D"/>
    <w:rsid w:val="00063B7E"/>
    <w:rsid w:val="00063B7F"/>
    <w:rsid w:val="00063C0E"/>
    <w:rsid w:val="00063C73"/>
    <w:rsid w:val="00063C7B"/>
    <w:rsid w:val="00063FAC"/>
    <w:rsid w:val="00063FAF"/>
    <w:rsid w:val="00064137"/>
    <w:rsid w:val="000641FD"/>
    <w:rsid w:val="00064299"/>
    <w:rsid w:val="00064390"/>
    <w:rsid w:val="000643C5"/>
    <w:rsid w:val="000644C3"/>
    <w:rsid w:val="000644DF"/>
    <w:rsid w:val="0006462B"/>
    <w:rsid w:val="0006474E"/>
    <w:rsid w:val="00064783"/>
    <w:rsid w:val="000647C2"/>
    <w:rsid w:val="00064816"/>
    <w:rsid w:val="00064831"/>
    <w:rsid w:val="0006492B"/>
    <w:rsid w:val="00064C31"/>
    <w:rsid w:val="00064E44"/>
    <w:rsid w:val="00064E4B"/>
    <w:rsid w:val="00064E87"/>
    <w:rsid w:val="00064F4F"/>
    <w:rsid w:val="00064F70"/>
    <w:rsid w:val="00064FA9"/>
    <w:rsid w:val="00065055"/>
    <w:rsid w:val="000654D2"/>
    <w:rsid w:val="000656CF"/>
    <w:rsid w:val="000656FE"/>
    <w:rsid w:val="00065701"/>
    <w:rsid w:val="000657CD"/>
    <w:rsid w:val="000657E5"/>
    <w:rsid w:val="000658AC"/>
    <w:rsid w:val="0006596C"/>
    <w:rsid w:val="00065A61"/>
    <w:rsid w:val="00065CD9"/>
    <w:rsid w:val="00065D3D"/>
    <w:rsid w:val="00065D6F"/>
    <w:rsid w:val="00065E6F"/>
    <w:rsid w:val="00065EA4"/>
    <w:rsid w:val="00065F88"/>
    <w:rsid w:val="00065FAB"/>
    <w:rsid w:val="0006600B"/>
    <w:rsid w:val="00066052"/>
    <w:rsid w:val="000660E9"/>
    <w:rsid w:val="000660F3"/>
    <w:rsid w:val="0006611B"/>
    <w:rsid w:val="00066175"/>
    <w:rsid w:val="000662E9"/>
    <w:rsid w:val="0006632A"/>
    <w:rsid w:val="00066647"/>
    <w:rsid w:val="00066675"/>
    <w:rsid w:val="00066706"/>
    <w:rsid w:val="00066808"/>
    <w:rsid w:val="00066943"/>
    <w:rsid w:val="00066A2B"/>
    <w:rsid w:val="00066BB0"/>
    <w:rsid w:val="00066C63"/>
    <w:rsid w:val="00066CBC"/>
    <w:rsid w:val="00066CFB"/>
    <w:rsid w:val="00066E68"/>
    <w:rsid w:val="00066E97"/>
    <w:rsid w:val="00066EF5"/>
    <w:rsid w:val="00067089"/>
    <w:rsid w:val="0006709F"/>
    <w:rsid w:val="000670AF"/>
    <w:rsid w:val="000672CC"/>
    <w:rsid w:val="00067344"/>
    <w:rsid w:val="00067403"/>
    <w:rsid w:val="00067426"/>
    <w:rsid w:val="00067446"/>
    <w:rsid w:val="00067480"/>
    <w:rsid w:val="000675CE"/>
    <w:rsid w:val="00067602"/>
    <w:rsid w:val="00067765"/>
    <w:rsid w:val="00067793"/>
    <w:rsid w:val="0006780D"/>
    <w:rsid w:val="00067867"/>
    <w:rsid w:val="00067899"/>
    <w:rsid w:val="000678E2"/>
    <w:rsid w:val="00067A01"/>
    <w:rsid w:val="00067A75"/>
    <w:rsid w:val="00067A77"/>
    <w:rsid w:val="00067A95"/>
    <w:rsid w:val="00067C59"/>
    <w:rsid w:val="00067CB0"/>
    <w:rsid w:val="00067E6D"/>
    <w:rsid w:val="00067E6F"/>
    <w:rsid w:val="00067E73"/>
    <w:rsid w:val="00067F83"/>
    <w:rsid w:val="0007009C"/>
    <w:rsid w:val="0007021F"/>
    <w:rsid w:val="0007022D"/>
    <w:rsid w:val="00070252"/>
    <w:rsid w:val="000702B6"/>
    <w:rsid w:val="000702ED"/>
    <w:rsid w:val="0007032E"/>
    <w:rsid w:val="00070423"/>
    <w:rsid w:val="00070552"/>
    <w:rsid w:val="0007055D"/>
    <w:rsid w:val="00070577"/>
    <w:rsid w:val="000705A7"/>
    <w:rsid w:val="000705D0"/>
    <w:rsid w:val="00070606"/>
    <w:rsid w:val="0007061A"/>
    <w:rsid w:val="000706EF"/>
    <w:rsid w:val="000706F3"/>
    <w:rsid w:val="00070749"/>
    <w:rsid w:val="00070793"/>
    <w:rsid w:val="000707DB"/>
    <w:rsid w:val="00070893"/>
    <w:rsid w:val="00070949"/>
    <w:rsid w:val="000709A0"/>
    <w:rsid w:val="000709E1"/>
    <w:rsid w:val="00070A43"/>
    <w:rsid w:val="00070A8D"/>
    <w:rsid w:val="00070AC0"/>
    <w:rsid w:val="00070BD3"/>
    <w:rsid w:val="00070BFB"/>
    <w:rsid w:val="00070CC4"/>
    <w:rsid w:val="00070CC7"/>
    <w:rsid w:val="00070D32"/>
    <w:rsid w:val="00070D75"/>
    <w:rsid w:val="00070D94"/>
    <w:rsid w:val="00070DB2"/>
    <w:rsid w:val="00070DBB"/>
    <w:rsid w:val="00070E45"/>
    <w:rsid w:val="00070E50"/>
    <w:rsid w:val="00070EB0"/>
    <w:rsid w:val="00070EB9"/>
    <w:rsid w:val="00070EEC"/>
    <w:rsid w:val="00071003"/>
    <w:rsid w:val="000710D9"/>
    <w:rsid w:val="000710FD"/>
    <w:rsid w:val="00071148"/>
    <w:rsid w:val="0007117C"/>
    <w:rsid w:val="00071226"/>
    <w:rsid w:val="0007122F"/>
    <w:rsid w:val="00071231"/>
    <w:rsid w:val="00071322"/>
    <w:rsid w:val="000713CD"/>
    <w:rsid w:val="0007169C"/>
    <w:rsid w:val="00071794"/>
    <w:rsid w:val="000718CE"/>
    <w:rsid w:val="000718FF"/>
    <w:rsid w:val="00071942"/>
    <w:rsid w:val="0007194F"/>
    <w:rsid w:val="00071988"/>
    <w:rsid w:val="000719A8"/>
    <w:rsid w:val="000719C9"/>
    <w:rsid w:val="000719FC"/>
    <w:rsid w:val="00071BD7"/>
    <w:rsid w:val="00071BF2"/>
    <w:rsid w:val="00071C31"/>
    <w:rsid w:val="00071C8C"/>
    <w:rsid w:val="00071CA5"/>
    <w:rsid w:val="00071D26"/>
    <w:rsid w:val="00071D55"/>
    <w:rsid w:val="00071E1F"/>
    <w:rsid w:val="00071F28"/>
    <w:rsid w:val="00072056"/>
    <w:rsid w:val="000720DD"/>
    <w:rsid w:val="00072159"/>
    <w:rsid w:val="00072173"/>
    <w:rsid w:val="000721D8"/>
    <w:rsid w:val="0007234B"/>
    <w:rsid w:val="0007239E"/>
    <w:rsid w:val="000723AE"/>
    <w:rsid w:val="000724B5"/>
    <w:rsid w:val="0007255F"/>
    <w:rsid w:val="0007260E"/>
    <w:rsid w:val="0007263E"/>
    <w:rsid w:val="00072773"/>
    <w:rsid w:val="00072854"/>
    <w:rsid w:val="0007285F"/>
    <w:rsid w:val="0007288A"/>
    <w:rsid w:val="000728F8"/>
    <w:rsid w:val="0007295E"/>
    <w:rsid w:val="00072A62"/>
    <w:rsid w:val="00072AC6"/>
    <w:rsid w:val="00072B4F"/>
    <w:rsid w:val="00072B79"/>
    <w:rsid w:val="00072B8C"/>
    <w:rsid w:val="00072BA8"/>
    <w:rsid w:val="00072C6E"/>
    <w:rsid w:val="00072CE1"/>
    <w:rsid w:val="00072D4B"/>
    <w:rsid w:val="00072E74"/>
    <w:rsid w:val="00072E7B"/>
    <w:rsid w:val="000730B3"/>
    <w:rsid w:val="00073191"/>
    <w:rsid w:val="0007321B"/>
    <w:rsid w:val="0007327A"/>
    <w:rsid w:val="00073285"/>
    <w:rsid w:val="000732A4"/>
    <w:rsid w:val="000732B4"/>
    <w:rsid w:val="00073329"/>
    <w:rsid w:val="00073392"/>
    <w:rsid w:val="00073459"/>
    <w:rsid w:val="0007346B"/>
    <w:rsid w:val="000734BF"/>
    <w:rsid w:val="0007351D"/>
    <w:rsid w:val="00073522"/>
    <w:rsid w:val="00073590"/>
    <w:rsid w:val="00073755"/>
    <w:rsid w:val="000737D2"/>
    <w:rsid w:val="0007383A"/>
    <w:rsid w:val="00073986"/>
    <w:rsid w:val="0007399F"/>
    <w:rsid w:val="00073A4D"/>
    <w:rsid w:val="00073A67"/>
    <w:rsid w:val="00073B9C"/>
    <w:rsid w:val="00073CA9"/>
    <w:rsid w:val="00073DEE"/>
    <w:rsid w:val="00073E67"/>
    <w:rsid w:val="00073EA0"/>
    <w:rsid w:val="00073EEC"/>
    <w:rsid w:val="0007410D"/>
    <w:rsid w:val="0007416B"/>
    <w:rsid w:val="0007416E"/>
    <w:rsid w:val="00074199"/>
    <w:rsid w:val="000741F7"/>
    <w:rsid w:val="000742D2"/>
    <w:rsid w:val="00074458"/>
    <w:rsid w:val="000744D2"/>
    <w:rsid w:val="000745EE"/>
    <w:rsid w:val="00074615"/>
    <w:rsid w:val="00074733"/>
    <w:rsid w:val="00074745"/>
    <w:rsid w:val="000748AB"/>
    <w:rsid w:val="000748B5"/>
    <w:rsid w:val="000748FF"/>
    <w:rsid w:val="00074978"/>
    <w:rsid w:val="000749B2"/>
    <w:rsid w:val="00074A2C"/>
    <w:rsid w:val="00074A64"/>
    <w:rsid w:val="00074A8E"/>
    <w:rsid w:val="00074B36"/>
    <w:rsid w:val="00074BA8"/>
    <w:rsid w:val="00074BD8"/>
    <w:rsid w:val="00074C96"/>
    <w:rsid w:val="00074CCF"/>
    <w:rsid w:val="00074F0E"/>
    <w:rsid w:val="00075041"/>
    <w:rsid w:val="00075173"/>
    <w:rsid w:val="000751EE"/>
    <w:rsid w:val="000752C0"/>
    <w:rsid w:val="00075383"/>
    <w:rsid w:val="00075390"/>
    <w:rsid w:val="00075500"/>
    <w:rsid w:val="000755FB"/>
    <w:rsid w:val="0007563F"/>
    <w:rsid w:val="00075685"/>
    <w:rsid w:val="000756A9"/>
    <w:rsid w:val="000756D9"/>
    <w:rsid w:val="000757F0"/>
    <w:rsid w:val="000758A2"/>
    <w:rsid w:val="00075913"/>
    <w:rsid w:val="0007598E"/>
    <w:rsid w:val="00075A89"/>
    <w:rsid w:val="00075BF0"/>
    <w:rsid w:val="00075C00"/>
    <w:rsid w:val="00075C78"/>
    <w:rsid w:val="00075D89"/>
    <w:rsid w:val="00075E54"/>
    <w:rsid w:val="00075EE5"/>
    <w:rsid w:val="00075F52"/>
    <w:rsid w:val="00075F5E"/>
    <w:rsid w:val="00076154"/>
    <w:rsid w:val="00076158"/>
    <w:rsid w:val="000761E7"/>
    <w:rsid w:val="0007626B"/>
    <w:rsid w:val="0007632F"/>
    <w:rsid w:val="0007637F"/>
    <w:rsid w:val="00076432"/>
    <w:rsid w:val="0007646B"/>
    <w:rsid w:val="000764F9"/>
    <w:rsid w:val="0007665D"/>
    <w:rsid w:val="000766C9"/>
    <w:rsid w:val="0007670E"/>
    <w:rsid w:val="000767CB"/>
    <w:rsid w:val="000768B7"/>
    <w:rsid w:val="000768C4"/>
    <w:rsid w:val="00076D70"/>
    <w:rsid w:val="00076D8D"/>
    <w:rsid w:val="00076E70"/>
    <w:rsid w:val="00076E98"/>
    <w:rsid w:val="00076FFD"/>
    <w:rsid w:val="00077127"/>
    <w:rsid w:val="00077147"/>
    <w:rsid w:val="0007718E"/>
    <w:rsid w:val="000771D9"/>
    <w:rsid w:val="000771ED"/>
    <w:rsid w:val="000772BC"/>
    <w:rsid w:val="00077321"/>
    <w:rsid w:val="000774CA"/>
    <w:rsid w:val="00077525"/>
    <w:rsid w:val="00077539"/>
    <w:rsid w:val="000775A8"/>
    <w:rsid w:val="00077613"/>
    <w:rsid w:val="00077813"/>
    <w:rsid w:val="00077860"/>
    <w:rsid w:val="0007794C"/>
    <w:rsid w:val="00077A10"/>
    <w:rsid w:val="00077C5F"/>
    <w:rsid w:val="00077C97"/>
    <w:rsid w:val="00077C9E"/>
    <w:rsid w:val="00077CDE"/>
    <w:rsid w:val="00077D63"/>
    <w:rsid w:val="00077DDC"/>
    <w:rsid w:val="00077E0B"/>
    <w:rsid w:val="00077E36"/>
    <w:rsid w:val="0008003E"/>
    <w:rsid w:val="00080067"/>
    <w:rsid w:val="00080154"/>
    <w:rsid w:val="00080241"/>
    <w:rsid w:val="000802B1"/>
    <w:rsid w:val="000802F5"/>
    <w:rsid w:val="0008041D"/>
    <w:rsid w:val="0008044A"/>
    <w:rsid w:val="000805A4"/>
    <w:rsid w:val="00080785"/>
    <w:rsid w:val="000808E6"/>
    <w:rsid w:val="00080946"/>
    <w:rsid w:val="00080AE8"/>
    <w:rsid w:val="00080BD8"/>
    <w:rsid w:val="00080BD9"/>
    <w:rsid w:val="00080C96"/>
    <w:rsid w:val="00080CD3"/>
    <w:rsid w:val="00080CE4"/>
    <w:rsid w:val="00080D24"/>
    <w:rsid w:val="00080F28"/>
    <w:rsid w:val="00080F29"/>
    <w:rsid w:val="00080F67"/>
    <w:rsid w:val="00080F6E"/>
    <w:rsid w:val="00080FF2"/>
    <w:rsid w:val="00081092"/>
    <w:rsid w:val="0008126D"/>
    <w:rsid w:val="000812FE"/>
    <w:rsid w:val="000813C6"/>
    <w:rsid w:val="000815EB"/>
    <w:rsid w:val="00081629"/>
    <w:rsid w:val="0008163E"/>
    <w:rsid w:val="0008168D"/>
    <w:rsid w:val="00081778"/>
    <w:rsid w:val="000817CD"/>
    <w:rsid w:val="00081842"/>
    <w:rsid w:val="00081854"/>
    <w:rsid w:val="0008196F"/>
    <w:rsid w:val="0008197F"/>
    <w:rsid w:val="00081AD4"/>
    <w:rsid w:val="00081B48"/>
    <w:rsid w:val="00081B54"/>
    <w:rsid w:val="00081B74"/>
    <w:rsid w:val="00081B77"/>
    <w:rsid w:val="00081BAD"/>
    <w:rsid w:val="00081C4F"/>
    <w:rsid w:val="00081CCA"/>
    <w:rsid w:val="00081E28"/>
    <w:rsid w:val="00081EDF"/>
    <w:rsid w:val="00081EE7"/>
    <w:rsid w:val="00081FF5"/>
    <w:rsid w:val="00082076"/>
    <w:rsid w:val="000820D6"/>
    <w:rsid w:val="00082101"/>
    <w:rsid w:val="000822B6"/>
    <w:rsid w:val="000822E7"/>
    <w:rsid w:val="000823B7"/>
    <w:rsid w:val="00082525"/>
    <w:rsid w:val="000825DA"/>
    <w:rsid w:val="000826AE"/>
    <w:rsid w:val="000828BC"/>
    <w:rsid w:val="00082A3D"/>
    <w:rsid w:val="00082BFD"/>
    <w:rsid w:val="00082C2C"/>
    <w:rsid w:val="00082C49"/>
    <w:rsid w:val="00082C51"/>
    <w:rsid w:val="00082C95"/>
    <w:rsid w:val="00082CF3"/>
    <w:rsid w:val="00082D9F"/>
    <w:rsid w:val="00082E64"/>
    <w:rsid w:val="00082EED"/>
    <w:rsid w:val="00082F3D"/>
    <w:rsid w:val="00082F7C"/>
    <w:rsid w:val="0008311F"/>
    <w:rsid w:val="00083138"/>
    <w:rsid w:val="00083161"/>
    <w:rsid w:val="00083194"/>
    <w:rsid w:val="0008333B"/>
    <w:rsid w:val="000833A1"/>
    <w:rsid w:val="000833EC"/>
    <w:rsid w:val="00083439"/>
    <w:rsid w:val="00083552"/>
    <w:rsid w:val="00083632"/>
    <w:rsid w:val="00083750"/>
    <w:rsid w:val="00083773"/>
    <w:rsid w:val="00083814"/>
    <w:rsid w:val="00083845"/>
    <w:rsid w:val="000838A9"/>
    <w:rsid w:val="000838F8"/>
    <w:rsid w:val="000839E7"/>
    <w:rsid w:val="00083AB5"/>
    <w:rsid w:val="00083B1A"/>
    <w:rsid w:val="00083B32"/>
    <w:rsid w:val="00083CC4"/>
    <w:rsid w:val="00083D79"/>
    <w:rsid w:val="00083DFD"/>
    <w:rsid w:val="00083E31"/>
    <w:rsid w:val="00083E74"/>
    <w:rsid w:val="00083EA2"/>
    <w:rsid w:val="000840B4"/>
    <w:rsid w:val="000840BC"/>
    <w:rsid w:val="00084155"/>
    <w:rsid w:val="0008416E"/>
    <w:rsid w:val="00084197"/>
    <w:rsid w:val="000841B4"/>
    <w:rsid w:val="00084265"/>
    <w:rsid w:val="00084392"/>
    <w:rsid w:val="000843A9"/>
    <w:rsid w:val="000843AE"/>
    <w:rsid w:val="00084410"/>
    <w:rsid w:val="0008443E"/>
    <w:rsid w:val="000844E5"/>
    <w:rsid w:val="00084692"/>
    <w:rsid w:val="00084765"/>
    <w:rsid w:val="000847C8"/>
    <w:rsid w:val="000848D5"/>
    <w:rsid w:val="000848E7"/>
    <w:rsid w:val="0008499C"/>
    <w:rsid w:val="000849D5"/>
    <w:rsid w:val="00084AD2"/>
    <w:rsid w:val="00084AF8"/>
    <w:rsid w:val="00084CAD"/>
    <w:rsid w:val="00084D02"/>
    <w:rsid w:val="00084D36"/>
    <w:rsid w:val="00084E93"/>
    <w:rsid w:val="00084E95"/>
    <w:rsid w:val="00084EB1"/>
    <w:rsid w:val="00084ED2"/>
    <w:rsid w:val="00084EFE"/>
    <w:rsid w:val="0008501F"/>
    <w:rsid w:val="00085021"/>
    <w:rsid w:val="00085060"/>
    <w:rsid w:val="00085215"/>
    <w:rsid w:val="00085230"/>
    <w:rsid w:val="00085343"/>
    <w:rsid w:val="00085370"/>
    <w:rsid w:val="000854D3"/>
    <w:rsid w:val="000854FA"/>
    <w:rsid w:val="00085563"/>
    <w:rsid w:val="000856FB"/>
    <w:rsid w:val="00085708"/>
    <w:rsid w:val="00085777"/>
    <w:rsid w:val="00085817"/>
    <w:rsid w:val="00085A87"/>
    <w:rsid w:val="00085B34"/>
    <w:rsid w:val="00085B58"/>
    <w:rsid w:val="00085BAE"/>
    <w:rsid w:val="00085DB2"/>
    <w:rsid w:val="00085DD7"/>
    <w:rsid w:val="00085FDF"/>
    <w:rsid w:val="00085FE0"/>
    <w:rsid w:val="000860CB"/>
    <w:rsid w:val="00086212"/>
    <w:rsid w:val="00086254"/>
    <w:rsid w:val="0008628F"/>
    <w:rsid w:val="000862BF"/>
    <w:rsid w:val="000863A8"/>
    <w:rsid w:val="000863E2"/>
    <w:rsid w:val="0008645D"/>
    <w:rsid w:val="000864D6"/>
    <w:rsid w:val="000864E8"/>
    <w:rsid w:val="00086590"/>
    <w:rsid w:val="000866CC"/>
    <w:rsid w:val="000866D4"/>
    <w:rsid w:val="000866F1"/>
    <w:rsid w:val="00086716"/>
    <w:rsid w:val="000867CC"/>
    <w:rsid w:val="00086864"/>
    <w:rsid w:val="0008686F"/>
    <w:rsid w:val="00086877"/>
    <w:rsid w:val="000868BD"/>
    <w:rsid w:val="000868D3"/>
    <w:rsid w:val="000869F6"/>
    <w:rsid w:val="00086AF9"/>
    <w:rsid w:val="00086B58"/>
    <w:rsid w:val="00086B61"/>
    <w:rsid w:val="00086BB9"/>
    <w:rsid w:val="00086BE6"/>
    <w:rsid w:val="00086CD6"/>
    <w:rsid w:val="00086D92"/>
    <w:rsid w:val="00086EFD"/>
    <w:rsid w:val="00086F68"/>
    <w:rsid w:val="00086F84"/>
    <w:rsid w:val="00086F9C"/>
    <w:rsid w:val="00086FA7"/>
    <w:rsid w:val="000870B6"/>
    <w:rsid w:val="000870CC"/>
    <w:rsid w:val="000871D3"/>
    <w:rsid w:val="000871FC"/>
    <w:rsid w:val="00087354"/>
    <w:rsid w:val="0008759A"/>
    <w:rsid w:val="000875D5"/>
    <w:rsid w:val="0008762E"/>
    <w:rsid w:val="000876A1"/>
    <w:rsid w:val="00087810"/>
    <w:rsid w:val="00087842"/>
    <w:rsid w:val="000878DD"/>
    <w:rsid w:val="0008792D"/>
    <w:rsid w:val="00087935"/>
    <w:rsid w:val="00087972"/>
    <w:rsid w:val="00087A10"/>
    <w:rsid w:val="00087A5E"/>
    <w:rsid w:val="00087B84"/>
    <w:rsid w:val="00087C10"/>
    <w:rsid w:val="00087C7C"/>
    <w:rsid w:val="00087D13"/>
    <w:rsid w:val="00087D44"/>
    <w:rsid w:val="000900E4"/>
    <w:rsid w:val="000901A7"/>
    <w:rsid w:val="00090350"/>
    <w:rsid w:val="0009041B"/>
    <w:rsid w:val="0009049C"/>
    <w:rsid w:val="00090522"/>
    <w:rsid w:val="00090613"/>
    <w:rsid w:val="000906D2"/>
    <w:rsid w:val="0009073B"/>
    <w:rsid w:val="00090740"/>
    <w:rsid w:val="000908B1"/>
    <w:rsid w:val="000908D9"/>
    <w:rsid w:val="000908E7"/>
    <w:rsid w:val="0009091D"/>
    <w:rsid w:val="0009097A"/>
    <w:rsid w:val="00090996"/>
    <w:rsid w:val="00090A42"/>
    <w:rsid w:val="00090BD1"/>
    <w:rsid w:val="00090F36"/>
    <w:rsid w:val="00090F6A"/>
    <w:rsid w:val="0009104A"/>
    <w:rsid w:val="000910A7"/>
    <w:rsid w:val="000910E9"/>
    <w:rsid w:val="0009110F"/>
    <w:rsid w:val="00091119"/>
    <w:rsid w:val="0009119F"/>
    <w:rsid w:val="00091262"/>
    <w:rsid w:val="000912BE"/>
    <w:rsid w:val="00091659"/>
    <w:rsid w:val="00091721"/>
    <w:rsid w:val="00091747"/>
    <w:rsid w:val="00091857"/>
    <w:rsid w:val="00091858"/>
    <w:rsid w:val="000918BD"/>
    <w:rsid w:val="000918CC"/>
    <w:rsid w:val="000918D8"/>
    <w:rsid w:val="000918E3"/>
    <w:rsid w:val="00091901"/>
    <w:rsid w:val="00091AF8"/>
    <w:rsid w:val="00091BB2"/>
    <w:rsid w:val="00091BCA"/>
    <w:rsid w:val="00091C2C"/>
    <w:rsid w:val="00091C3C"/>
    <w:rsid w:val="00091C59"/>
    <w:rsid w:val="00091D8F"/>
    <w:rsid w:val="00091D95"/>
    <w:rsid w:val="00091F4E"/>
    <w:rsid w:val="00091FDC"/>
    <w:rsid w:val="00091FF9"/>
    <w:rsid w:val="00092061"/>
    <w:rsid w:val="00092087"/>
    <w:rsid w:val="0009221F"/>
    <w:rsid w:val="0009223A"/>
    <w:rsid w:val="000922C9"/>
    <w:rsid w:val="00092364"/>
    <w:rsid w:val="000924F1"/>
    <w:rsid w:val="00092550"/>
    <w:rsid w:val="000925D8"/>
    <w:rsid w:val="000926EC"/>
    <w:rsid w:val="000927BD"/>
    <w:rsid w:val="000927BE"/>
    <w:rsid w:val="0009280E"/>
    <w:rsid w:val="0009285B"/>
    <w:rsid w:val="00092913"/>
    <w:rsid w:val="000929AA"/>
    <w:rsid w:val="000929BD"/>
    <w:rsid w:val="00092A21"/>
    <w:rsid w:val="00092A69"/>
    <w:rsid w:val="00092AE8"/>
    <w:rsid w:val="00092B56"/>
    <w:rsid w:val="00092B5C"/>
    <w:rsid w:val="00092CCC"/>
    <w:rsid w:val="00092D5A"/>
    <w:rsid w:val="00092D85"/>
    <w:rsid w:val="00092DF9"/>
    <w:rsid w:val="00092DFD"/>
    <w:rsid w:val="00092E42"/>
    <w:rsid w:val="00092E52"/>
    <w:rsid w:val="00092E7F"/>
    <w:rsid w:val="0009301E"/>
    <w:rsid w:val="00093031"/>
    <w:rsid w:val="0009303F"/>
    <w:rsid w:val="0009309B"/>
    <w:rsid w:val="000932B7"/>
    <w:rsid w:val="000932FB"/>
    <w:rsid w:val="0009330C"/>
    <w:rsid w:val="0009338B"/>
    <w:rsid w:val="00093469"/>
    <w:rsid w:val="000934C6"/>
    <w:rsid w:val="000936B4"/>
    <w:rsid w:val="0009371E"/>
    <w:rsid w:val="00093753"/>
    <w:rsid w:val="000937F9"/>
    <w:rsid w:val="0009387E"/>
    <w:rsid w:val="00093B2A"/>
    <w:rsid w:val="00093B3B"/>
    <w:rsid w:val="00093C43"/>
    <w:rsid w:val="00093D5B"/>
    <w:rsid w:val="00093D9A"/>
    <w:rsid w:val="00093DF0"/>
    <w:rsid w:val="00093E4D"/>
    <w:rsid w:val="00093EC2"/>
    <w:rsid w:val="00093EF2"/>
    <w:rsid w:val="00094082"/>
    <w:rsid w:val="00094114"/>
    <w:rsid w:val="0009412E"/>
    <w:rsid w:val="0009418B"/>
    <w:rsid w:val="0009425B"/>
    <w:rsid w:val="000942D6"/>
    <w:rsid w:val="00094352"/>
    <w:rsid w:val="00094497"/>
    <w:rsid w:val="000944A8"/>
    <w:rsid w:val="0009455E"/>
    <w:rsid w:val="00094579"/>
    <w:rsid w:val="00094656"/>
    <w:rsid w:val="00094716"/>
    <w:rsid w:val="00094808"/>
    <w:rsid w:val="00094813"/>
    <w:rsid w:val="00094882"/>
    <w:rsid w:val="000948D0"/>
    <w:rsid w:val="000949D5"/>
    <w:rsid w:val="00094ACF"/>
    <w:rsid w:val="00094BCD"/>
    <w:rsid w:val="00094D99"/>
    <w:rsid w:val="00094DCA"/>
    <w:rsid w:val="00094E6C"/>
    <w:rsid w:val="00094E78"/>
    <w:rsid w:val="00094E8E"/>
    <w:rsid w:val="00094F23"/>
    <w:rsid w:val="00094F5F"/>
    <w:rsid w:val="00095084"/>
    <w:rsid w:val="00095293"/>
    <w:rsid w:val="0009547F"/>
    <w:rsid w:val="00095484"/>
    <w:rsid w:val="00095591"/>
    <w:rsid w:val="000955FA"/>
    <w:rsid w:val="0009561C"/>
    <w:rsid w:val="000956BE"/>
    <w:rsid w:val="000957B4"/>
    <w:rsid w:val="0009581E"/>
    <w:rsid w:val="00095960"/>
    <w:rsid w:val="00095A8E"/>
    <w:rsid w:val="00095B87"/>
    <w:rsid w:val="00095C40"/>
    <w:rsid w:val="00095CA9"/>
    <w:rsid w:val="00095DC9"/>
    <w:rsid w:val="00095E59"/>
    <w:rsid w:val="00095ECB"/>
    <w:rsid w:val="00095F54"/>
    <w:rsid w:val="00095F88"/>
    <w:rsid w:val="00095FA1"/>
    <w:rsid w:val="0009609A"/>
    <w:rsid w:val="000960A1"/>
    <w:rsid w:val="000960BF"/>
    <w:rsid w:val="00096114"/>
    <w:rsid w:val="000961D9"/>
    <w:rsid w:val="000961E0"/>
    <w:rsid w:val="0009624D"/>
    <w:rsid w:val="0009625B"/>
    <w:rsid w:val="0009625D"/>
    <w:rsid w:val="000962BC"/>
    <w:rsid w:val="00096370"/>
    <w:rsid w:val="00096464"/>
    <w:rsid w:val="00096487"/>
    <w:rsid w:val="00096522"/>
    <w:rsid w:val="00096658"/>
    <w:rsid w:val="0009688A"/>
    <w:rsid w:val="000968BF"/>
    <w:rsid w:val="0009692F"/>
    <w:rsid w:val="00096982"/>
    <w:rsid w:val="0009699A"/>
    <w:rsid w:val="00096A59"/>
    <w:rsid w:val="00096B0F"/>
    <w:rsid w:val="00096B52"/>
    <w:rsid w:val="00096BB4"/>
    <w:rsid w:val="00096E59"/>
    <w:rsid w:val="00096E60"/>
    <w:rsid w:val="00096E78"/>
    <w:rsid w:val="00096EAB"/>
    <w:rsid w:val="00096F63"/>
    <w:rsid w:val="00096FA5"/>
    <w:rsid w:val="00096FE0"/>
    <w:rsid w:val="00097006"/>
    <w:rsid w:val="00097010"/>
    <w:rsid w:val="00097037"/>
    <w:rsid w:val="00097087"/>
    <w:rsid w:val="00097128"/>
    <w:rsid w:val="00097135"/>
    <w:rsid w:val="000971E7"/>
    <w:rsid w:val="00097271"/>
    <w:rsid w:val="00097327"/>
    <w:rsid w:val="00097348"/>
    <w:rsid w:val="00097441"/>
    <w:rsid w:val="00097499"/>
    <w:rsid w:val="000974A3"/>
    <w:rsid w:val="00097635"/>
    <w:rsid w:val="00097702"/>
    <w:rsid w:val="000977AA"/>
    <w:rsid w:val="000977AF"/>
    <w:rsid w:val="000978BB"/>
    <w:rsid w:val="000978D1"/>
    <w:rsid w:val="00097945"/>
    <w:rsid w:val="0009795B"/>
    <w:rsid w:val="00097AB9"/>
    <w:rsid w:val="00097CA4"/>
    <w:rsid w:val="00097CF4"/>
    <w:rsid w:val="00097D4B"/>
    <w:rsid w:val="00097D6D"/>
    <w:rsid w:val="00097E14"/>
    <w:rsid w:val="00097F1F"/>
    <w:rsid w:val="00097F9A"/>
    <w:rsid w:val="000A0003"/>
    <w:rsid w:val="000A0302"/>
    <w:rsid w:val="000A0388"/>
    <w:rsid w:val="000A03A1"/>
    <w:rsid w:val="000A0464"/>
    <w:rsid w:val="000A046E"/>
    <w:rsid w:val="000A048C"/>
    <w:rsid w:val="000A04A6"/>
    <w:rsid w:val="000A05A1"/>
    <w:rsid w:val="000A05E7"/>
    <w:rsid w:val="000A0716"/>
    <w:rsid w:val="000A0919"/>
    <w:rsid w:val="000A094A"/>
    <w:rsid w:val="000A095A"/>
    <w:rsid w:val="000A0A96"/>
    <w:rsid w:val="000A0B72"/>
    <w:rsid w:val="000A0CC4"/>
    <w:rsid w:val="000A0D4C"/>
    <w:rsid w:val="000A0D8A"/>
    <w:rsid w:val="000A0D94"/>
    <w:rsid w:val="000A0DB6"/>
    <w:rsid w:val="000A0E7B"/>
    <w:rsid w:val="000A0F06"/>
    <w:rsid w:val="000A0F90"/>
    <w:rsid w:val="000A103A"/>
    <w:rsid w:val="000A10BF"/>
    <w:rsid w:val="000A11A9"/>
    <w:rsid w:val="000A128C"/>
    <w:rsid w:val="000A1298"/>
    <w:rsid w:val="000A12AD"/>
    <w:rsid w:val="000A12DD"/>
    <w:rsid w:val="000A12E1"/>
    <w:rsid w:val="000A1505"/>
    <w:rsid w:val="000A151B"/>
    <w:rsid w:val="000A152B"/>
    <w:rsid w:val="000A1754"/>
    <w:rsid w:val="000A1A32"/>
    <w:rsid w:val="000A1AC3"/>
    <w:rsid w:val="000A1B93"/>
    <w:rsid w:val="000A1BFA"/>
    <w:rsid w:val="000A1F1C"/>
    <w:rsid w:val="000A1F57"/>
    <w:rsid w:val="000A1F5A"/>
    <w:rsid w:val="000A1FD0"/>
    <w:rsid w:val="000A2079"/>
    <w:rsid w:val="000A2215"/>
    <w:rsid w:val="000A22DB"/>
    <w:rsid w:val="000A23B0"/>
    <w:rsid w:val="000A23C1"/>
    <w:rsid w:val="000A2415"/>
    <w:rsid w:val="000A25A9"/>
    <w:rsid w:val="000A263D"/>
    <w:rsid w:val="000A289E"/>
    <w:rsid w:val="000A29AA"/>
    <w:rsid w:val="000A29CF"/>
    <w:rsid w:val="000A2AB6"/>
    <w:rsid w:val="000A2ACD"/>
    <w:rsid w:val="000A2B65"/>
    <w:rsid w:val="000A2BAF"/>
    <w:rsid w:val="000A2C64"/>
    <w:rsid w:val="000A2C9B"/>
    <w:rsid w:val="000A2CBA"/>
    <w:rsid w:val="000A2CC3"/>
    <w:rsid w:val="000A2D17"/>
    <w:rsid w:val="000A2D2A"/>
    <w:rsid w:val="000A2D71"/>
    <w:rsid w:val="000A2DA8"/>
    <w:rsid w:val="000A2DF7"/>
    <w:rsid w:val="000A2EAB"/>
    <w:rsid w:val="000A2EEC"/>
    <w:rsid w:val="000A2F39"/>
    <w:rsid w:val="000A2F3E"/>
    <w:rsid w:val="000A2F99"/>
    <w:rsid w:val="000A30F4"/>
    <w:rsid w:val="000A31C1"/>
    <w:rsid w:val="000A3276"/>
    <w:rsid w:val="000A328D"/>
    <w:rsid w:val="000A32D0"/>
    <w:rsid w:val="000A331B"/>
    <w:rsid w:val="000A3465"/>
    <w:rsid w:val="000A346F"/>
    <w:rsid w:val="000A34DF"/>
    <w:rsid w:val="000A35A7"/>
    <w:rsid w:val="000A3667"/>
    <w:rsid w:val="000A37D2"/>
    <w:rsid w:val="000A3809"/>
    <w:rsid w:val="000A3865"/>
    <w:rsid w:val="000A3935"/>
    <w:rsid w:val="000A395C"/>
    <w:rsid w:val="000A3AFB"/>
    <w:rsid w:val="000A3B30"/>
    <w:rsid w:val="000A3B59"/>
    <w:rsid w:val="000A3B64"/>
    <w:rsid w:val="000A3BD2"/>
    <w:rsid w:val="000A3C32"/>
    <w:rsid w:val="000A3C40"/>
    <w:rsid w:val="000A3CCD"/>
    <w:rsid w:val="000A3DBD"/>
    <w:rsid w:val="000A3E3A"/>
    <w:rsid w:val="000A3E3F"/>
    <w:rsid w:val="000A3EB3"/>
    <w:rsid w:val="000A3F1B"/>
    <w:rsid w:val="000A4079"/>
    <w:rsid w:val="000A40DE"/>
    <w:rsid w:val="000A414E"/>
    <w:rsid w:val="000A41D1"/>
    <w:rsid w:val="000A41DB"/>
    <w:rsid w:val="000A4392"/>
    <w:rsid w:val="000A4432"/>
    <w:rsid w:val="000A446C"/>
    <w:rsid w:val="000A4504"/>
    <w:rsid w:val="000A458E"/>
    <w:rsid w:val="000A45AB"/>
    <w:rsid w:val="000A4745"/>
    <w:rsid w:val="000A47B5"/>
    <w:rsid w:val="000A47D3"/>
    <w:rsid w:val="000A481F"/>
    <w:rsid w:val="000A48FF"/>
    <w:rsid w:val="000A4960"/>
    <w:rsid w:val="000A49BF"/>
    <w:rsid w:val="000A4A91"/>
    <w:rsid w:val="000A4AA4"/>
    <w:rsid w:val="000A4AAC"/>
    <w:rsid w:val="000A4B4F"/>
    <w:rsid w:val="000A4B9B"/>
    <w:rsid w:val="000A4C78"/>
    <w:rsid w:val="000A4CC7"/>
    <w:rsid w:val="000A4CEC"/>
    <w:rsid w:val="000A4D51"/>
    <w:rsid w:val="000A4DF9"/>
    <w:rsid w:val="000A4E05"/>
    <w:rsid w:val="000A4E97"/>
    <w:rsid w:val="000A4FBD"/>
    <w:rsid w:val="000A50EA"/>
    <w:rsid w:val="000A50EF"/>
    <w:rsid w:val="000A5195"/>
    <w:rsid w:val="000A51D7"/>
    <w:rsid w:val="000A51E3"/>
    <w:rsid w:val="000A52B8"/>
    <w:rsid w:val="000A530A"/>
    <w:rsid w:val="000A533D"/>
    <w:rsid w:val="000A53F6"/>
    <w:rsid w:val="000A54F6"/>
    <w:rsid w:val="000A5555"/>
    <w:rsid w:val="000A5563"/>
    <w:rsid w:val="000A576A"/>
    <w:rsid w:val="000A57AD"/>
    <w:rsid w:val="000A57FE"/>
    <w:rsid w:val="000A5801"/>
    <w:rsid w:val="000A590B"/>
    <w:rsid w:val="000A5988"/>
    <w:rsid w:val="000A5AEC"/>
    <w:rsid w:val="000A5B17"/>
    <w:rsid w:val="000A5B4B"/>
    <w:rsid w:val="000A5BB0"/>
    <w:rsid w:val="000A5C47"/>
    <w:rsid w:val="000A5E19"/>
    <w:rsid w:val="000A5E68"/>
    <w:rsid w:val="000A5F1B"/>
    <w:rsid w:val="000A5F36"/>
    <w:rsid w:val="000A6056"/>
    <w:rsid w:val="000A629E"/>
    <w:rsid w:val="000A62BA"/>
    <w:rsid w:val="000A6302"/>
    <w:rsid w:val="000A638B"/>
    <w:rsid w:val="000A646D"/>
    <w:rsid w:val="000A6575"/>
    <w:rsid w:val="000A6581"/>
    <w:rsid w:val="000A65B5"/>
    <w:rsid w:val="000A6686"/>
    <w:rsid w:val="000A6759"/>
    <w:rsid w:val="000A679F"/>
    <w:rsid w:val="000A6895"/>
    <w:rsid w:val="000A6B30"/>
    <w:rsid w:val="000A6BE8"/>
    <w:rsid w:val="000A6D8D"/>
    <w:rsid w:val="000A6DDE"/>
    <w:rsid w:val="000A6E59"/>
    <w:rsid w:val="000A6E8A"/>
    <w:rsid w:val="000A6E9D"/>
    <w:rsid w:val="000A6F60"/>
    <w:rsid w:val="000A6F86"/>
    <w:rsid w:val="000A6FE2"/>
    <w:rsid w:val="000A7021"/>
    <w:rsid w:val="000A704C"/>
    <w:rsid w:val="000A709F"/>
    <w:rsid w:val="000A70D6"/>
    <w:rsid w:val="000A70D9"/>
    <w:rsid w:val="000A7115"/>
    <w:rsid w:val="000A717D"/>
    <w:rsid w:val="000A722D"/>
    <w:rsid w:val="000A7272"/>
    <w:rsid w:val="000A728C"/>
    <w:rsid w:val="000A75A1"/>
    <w:rsid w:val="000A75A4"/>
    <w:rsid w:val="000A76AE"/>
    <w:rsid w:val="000A77CF"/>
    <w:rsid w:val="000A79E4"/>
    <w:rsid w:val="000A7A1D"/>
    <w:rsid w:val="000A7B40"/>
    <w:rsid w:val="000A7B83"/>
    <w:rsid w:val="000A7BB4"/>
    <w:rsid w:val="000A7C52"/>
    <w:rsid w:val="000A7CA5"/>
    <w:rsid w:val="000A7D4B"/>
    <w:rsid w:val="000A7DA5"/>
    <w:rsid w:val="000A7E02"/>
    <w:rsid w:val="000A7E44"/>
    <w:rsid w:val="000A7E70"/>
    <w:rsid w:val="000A7F3D"/>
    <w:rsid w:val="000A7FBE"/>
    <w:rsid w:val="000B00EC"/>
    <w:rsid w:val="000B0277"/>
    <w:rsid w:val="000B028C"/>
    <w:rsid w:val="000B02FE"/>
    <w:rsid w:val="000B035D"/>
    <w:rsid w:val="000B039B"/>
    <w:rsid w:val="000B039D"/>
    <w:rsid w:val="000B03E3"/>
    <w:rsid w:val="000B05B3"/>
    <w:rsid w:val="000B05EB"/>
    <w:rsid w:val="000B061D"/>
    <w:rsid w:val="000B065A"/>
    <w:rsid w:val="000B0806"/>
    <w:rsid w:val="000B09B2"/>
    <w:rsid w:val="000B09DB"/>
    <w:rsid w:val="000B0B52"/>
    <w:rsid w:val="000B0BC4"/>
    <w:rsid w:val="000B0BF7"/>
    <w:rsid w:val="000B0CC8"/>
    <w:rsid w:val="000B0E0F"/>
    <w:rsid w:val="000B0F26"/>
    <w:rsid w:val="000B0FBA"/>
    <w:rsid w:val="000B100D"/>
    <w:rsid w:val="000B113F"/>
    <w:rsid w:val="000B1249"/>
    <w:rsid w:val="000B12DE"/>
    <w:rsid w:val="000B146E"/>
    <w:rsid w:val="000B14C7"/>
    <w:rsid w:val="000B17BD"/>
    <w:rsid w:val="000B17E5"/>
    <w:rsid w:val="000B1924"/>
    <w:rsid w:val="000B1AA4"/>
    <w:rsid w:val="000B1AE6"/>
    <w:rsid w:val="000B1C49"/>
    <w:rsid w:val="000B1DD2"/>
    <w:rsid w:val="000B1F0E"/>
    <w:rsid w:val="000B1FC6"/>
    <w:rsid w:val="000B2019"/>
    <w:rsid w:val="000B2106"/>
    <w:rsid w:val="000B2195"/>
    <w:rsid w:val="000B21EF"/>
    <w:rsid w:val="000B228B"/>
    <w:rsid w:val="000B22D6"/>
    <w:rsid w:val="000B23CF"/>
    <w:rsid w:val="000B23F2"/>
    <w:rsid w:val="000B251F"/>
    <w:rsid w:val="000B2608"/>
    <w:rsid w:val="000B2617"/>
    <w:rsid w:val="000B2662"/>
    <w:rsid w:val="000B26F6"/>
    <w:rsid w:val="000B27E0"/>
    <w:rsid w:val="000B2920"/>
    <w:rsid w:val="000B2A42"/>
    <w:rsid w:val="000B2A60"/>
    <w:rsid w:val="000B2B48"/>
    <w:rsid w:val="000B2B96"/>
    <w:rsid w:val="000B2EDA"/>
    <w:rsid w:val="000B2EE4"/>
    <w:rsid w:val="000B2F74"/>
    <w:rsid w:val="000B3024"/>
    <w:rsid w:val="000B303C"/>
    <w:rsid w:val="000B307A"/>
    <w:rsid w:val="000B327F"/>
    <w:rsid w:val="000B3330"/>
    <w:rsid w:val="000B35FD"/>
    <w:rsid w:val="000B366D"/>
    <w:rsid w:val="000B3721"/>
    <w:rsid w:val="000B3759"/>
    <w:rsid w:val="000B37B9"/>
    <w:rsid w:val="000B382D"/>
    <w:rsid w:val="000B3878"/>
    <w:rsid w:val="000B3883"/>
    <w:rsid w:val="000B38CA"/>
    <w:rsid w:val="000B39B2"/>
    <w:rsid w:val="000B39E8"/>
    <w:rsid w:val="000B3ACD"/>
    <w:rsid w:val="000B3B6E"/>
    <w:rsid w:val="000B3BE5"/>
    <w:rsid w:val="000B3DB8"/>
    <w:rsid w:val="000B3E8C"/>
    <w:rsid w:val="000B427F"/>
    <w:rsid w:val="000B42B7"/>
    <w:rsid w:val="000B42DA"/>
    <w:rsid w:val="000B4351"/>
    <w:rsid w:val="000B43AE"/>
    <w:rsid w:val="000B43C5"/>
    <w:rsid w:val="000B43DD"/>
    <w:rsid w:val="000B4405"/>
    <w:rsid w:val="000B442C"/>
    <w:rsid w:val="000B4517"/>
    <w:rsid w:val="000B452E"/>
    <w:rsid w:val="000B4559"/>
    <w:rsid w:val="000B4682"/>
    <w:rsid w:val="000B46CA"/>
    <w:rsid w:val="000B4792"/>
    <w:rsid w:val="000B4795"/>
    <w:rsid w:val="000B4859"/>
    <w:rsid w:val="000B4908"/>
    <w:rsid w:val="000B4980"/>
    <w:rsid w:val="000B4A0A"/>
    <w:rsid w:val="000B4B73"/>
    <w:rsid w:val="000B4CD5"/>
    <w:rsid w:val="000B4CDB"/>
    <w:rsid w:val="000B4CDC"/>
    <w:rsid w:val="000B4D15"/>
    <w:rsid w:val="000B4D8F"/>
    <w:rsid w:val="000B4D9B"/>
    <w:rsid w:val="000B4DD3"/>
    <w:rsid w:val="000B4DEC"/>
    <w:rsid w:val="000B4E39"/>
    <w:rsid w:val="000B4E81"/>
    <w:rsid w:val="000B4E9B"/>
    <w:rsid w:val="000B4EAB"/>
    <w:rsid w:val="000B4ED3"/>
    <w:rsid w:val="000B4EDB"/>
    <w:rsid w:val="000B4F47"/>
    <w:rsid w:val="000B4F9E"/>
    <w:rsid w:val="000B5103"/>
    <w:rsid w:val="000B512C"/>
    <w:rsid w:val="000B5166"/>
    <w:rsid w:val="000B5170"/>
    <w:rsid w:val="000B518A"/>
    <w:rsid w:val="000B5219"/>
    <w:rsid w:val="000B53C0"/>
    <w:rsid w:val="000B5452"/>
    <w:rsid w:val="000B54EA"/>
    <w:rsid w:val="000B551A"/>
    <w:rsid w:val="000B56F3"/>
    <w:rsid w:val="000B5703"/>
    <w:rsid w:val="000B572A"/>
    <w:rsid w:val="000B5866"/>
    <w:rsid w:val="000B5898"/>
    <w:rsid w:val="000B58E6"/>
    <w:rsid w:val="000B5937"/>
    <w:rsid w:val="000B5A24"/>
    <w:rsid w:val="000B5A51"/>
    <w:rsid w:val="000B5A85"/>
    <w:rsid w:val="000B5B14"/>
    <w:rsid w:val="000B5C10"/>
    <w:rsid w:val="000B5EA9"/>
    <w:rsid w:val="000B5EFD"/>
    <w:rsid w:val="000B6079"/>
    <w:rsid w:val="000B612F"/>
    <w:rsid w:val="000B61A0"/>
    <w:rsid w:val="000B62C5"/>
    <w:rsid w:val="000B6462"/>
    <w:rsid w:val="000B64A5"/>
    <w:rsid w:val="000B65F2"/>
    <w:rsid w:val="000B6652"/>
    <w:rsid w:val="000B66C5"/>
    <w:rsid w:val="000B6726"/>
    <w:rsid w:val="000B6733"/>
    <w:rsid w:val="000B6783"/>
    <w:rsid w:val="000B693D"/>
    <w:rsid w:val="000B69AA"/>
    <w:rsid w:val="000B6A07"/>
    <w:rsid w:val="000B6BBA"/>
    <w:rsid w:val="000B6C0D"/>
    <w:rsid w:val="000B6CF0"/>
    <w:rsid w:val="000B6CF1"/>
    <w:rsid w:val="000B6CFB"/>
    <w:rsid w:val="000B6DD9"/>
    <w:rsid w:val="000B6EF1"/>
    <w:rsid w:val="000B6F04"/>
    <w:rsid w:val="000B704C"/>
    <w:rsid w:val="000B704F"/>
    <w:rsid w:val="000B71BE"/>
    <w:rsid w:val="000B720C"/>
    <w:rsid w:val="000B72BA"/>
    <w:rsid w:val="000B7379"/>
    <w:rsid w:val="000B738F"/>
    <w:rsid w:val="000B73A5"/>
    <w:rsid w:val="000B7491"/>
    <w:rsid w:val="000B752A"/>
    <w:rsid w:val="000B759C"/>
    <w:rsid w:val="000B75A0"/>
    <w:rsid w:val="000B75D8"/>
    <w:rsid w:val="000B7665"/>
    <w:rsid w:val="000B767B"/>
    <w:rsid w:val="000B768F"/>
    <w:rsid w:val="000B76FC"/>
    <w:rsid w:val="000B7700"/>
    <w:rsid w:val="000B7713"/>
    <w:rsid w:val="000B7744"/>
    <w:rsid w:val="000B77A9"/>
    <w:rsid w:val="000B7946"/>
    <w:rsid w:val="000B7AE6"/>
    <w:rsid w:val="000B7B1C"/>
    <w:rsid w:val="000B7B2A"/>
    <w:rsid w:val="000B7B42"/>
    <w:rsid w:val="000B7B8C"/>
    <w:rsid w:val="000B7D0C"/>
    <w:rsid w:val="000B7E41"/>
    <w:rsid w:val="000B7F70"/>
    <w:rsid w:val="000C0018"/>
    <w:rsid w:val="000C011C"/>
    <w:rsid w:val="000C013A"/>
    <w:rsid w:val="000C0164"/>
    <w:rsid w:val="000C0179"/>
    <w:rsid w:val="000C02CB"/>
    <w:rsid w:val="000C03AA"/>
    <w:rsid w:val="000C03FA"/>
    <w:rsid w:val="000C04EC"/>
    <w:rsid w:val="000C0588"/>
    <w:rsid w:val="000C0594"/>
    <w:rsid w:val="000C05FD"/>
    <w:rsid w:val="000C0676"/>
    <w:rsid w:val="000C06BD"/>
    <w:rsid w:val="000C0819"/>
    <w:rsid w:val="000C08DB"/>
    <w:rsid w:val="000C0940"/>
    <w:rsid w:val="000C09C3"/>
    <w:rsid w:val="000C0B0E"/>
    <w:rsid w:val="000C0B59"/>
    <w:rsid w:val="000C0E30"/>
    <w:rsid w:val="000C0E7F"/>
    <w:rsid w:val="000C0E86"/>
    <w:rsid w:val="000C0F01"/>
    <w:rsid w:val="000C0F10"/>
    <w:rsid w:val="000C0F30"/>
    <w:rsid w:val="000C1094"/>
    <w:rsid w:val="000C10F4"/>
    <w:rsid w:val="000C134B"/>
    <w:rsid w:val="000C1398"/>
    <w:rsid w:val="000C140C"/>
    <w:rsid w:val="000C15F7"/>
    <w:rsid w:val="000C1691"/>
    <w:rsid w:val="000C16B1"/>
    <w:rsid w:val="000C16E9"/>
    <w:rsid w:val="000C172C"/>
    <w:rsid w:val="000C17FF"/>
    <w:rsid w:val="000C1806"/>
    <w:rsid w:val="000C1887"/>
    <w:rsid w:val="000C18BC"/>
    <w:rsid w:val="000C1988"/>
    <w:rsid w:val="000C1989"/>
    <w:rsid w:val="000C199D"/>
    <w:rsid w:val="000C1C60"/>
    <w:rsid w:val="000C1C7D"/>
    <w:rsid w:val="000C1C88"/>
    <w:rsid w:val="000C1C93"/>
    <w:rsid w:val="000C1D73"/>
    <w:rsid w:val="000C1D9C"/>
    <w:rsid w:val="000C1DA8"/>
    <w:rsid w:val="000C1E78"/>
    <w:rsid w:val="000C1F1D"/>
    <w:rsid w:val="000C1F1E"/>
    <w:rsid w:val="000C1F53"/>
    <w:rsid w:val="000C20E4"/>
    <w:rsid w:val="000C2192"/>
    <w:rsid w:val="000C2199"/>
    <w:rsid w:val="000C238A"/>
    <w:rsid w:val="000C243E"/>
    <w:rsid w:val="000C2563"/>
    <w:rsid w:val="000C271E"/>
    <w:rsid w:val="000C2840"/>
    <w:rsid w:val="000C287F"/>
    <w:rsid w:val="000C29B1"/>
    <w:rsid w:val="000C29C7"/>
    <w:rsid w:val="000C29F5"/>
    <w:rsid w:val="000C2A09"/>
    <w:rsid w:val="000C2C12"/>
    <w:rsid w:val="000C2C19"/>
    <w:rsid w:val="000C2D36"/>
    <w:rsid w:val="000C2DDD"/>
    <w:rsid w:val="000C2E32"/>
    <w:rsid w:val="000C2E68"/>
    <w:rsid w:val="000C2EBB"/>
    <w:rsid w:val="000C2F54"/>
    <w:rsid w:val="000C305B"/>
    <w:rsid w:val="000C31BC"/>
    <w:rsid w:val="000C3282"/>
    <w:rsid w:val="000C3368"/>
    <w:rsid w:val="000C33E6"/>
    <w:rsid w:val="000C3423"/>
    <w:rsid w:val="000C3459"/>
    <w:rsid w:val="000C34BD"/>
    <w:rsid w:val="000C35BE"/>
    <w:rsid w:val="000C37C6"/>
    <w:rsid w:val="000C3871"/>
    <w:rsid w:val="000C395A"/>
    <w:rsid w:val="000C39DA"/>
    <w:rsid w:val="000C3A65"/>
    <w:rsid w:val="000C3A6B"/>
    <w:rsid w:val="000C3B03"/>
    <w:rsid w:val="000C3B38"/>
    <w:rsid w:val="000C3C00"/>
    <w:rsid w:val="000C3C17"/>
    <w:rsid w:val="000C3C94"/>
    <w:rsid w:val="000C3CB3"/>
    <w:rsid w:val="000C3D15"/>
    <w:rsid w:val="000C3D83"/>
    <w:rsid w:val="000C3DA7"/>
    <w:rsid w:val="000C3DFB"/>
    <w:rsid w:val="000C3F24"/>
    <w:rsid w:val="000C3FBF"/>
    <w:rsid w:val="000C402E"/>
    <w:rsid w:val="000C4149"/>
    <w:rsid w:val="000C41C3"/>
    <w:rsid w:val="000C4210"/>
    <w:rsid w:val="000C42D6"/>
    <w:rsid w:val="000C433C"/>
    <w:rsid w:val="000C4364"/>
    <w:rsid w:val="000C4379"/>
    <w:rsid w:val="000C449C"/>
    <w:rsid w:val="000C44BF"/>
    <w:rsid w:val="000C451B"/>
    <w:rsid w:val="000C48EE"/>
    <w:rsid w:val="000C4A0A"/>
    <w:rsid w:val="000C4A2D"/>
    <w:rsid w:val="000C4A71"/>
    <w:rsid w:val="000C4A75"/>
    <w:rsid w:val="000C4BAE"/>
    <w:rsid w:val="000C4C8D"/>
    <w:rsid w:val="000C4CB8"/>
    <w:rsid w:val="000C4CEC"/>
    <w:rsid w:val="000C4CF7"/>
    <w:rsid w:val="000C4D01"/>
    <w:rsid w:val="000C4D7A"/>
    <w:rsid w:val="000C4D89"/>
    <w:rsid w:val="000C4DEF"/>
    <w:rsid w:val="000C4F37"/>
    <w:rsid w:val="000C4FF9"/>
    <w:rsid w:val="000C50F4"/>
    <w:rsid w:val="000C5356"/>
    <w:rsid w:val="000C5577"/>
    <w:rsid w:val="000C566B"/>
    <w:rsid w:val="000C56AD"/>
    <w:rsid w:val="000C56BD"/>
    <w:rsid w:val="000C56E8"/>
    <w:rsid w:val="000C56F7"/>
    <w:rsid w:val="000C5726"/>
    <w:rsid w:val="000C5736"/>
    <w:rsid w:val="000C579C"/>
    <w:rsid w:val="000C57CB"/>
    <w:rsid w:val="000C5A08"/>
    <w:rsid w:val="000C5B6D"/>
    <w:rsid w:val="000C5B7D"/>
    <w:rsid w:val="000C5BE2"/>
    <w:rsid w:val="000C5D88"/>
    <w:rsid w:val="000C5DDD"/>
    <w:rsid w:val="000C5F38"/>
    <w:rsid w:val="000C5FAC"/>
    <w:rsid w:val="000C607B"/>
    <w:rsid w:val="000C61F1"/>
    <w:rsid w:val="000C626A"/>
    <w:rsid w:val="000C62F7"/>
    <w:rsid w:val="000C63A2"/>
    <w:rsid w:val="000C63BD"/>
    <w:rsid w:val="000C64C9"/>
    <w:rsid w:val="000C64CE"/>
    <w:rsid w:val="000C6543"/>
    <w:rsid w:val="000C6593"/>
    <w:rsid w:val="000C666A"/>
    <w:rsid w:val="000C6719"/>
    <w:rsid w:val="000C67B7"/>
    <w:rsid w:val="000C6804"/>
    <w:rsid w:val="000C6877"/>
    <w:rsid w:val="000C691F"/>
    <w:rsid w:val="000C6999"/>
    <w:rsid w:val="000C6A2F"/>
    <w:rsid w:val="000C6ABC"/>
    <w:rsid w:val="000C6B36"/>
    <w:rsid w:val="000C6CE1"/>
    <w:rsid w:val="000C6D51"/>
    <w:rsid w:val="000C6D93"/>
    <w:rsid w:val="000C6EF4"/>
    <w:rsid w:val="000C6FE4"/>
    <w:rsid w:val="000C706B"/>
    <w:rsid w:val="000C7131"/>
    <w:rsid w:val="000C714C"/>
    <w:rsid w:val="000C7182"/>
    <w:rsid w:val="000C721A"/>
    <w:rsid w:val="000C7263"/>
    <w:rsid w:val="000C73F9"/>
    <w:rsid w:val="000C7458"/>
    <w:rsid w:val="000C7522"/>
    <w:rsid w:val="000C7544"/>
    <w:rsid w:val="000C765B"/>
    <w:rsid w:val="000C7767"/>
    <w:rsid w:val="000C7774"/>
    <w:rsid w:val="000C77C1"/>
    <w:rsid w:val="000C77DC"/>
    <w:rsid w:val="000C7863"/>
    <w:rsid w:val="000C7966"/>
    <w:rsid w:val="000C79FB"/>
    <w:rsid w:val="000C7B3D"/>
    <w:rsid w:val="000C7BA7"/>
    <w:rsid w:val="000C7C17"/>
    <w:rsid w:val="000C7C46"/>
    <w:rsid w:val="000C7CBD"/>
    <w:rsid w:val="000C7D25"/>
    <w:rsid w:val="000C7D2F"/>
    <w:rsid w:val="000C7D59"/>
    <w:rsid w:val="000C7DE5"/>
    <w:rsid w:val="000C7E79"/>
    <w:rsid w:val="000C7FCA"/>
    <w:rsid w:val="000D0085"/>
    <w:rsid w:val="000D00E1"/>
    <w:rsid w:val="000D0156"/>
    <w:rsid w:val="000D01DA"/>
    <w:rsid w:val="000D01F4"/>
    <w:rsid w:val="000D020C"/>
    <w:rsid w:val="000D0293"/>
    <w:rsid w:val="000D0341"/>
    <w:rsid w:val="000D034F"/>
    <w:rsid w:val="000D03EF"/>
    <w:rsid w:val="000D048F"/>
    <w:rsid w:val="000D04AB"/>
    <w:rsid w:val="000D04C9"/>
    <w:rsid w:val="000D0565"/>
    <w:rsid w:val="000D0709"/>
    <w:rsid w:val="000D0737"/>
    <w:rsid w:val="000D07D9"/>
    <w:rsid w:val="000D0817"/>
    <w:rsid w:val="000D08BB"/>
    <w:rsid w:val="000D08BE"/>
    <w:rsid w:val="000D096D"/>
    <w:rsid w:val="000D0B03"/>
    <w:rsid w:val="000D0B2E"/>
    <w:rsid w:val="000D0B3C"/>
    <w:rsid w:val="000D0D04"/>
    <w:rsid w:val="000D0D27"/>
    <w:rsid w:val="000D0E23"/>
    <w:rsid w:val="000D10AE"/>
    <w:rsid w:val="000D1134"/>
    <w:rsid w:val="000D11D0"/>
    <w:rsid w:val="000D1226"/>
    <w:rsid w:val="000D1232"/>
    <w:rsid w:val="000D12E7"/>
    <w:rsid w:val="000D1342"/>
    <w:rsid w:val="000D1404"/>
    <w:rsid w:val="000D143D"/>
    <w:rsid w:val="000D14DB"/>
    <w:rsid w:val="000D16BC"/>
    <w:rsid w:val="000D170F"/>
    <w:rsid w:val="000D17BC"/>
    <w:rsid w:val="000D186B"/>
    <w:rsid w:val="000D19F1"/>
    <w:rsid w:val="000D1AD8"/>
    <w:rsid w:val="000D1B0D"/>
    <w:rsid w:val="000D1B52"/>
    <w:rsid w:val="000D1C1C"/>
    <w:rsid w:val="000D1C90"/>
    <w:rsid w:val="000D1D84"/>
    <w:rsid w:val="000D1DBD"/>
    <w:rsid w:val="000D2033"/>
    <w:rsid w:val="000D2077"/>
    <w:rsid w:val="000D209F"/>
    <w:rsid w:val="000D2287"/>
    <w:rsid w:val="000D229D"/>
    <w:rsid w:val="000D237F"/>
    <w:rsid w:val="000D26F8"/>
    <w:rsid w:val="000D26FF"/>
    <w:rsid w:val="000D271A"/>
    <w:rsid w:val="000D2776"/>
    <w:rsid w:val="000D285A"/>
    <w:rsid w:val="000D2895"/>
    <w:rsid w:val="000D2CD9"/>
    <w:rsid w:val="000D2D4C"/>
    <w:rsid w:val="000D2E1E"/>
    <w:rsid w:val="000D2E7C"/>
    <w:rsid w:val="000D2ECE"/>
    <w:rsid w:val="000D2FD1"/>
    <w:rsid w:val="000D2FFF"/>
    <w:rsid w:val="000D3014"/>
    <w:rsid w:val="000D3052"/>
    <w:rsid w:val="000D305C"/>
    <w:rsid w:val="000D30FE"/>
    <w:rsid w:val="000D31B6"/>
    <w:rsid w:val="000D31F8"/>
    <w:rsid w:val="000D32A4"/>
    <w:rsid w:val="000D33DF"/>
    <w:rsid w:val="000D33F3"/>
    <w:rsid w:val="000D3449"/>
    <w:rsid w:val="000D34AB"/>
    <w:rsid w:val="000D354D"/>
    <w:rsid w:val="000D3553"/>
    <w:rsid w:val="000D384C"/>
    <w:rsid w:val="000D3909"/>
    <w:rsid w:val="000D3A99"/>
    <w:rsid w:val="000D3AC6"/>
    <w:rsid w:val="000D3B9C"/>
    <w:rsid w:val="000D3BE5"/>
    <w:rsid w:val="000D3D5D"/>
    <w:rsid w:val="000D3D63"/>
    <w:rsid w:val="000D3D9D"/>
    <w:rsid w:val="000D3DC7"/>
    <w:rsid w:val="000D3DF1"/>
    <w:rsid w:val="000D3E2A"/>
    <w:rsid w:val="000D3EA0"/>
    <w:rsid w:val="000D3EDC"/>
    <w:rsid w:val="000D3EEE"/>
    <w:rsid w:val="000D3F2B"/>
    <w:rsid w:val="000D3F67"/>
    <w:rsid w:val="000D3FE4"/>
    <w:rsid w:val="000D3FE7"/>
    <w:rsid w:val="000D4081"/>
    <w:rsid w:val="000D411D"/>
    <w:rsid w:val="000D41FE"/>
    <w:rsid w:val="000D421F"/>
    <w:rsid w:val="000D4223"/>
    <w:rsid w:val="000D4224"/>
    <w:rsid w:val="000D4225"/>
    <w:rsid w:val="000D4275"/>
    <w:rsid w:val="000D42A3"/>
    <w:rsid w:val="000D43B8"/>
    <w:rsid w:val="000D43F6"/>
    <w:rsid w:val="000D445B"/>
    <w:rsid w:val="000D4520"/>
    <w:rsid w:val="000D45A5"/>
    <w:rsid w:val="000D4658"/>
    <w:rsid w:val="000D467C"/>
    <w:rsid w:val="000D4785"/>
    <w:rsid w:val="000D4962"/>
    <w:rsid w:val="000D49D4"/>
    <w:rsid w:val="000D49F7"/>
    <w:rsid w:val="000D4A84"/>
    <w:rsid w:val="000D4AB8"/>
    <w:rsid w:val="000D4B46"/>
    <w:rsid w:val="000D4B57"/>
    <w:rsid w:val="000D4B98"/>
    <w:rsid w:val="000D4C1B"/>
    <w:rsid w:val="000D4DB8"/>
    <w:rsid w:val="000D4DBE"/>
    <w:rsid w:val="000D508F"/>
    <w:rsid w:val="000D5164"/>
    <w:rsid w:val="000D5167"/>
    <w:rsid w:val="000D5182"/>
    <w:rsid w:val="000D51D3"/>
    <w:rsid w:val="000D523A"/>
    <w:rsid w:val="000D5280"/>
    <w:rsid w:val="000D5361"/>
    <w:rsid w:val="000D549D"/>
    <w:rsid w:val="000D54DA"/>
    <w:rsid w:val="000D5517"/>
    <w:rsid w:val="000D5523"/>
    <w:rsid w:val="000D55E5"/>
    <w:rsid w:val="000D55FB"/>
    <w:rsid w:val="000D5629"/>
    <w:rsid w:val="000D5639"/>
    <w:rsid w:val="000D56D6"/>
    <w:rsid w:val="000D575C"/>
    <w:rsid w:val="000D5889"/>
    <w:rsid w:val="000D590D"/>
    <w:rsid w:val="000D5911"/>
    <w:rsid w:val="000D59A5"/>
    <w:rsid w:val="000D5BA0"/>
    <w:rsid w:val="000D5CDC"/>
    <w:rsid w:val="000D5D05"/>
    <w:rsid w:val="000D5D6A"/>
    <w:rsid w:val="000D5DC0"/>
    <w:rsid w:val="000D5E05"/>
    <w:rsid w:val="000D5E33"/>
    <w:rsid w:val="000D5E78"/>
    <w:rsid w:val="000D6017"/>
    <w:rsid w:val="000D604B"/>
    <w:rsid w:val="000D605F"/>
    <w:rsid w:val="000D6084"/>
    <w:rsid w:val="000D60F2"/>
    <w:rsid w:val="000D611E"/>
    <w:rsid w:val="000D628F"/>
    <w:rsid w:val="000D6335"/>
    <w:rsid w:val="000D6496"/>
    <w:rsid w:val="000D6568"/>
    <w:rsid w:val="000D65ED"/>
    <w:rsid w:val="000D6689"/>
    <w:rsid w:val="000D67B8"/>
    <w:rsid w:val="000D67E9"/>
    <w:rsid w:val="000D6985"/>
    <w:rsid w:val="000D69E8"/>
    <w:rsid w:val="000D6A13"/>
    <w:rsid w:val="000D6A7F"/>
    <w:rsid w:val="000D6AE5"/>
    <w:rsid w:val="000D6B4A"/>
    <w:rsid w:val="000D6BB1"/>
    <w:rsid w:val="000D6D09"/>
    <w:rsid w:val="000D6E3C"/>
    <w:rsid w:val="000D6E68"/>
    <w:rsid w:val="000D6F34"/>
    <w:rsid w:val="000D6FB4"/>
    <w:rsid w:val="000D7132"/>
    <w:rsid w:val="000D716A"/>
    <w:rsid w:val="000D71FE"/>
    <w:rsid w:val="000D7211"/>
    <w:rsid w:val="000D72BC"/>
    <w:rsid w:val="000D7347"/>
    <w:rsid w:val="000D7395"/>
    <w:rsid w:val="000D7498"/>
    <w:rsid w:val="000D74FB"/>
    <w:rsid w:val="000D74FF"/>
    <w:rsid w:val="000D75BB"/>
    <w:rsid w:val="000D76B7"/>
    <w:rsid w:val="000D76BE"/>
    <w:rsid w:val="000D7784"/>
    <w:rsid w:val="000D7985"/>
    <w:rsid w:val="000D79F2"/>
    <w:rsid w:val="000D7A04"/>
    <w:rsid w:val="000D7A35"/>
    <w:rsid w:val="000D7AA4"/>
    <w:rsid w:val="000D7B2C"/>
    <w:rsid w:val="000D7B8A"/>
    <w:rsid w:val="000D7C0A"/>
    <w:rsid w:val="000D7C15"/>
    <w:rsid w:val="000D7CCE"/>
    <w:rsid w:val="000D7D02"/>
    <w:rsid w:val="000D7D98"/>
    <w:rsid w:val="000D7E0E"/>
    <w:rsid w:val="000D7F2F"/>
    <w:rsid w:val="000D7F7F"/>
    <w:rsid w:val="000D7FBD"/>
    <w:rsid w:val="000D7FBE"/>
    <w:rsid w:val="000DE444"/>
    <w:rsid w:val="000E00B3"/>
    <w:rsid w:val="000E01A6"/>
    <w:rsid w:val="000E01C4"/>
    <w:rsid w:val="000E02AC"/>
    <w:rsid w:val="000E02B5"/>
    <w:rsid w:val="000E0341"/>
    <w:rsid w:val="000E036E"/>
    <w:rsid w:val="000E03DC"/>
    <w:rsid w:val="000E040C"/>
    <w:rsid w:val="000E042B"/>
    <w:rsid w:val="000E045A"/>
    <w:rsid w:val="000E05A8"/>
    <w:rsid w:val="000E05CA"/>
    <w:rsid w:val="000E08C0"/>
    <w:rsid w:val="000E09B4"/>
    <w:rsid w:val="000E09C0"/>
    <w:rsid w:val="000E09DA"/>
    <w:rsid w:val="000E0A5D"/>
    <w:rsid w:val="000E0B8C"/>
    <w:rsid w:val="000E0C20"/>
    <w:rsid w:val="000E0C4A"/>
    <w:rsid w:val="000E0C68"/>
    <w:rsid w:val="000E0D4F"/>
    <w:rsid w:val="000E0DD5"/>
    <w:rsid w:val="000E0DD8"/>
    <w:rsid w:val="000E0E78"/>
    <w:rsid w:val="000E0EAB"/>
    <w:rsid w:val="000E0EC9"/>
    <w:rsid w:val="000E1038"/>
    <w:rsid w:val="000E1077"/>
    <w:rsid w:val="000E10B2"/>
    <w:rsid w:val="000E1124"/>
    <w:rsid w:val="000E113B"/>
    <w:rsid w:val="000E11E2"/>
    <w:rsid w:val="000E1337"/>
    <w:rsid w:val="000E136F"/>
    <w:rsid w:val="000E13A4"/>
    <w:rsid w:val="000E140F"/>
    <w:rsid w:val="000E14BA"/>
    <w:rsid w:val="000E15B8"/>
    <w:rsid w:val="000E15D6"/>
    <w:rsid w:val="000E1628"/>
    <w:rsid w:val="000E1747"/>
    <w:rsid w:val="000E179A"/>
    <w:rsid w:val="000E19DF"/>
    <w:rsid w:val="000E1AF4"/>
    <w:rsid w:val="000E1CD7"/>
    <w:rsid w:val="000E1CFC"/>
    <w:rsid w:val="000E1DE3"/>
    <w:rsid w:val="000E1E48"/>
    <w:rsid w:val="000E1E6A"/>
    <w:rsid w:val="000E1EB4"/>
    <w:rsid w:val="000E1F25"/>
    <w:rsid w:val="000E1FE8"/>
    <w:rsid w:val="000E20DA"/>
    <w:rsid w:val="000E2106"/>
    <w:rsid w:val="000E21AD"/>
    <w:rsid w:val="000E21B6"/>
    <w:rsid w:val="000E2244"/>
    <w:rsid w:val="000E23E5"/>
    <w:rsid w:val="000E2468"/>
    <w:rsid w:val="000E24A4"/>
    <w:rsid w:val="000E24DF"/>
    <w:rsid w:val="000E2535"/>
    <w:rsid w:val="000E25CB"/>
    <w:rsid w:val="000E261E"/>
    <w:rsid w:val="000E2677"/>
    <w:rsid w:val="000E2683"/>
    <w:rsid w:val="000E26B7"/>
    <w:rsid w:val="000E271E"/>
    <w:rsid w:val="000E27D4"/>
    <w:rsid w:val="000E28CA"/>
    <w:rsid w:val="000E2A09"/>
    <w:rsid w:val="000E2AC7"/>
    <w:rsid w:val="000E2B18"/>
    <w:rsid w:val="000E2D02"/>
    <w:rsid w:val="000E2D83"/>
    <w:rsid w:val="000E2E0C"/>
    <w:rsid w:val="000E2E2D"/>
    <w:rsid w:val="000E2FBD"/>
    <w:rsid w:val="000E302A"/>
    <w:rsid w:val="000E3150"/>
    <w:rsid w:val="000E3198"/>
    <w:rsid w:val="000E31F0"/>
    <w:rsid w:val="000E32B4"/>
    <w:rsid w:val="000E32C6"/>
    <w:rsid w:val="000E3310"/>
    <w:rsid w:val="000E3391"/>
    <w:rsid w:val="000E33FA"/>
    <w:rsid w:val="000E3470"/>
    <w:rsid w:val="000E358D"/>
    <w:rsid w:val="000E358E"/>
    <w:rsid w:val="000E35C4"/>
    <w:rsid w:val="000E365E"/>
    <w:rsid w:val="000E36FD"/>
    <w:rsid w:val="000E37D6"/>
    <w:rsid w:val="000E3E35"/>
    <w:rsid w:val="000E3E83"/>
    <w:rsid w:val="000E3E91"/>
    <w:rsid w:val="000E4028"/>
    <w:rsid w:val="000E405F"/>
    <w:rsid w:val="000E4071"/>
    <w:rsid w:val="000E408A"/>
    <w:rsid w:val="000E4207"/>
    <w:rsid w:val="000E429F"/>
    <w:rsid w:val="000E437E"/>
    <w:rsid w:val="000E4393"/>
    <w:rsid w:val="000E43F3"/>
    <w:rsid w:val="000E445F"/>
    <w:rsid w:val="000E45BE"/>
    <w:rsid w:val="000E4661"/>
    <w:rsid w:val="000E4705"/>
    <w:rsid w:val="000E47F7"/>
    <w:rsid w:val="000E495D"/>
    <w:rsid w:val="000E49AC"/>
    <w:rsid w:val="000E4A77"/>
    <w:rsid w:val="000E4B2B"/>
    <w:rsid w:val="000E4B6B"/>
    <w:rsid w:val="000E4B97"/>
    <w:rsid w:val="000E4C23"/>
    <w:rsid w:val="000E4CCD"/>
    <w:rsid w:val="000E4CD4"/>
    <w:rsid w:val="000E4E2F"/>
    <w:rsid w:val="000E4F10"/>
    <w:rsid w:val="000E4F25"/>
    <w:rsid w:val="000E4F7A"/>
    <w:rsid w:val="000E4F82"/>
    <w:rsid w:val="000E4F8B"/>
    <w:rsid w:val="000E4FC4"/>
    <w:rsid w:val="000E4FF7"/>
    <w:rsid w:val="000E50B6"/>
    <w:rsid w:val="000E50F0"/>
    <w:rsid w:val="000E5126"/>
    <w:rsid w:val="000E5154"/>
    <w:rsid w:val="000E5160"/>
    <w:rsid w:val="000E5179"/>
    <w:rsid w:val="000E5261"/>
    <w:rsid w:val="000E54BD"/>
    <w:rsid w:val="000E5531"/>
    <w:rsid w:val="000E559A"/>
    <w:rsid w:val="000E55C8"/>
    <w:rsid w:val="000E569E"/>
    <w:rsid w:val="000E56DE"/>
    <w:rsid w:val="000E57C9"/>
    <w:rsid w:val="000E5835"/>
    <w:rsid w:val="000E597A"/>
    <w:rsid w:val="000E5C6E"/>
    <w:rsid w:val="000E5CCF"/>
    <w:rsid w:val="000E5D19"/>
    <w:rsid w:val="000E5D1C"/>
    <w:rsid w:val="000E5D2D"/>
    <w:rsid w:val="000E5D92"/>
    <w:rsid w:val="000E5E84"/>
    <w:rsid w:val="000E5EA9"/>
    <w:rsid w:val="000E6133"/>
    <w:rsid w:val="000E6161"/>
    <w:rsid w:val="000E619F"/>
    <w:rsid w:val="000E628E"/>
    <w:rsid w:val="000E62D2"/>
    <w:rsid w:val="000E6348"/>
    <w:rsid w:val="000E63D5"/>
    <w:rsid w:val="000E6410"/>
    <w:rsid w:val="000E6441"/>
    <w:rsid w:val="000E64D0"/>
    <w:rsid w:val="000E6548"/>
    <w:rsid w:val="000E6659"/>
    <w:rsid w:val="000E6762"/>
    <w:rsid w:val="000E678B"/>
    <w:rsid w:val="000E68D9"/>
    <w:rsid w:val="000E690E"/>
    <w:rsid w:val="000E6954"/>
    <w:rsid w:val="000E6B0A"/>
    <w:rsid w:val="000E6CB2"/>
    <w:rsid w:val="000E6DA5"/>
    <w:rsid w:val="000E6E05"/>
    <w:rsid w:val="000E6E20"/>
    <w:rsid w:val="000E6FA4"/>
    <w:rsid w:val="000E6FEA"/>
    <w:rsid w:val="000E700D"/>
    <w:rsid w:val="000E705B"/>
    <w:rsid w:val="000E7066"/>
    <w:rsid w:val="000E7164"/>
    <w:rsid w:val="000E7165"/>
    <w:rsid w:val="000E71DA"/>
    <w:rsid w:val="000E7200"/>
    <w:rsid w:val="000E7210"/>
    <w:rsid w:val="000E72E1"/>
    <w:rsid w:val="000E7349"/>
    <w:rsid w:val="000E73D3"/>
    <w:rsid w:val="000E7426"/>
    <w:rsid w:val="000E758D"/>
    <w:rsid w:val="000E7593"/>
    <w:rsid w:val="000E769C"/>
    <w:rsid w:val="000E7726"/>
    <w:rsid w:val="000E77E8"/>
    <w:rsid w:val="000E7866"/>
    <w:rsid w:val="000E78B8"/>
    <w:rsid w:val="000E79DB"/>
    <w:rsid w:val="000E7A5D"/>
    <w:rsid w:val="000E7A95"/>
    <w:rsid w:val="000E7AD5"/>
    <w:rsid w:val="000E7AF8"/>
    <w:rsid w:val="000E7B22"/>
    <w:rsid w:val="000E7BB9"/>
    <w:rsid w:val="000E7BC6"/>
    <w:rsid w:val="000E7DC6"/>
    <w:rsid w:val="000E7DDB"/>
    <w:rsid w:val="000E7E32"/>
    <w:rsid w:val="000E7ECF"/>
    <w:rsid w:val="000F0040"/>
    <w:rsid w:val="000F0143"/>
    <w:rsid w:val="000F025E"/>
    <w:rsid w:val="000F03E9"/>
    <w:rsid w:val="000F0449"/>
    <w:rsid w:val="000F04D7"/>
    <w:rsid w:val="000F0504"/>
    <w:rsid w:val="000F055F"/>
    <w:rsid w:val="000F05A4"/>
    <w:rsid w:val="000F05A9"/>
    <w:rsid w:val="000F05B5"/>
    <w:rsid w:val="000F05D2"/>
    <w:rsid w:val="000F05F1"/>
    <w:rsid w:val="000F060D"/>
    <w:rsid w:val="000F0785"/>
    <w:rsid w:val="000F0883"/>
    <w:rsid w:val="000F0930"/>
    <w:rsid w:val="000F09A9"/>
    <w:rsid w:val="000F09AB"/>
    <w:rsid w:val="000F09B9"/>
    <w:rsid w:val="000F0A34"/>
    <w:rsid w:val="000F0CAC"/>
    <w:rsid w:val="000F0E3D"/>
    <w:rsid w:val="000F0F54"/>
    <w:rsid w:val="000F103E"/>
    <w:rsid w:val="000F1128"/>
    <w:rsid w:val="000F1182"/>
    <w:rsid w:val="000F1388"/>
    <w:rsid w:val="000F1585"/>
    <w:rsid w:val="000F15DF"/>
    <w:rsid w:val="000F170B"/>
    <w:rsid w:val="000F171F"/>
    <w:rsid w:val="000F1783"/>
    <w:rsid w:val="000F1812"/>
    <w:rsid w:val="000F1836"/>
    <w:rsid w:val="000F188F"/>
    <w:rsid w:val="000F18B2"/>
    <w:rsid w:val="000F18FB"/>
    <w:rsid w:val="000F195D"/>
    <w:rsid w:val="000F1A5D"/>
    <w:rsid w:val="000F1AC0"/>
    <w:rsid w:val="000F1C2F"/>
    <w:rsid w:val="000F1CF9"/>
    <w:rsid w:val="000F1D1D"/>
    <w:rsid w:val="000F1E2B"/>
    <w:rsid w:val="000F2027"/>
    <w:rsid w:val="000F2121"/>
    <w:rsid w:val="000F223B"/>
    <w:rsid w:val="000F2382"/>
    <w:rsid w:val="000F23B5"/>
    <w:rsid w:val="000F24C7"/>
    <w:rsid w:val="000F2504"/>
    <w:rsid w:val="000F2512"/>
    <w:rsid w:val="000F25ED"/>
    <w:rsid w:val="000F26AB"/>
    <w:rsid w:val="000F278B"/>
    <w:rsid w:val="000F27CE"/>
    <w:rsid w:val="000F27FC"/>
    <w:rsid w:val="000F2A5E"/>
    <w:rsid w:val="000F2AE5"/>
    <w:rsid w:val="000F2C37"/>
    <w:rsid w:val="000F2E01"/>
    <w:rsid w:val="000F2E76"/>
    <w:rsid w:val="000F2E9E"/>
    <w:rsid w:val="000F2F21"/>
    <w:rsid w:val="000F30B1"/>
    <w:rsid w:val="000F30CD"/>
    <w:rsid w:val="000F315D"/>
    <w:rsid w:val="000F31B5"/>
    <w:rsid w:val="000F3231"/>
    <w:rsid w:val="000F3351"/>
    <w:rsid w:val="000F33D6"/>
    <w:rsid w:val="000F344F"/>
    <w:rsid w:val="000F345E"/>
    <w:rsid w:val="000F34B1"/>
    <w:rsid w:val="000F351B"/>
    <w:rsid w:val="000F362D"/>
    <w:rsid w:val="000F36AC"/>
    <w:rsid w:val="000F37B3"/>
    <w:rsid w:val="000F3906"/>
    <w:rsid w:val="000F3A0B"/>
    <w:rsid w:val="000F3A96"/>
    <w:rsid w:val="000F3AE1"/>
    <w:rsid w:val="000F3B18"/>
    <w:rsid w:val="000F3BC7"/>
    <w:rsid w:val="000F3D3B"/>
    <w:rsid w:val="000F3EAA"/>
    <w:rsid w:val="000F3EC0"/>
    <w:rsid w:val="000F3EEB"/>
    <w:rsid w:val="000F3F0E"/>
    <w:rsid w:val="000F3FA0"/>
    <w:rsid w:val="000F3FAC"/>
    <w:rsid w:val="000F400A"/>
    <w:rsid w:val="000F409E"/>
    <w:rsid w:val="000F421F"/>
    <w:rsid w:val="000F427F"/>
    <w:rsid w:val="000F4307"/>
    <w:rsid w:val="000F4319"/>
    <w:rsid w:val="000F4396"/>
    <w:rsid w:val="000F43FD"/>
    <w:rsid w:val="000F46AE"/>
    <w:rsid w:val="000F4714"/>
    <w:rsid w:val="000F487C"/>
    <w:rsid w:val="000F493E"/>
    <w:rsid w:val="000F4974"/>
    <w:rsid w:val="000F49AD"/>
    <w:rsid w:val="000F4A18"/>
    <w:rsid w:val="000F4A43"/>
    <w:rsid w:val="000F4AD4"/>
    <w:rsid w:val="000F4AF0"/>
    <w:rsid w:val="000F4BE5"/>
    <w:rsid w:val="000F4BF2"/>
    <w:rsid w:val="000F4C4F"/>
    <w:rsid w:val="000F5144"/>
    <w:rsid w:val="000F5271"/>
    <w:rsid w:val="000F52AB"/>
    <w:rsid w:val="000F52D7"/>
    <w:rsid w:val="000F5391"/>
    <w:rsid w:val="000F54A8"/>
    <w:rsid w:val="000F5572"/>
    <w:rsid w:val="000F55EB"/>
    <w:rsid w:val="000F5685"/>
    <w:rsid w:val="000F56F2"/>
    <w:rsid w:val="000F571E"/>
    <w:rsid w:val="000F57FA"/>
    <w:rsid w:val="000F5806"/>
    <w:rsid w:val="000F5816"/>
    <w:rsid w:val="000F5844"/>
    <w:rsid w:val="000F5846"/>
    <w:rsid w:val="000F589D"/>
    <w:rsid w:val="000F5A54"/>
    <w:rsid w:val="000F5A8D"/>
    <w:rsid w:val="000F5AE2"/>
    <w:rsid w:val="000F5B27"/>
    <w:rsid w:val="000F5B56"/>
    <w:rsid w:val="000F5B6E"/>
    <w:rsid w:val="000F5BB0"/>
    <w:rsid w:val="000F5C81"/>
    <w:rsid w:val="000F5CBC"/>
    <w:rsid w:val="000F5D27"/>
    <w:rsid w:val="000F5E70"/>
    <w:rsid w:val="000F5F0C"/>
    <w:rsid w:val="000F6025"/>
    <w:rsid w:val="000F6058"/>
    <w:rsid w:val="000F6077"/>
    <w:rsid w:val="000F60C4"/>
    <w:rsid w:val="000F614A"/>
    <w:rsid w:val="000F6239"/>
    <w:rsid w:val="000F6276"/>
    <w:rsid w:val="000F63EC"/>
    <w:rsid w:val="000F6402"/>
    <w:rsid w:val="000F6695"/>
    <w:rsid w:val="000F67A4"/>
    <w:rsid w:val="000F67AB"/>
    <w:rsid w:val="000F687B"/>
    <w:rsid w:val="000F69A5"/>
    <w:rsid w:val="000F69EF"/>
    <w:rsid w:val="000F6A4B"/>
    <w:rsid w:val="000F6A9D"/>
    <w:rsid w:val="000F6B4C"/>
    <w:rsid w:val="000F6BC1"/>
    <w:rsid w:val="000F6C23"/>
    <w:rsid w:val="000F6C44"/>
    <w:rsid w:val="000F6C7D"/>
    <w:rsid w:val="000F6DC2"/>
    <w:rsid w:val="000F6E1F"/>
    <w:rsid w:val="000F6E81"/>
    <w:rsid w:val="000F6E93"/>
    <w:rsid w:val="000F6EB9"/>
    <w:rsid w:val="000F6F1D"/>
    <w:rsid w:val="000F6F48"/>
    <w:rsid w:val="000F7016"/>
    <w:rsid w:val="000F701C"/>
    <w:rsid w:val="000F715D"/>
    <w:rsid w:val="000F720D"/>
    <w:rsid w:val="000F72BB"/>
    <w:rsid w:val="000F72F7"/>
    <w:rsid w:val="000F73C4"/>
    <w:rsid w:val="000F7427"/>
    <w:rsid w:val="000F75EA"/>
    <w:rsid w:val="000F7657"/>
    <w:rsid w:val="000F77A2"/>
    <w:rsid w:val="000F78CB"/>
    <w:rsid w:val="000F78FD"/>
    <w:rsid w:val="000F7955"/>
    <w:rsid w:val="000F7963"/>
    <w:rsid w:val="000F7987"/>
    <w:rsid w:val="000F7997"/>
    <w:rsid w:val="000F7A1E"/>
    <w:rsid w:val="000F7AE5"/>
    <w:rsid w:val="000F7B61"/>
    <w:rsid w:val="000F7B6A"/>
    <w:rsid w:val="000F7B98"/>
    <w:rsid w:val="000F7C52"/>
    <w:rsid w:val="000F7C5D"/>
    <w:rsid w:val="000F7C62"/>
    <w:rsid w:val="000F7D81"/>
    <w:rsid w:val="000F7DB2"/>
    <w:rsid w:val="000F7E9B"/>
    <w:rsid w:val="000F7F8D"/>
    <w:rsid w:val="001000B3"/>
    <w:rsid w:val="001002AC"/>
    <w:rsid w:val="00100424"/>
    <w:rsid w:val="0010044C"/>
    <w:rsid w:val="0010051C"/>
    <w:rsid w:val="001006A1"/>
    <w:rsid w:val="001007B9"/>
    <w:rsid w:val="001007C4"/>
    <w:rsid w:val="00100837"/>
    <w:rsid w:val="0010083B"/>
    <w:rsid w:val="0010086E"/>
    <w:rsid w:val="001008D5"/>
    <w:rsid w:val="00100915"/>
    <w:rsid w:val="00100945"/>
    <w:rsid w:val="001009CF"/>
    <w:rsid w:val="00100B84"/>
    <w:rsid w:val="00100D90"/>
    <w:rsid w:val="00100DA7"/>
    <w:rsid w:val="00100DDB"/>
    <w:rsid w:val="00100E03"/>
    <w:rsid w:val="00100ED4"/>
    <w:rsid w:val="00100EFB"/>
    <w:rsid w:val="00100F11"/>
    <w:rsid w:val="00100F47"/>
    <w:rsid w:val="00100FE6"/>
    <w:rsid w:val="00100FEF"/>
    <w:rsid w:val="00100FF3"/>
    <w:rsid w:val="00101062"/>
    <w:rsid w:val="0010113E"/>
    <w:rsid w:val="001011E0"/>
    <w:rsid w:val="001013D0"/>
    <w:rsid w:val="001014B8"/>
    <w:rsid w:val="001015AB"/>
    <w:rsid w:val="0010162A"/>
    <w:rsid w:val="001016D9"/>
    <w:rsid w:val="001016DE"/>
    <w:rsid w:val="001016F6"/>
    <w:rsid w:val="00101777"/>
    <w:rsid w:val="001017B6"/>
    <w:rsid w:val="00101933"/>
    <w:rsid w:val="00101992"/>
    <w:rsid w:val="001019AF"/>
    <w:rsid w:val="001019EF"/>
    <w:rsid w:val="001019FB"/>
    <w:rsid w:val="00101B74"/>
    <w:rsid w:val="00101C38"/>
    <w:rsid w:val="00101CA8"/>
    <w:rsid w:val="00101D56"/>
    <w:rsid w:val="00101E3C"/>
    <w:rsid w:val="001020C7"/>
    <w:rsid w:val="00102289"/>
    <w:rsid w:val="00102307"/>
    <w:rsid w:val="001024F5"/>
    <w:rsid w:val="00102557"/>
    <w:rsid w:val="0010256E"/>
    <w:rsid w:val="00102584"/>
    <w:rsid w:val="00102616"/>
    <w:rsid w:val="00102832"/>
    <w:rsid w:val="00102902"/>
    <w:rsid w:val="00102956"/>
    <w:rsid w:val="001029E4"/>
    <w:rsid w:val="00102CE0"/>
    <w:rsid w:val="00102CE5"/>
    <w:rsid w:val="00102D76"/>
    <w:rsid w:val="00102DE5"/>
    <w:rsid w:val="00102E0D"/>
    <w:rsid w:val="00102E71"/>
    <w:rsid w:val="00102EDB"/>
    <w:rsid w:val="0010300B"/>
    <w:rsid w:val="0010300F"/>
    <w:rsid w:val="00103046"/>
    <w:rsid w:val="00103068"/>
    <w:rsid w:val="00103072"/>
    <w:rsid w:val="001030D4"/>
    <w:rsid w:val="0010343C"/>
    <w:rsid w:val="00103468"/>
    <w:rsid w:val="001034B1"/>
    <w:rsid w:val="001034E9"/>
    <w:rsid w:val="0010350D"/>
    <w:rsid w:val="0010351B"/>
    <w:rsid w:val="00103603"/>
    <w:rsid w:val="00103711"/>
    <w:rsid w:val="00103799"/>
    <w:rsid w:val="001037C4"/>
    <w:rsid w:val="0010384F"/>
    <w:rsid w:val="00103859"/>
    <w:rsid w:val="00103860"/>
    <w:rsid w:val="00103970"/>
    <w:rsid w:val="001039EA"/>
    <w:rsid w:val="00103AD2"/>
    <w:rsid w:val="00103BB9"/>
    <w:rsid w:val="00103C74"/>
    <w:rsid w:val="00103D0C"/>
    <w:rsid w:val="00103D8A"/>
    <w:rsid w:val="00103D8C"/>
    <w:rsid w:val="00103E6B"/>
    <w:rsid w:val="00103ECA"/>
    <w:rsid w:val="00103FD2"/>
    <w:rsid w:val="00103FEB"/>
    <w:rsid w:val="001040D1"/>
    <w:rsid w:val="0010413C"/>
    <w:rsid w:val="0010423F"/>
    <w:rsid w:val="001042A6"/>
    <w:rsid w:val="001043BE"/>
    <w:rsid w:val="0010448B"/>
    <w:rsid w:val="001044F1"/>
    <w:rsid w:val="001045DA"/>
    <w:rsid w:val="001045FB"/>
    <w:rsid w:val="00104608"/>
    <w:rsid w:val="00104624"/>
    <w:rsid w:val="001046D9"/>
    <w:rsid w:val="00104803"/>
    <w:rsid w:val="001048A9"/>
    <w:rsid w:val="0010490E"/>
    <w:rsid w:val="0010494F"/>
    <w:rsid w:val="001049B5"/>
    <w:rsid w:val="001049F3"/>
    <w:rsid w:val="00104A00"/>
    <w:rsid w:val="00104A01"/>
    <w:rsid w:val="00104A8C"/>
    <w:rsid w:val="00104AA7"/>
    <w:rsid w:val="00104B13"/>
    <w:rsid w:val="00104B58"/>
    <w:rsid w:val="00104B9D"/>
    <w:rsid w:val="00104BAC"/>
    <w:rsid w:val="00104C66"/>
    <w:rsid w:val="00104C9B"/>
    <w:rsid w:val="00104D17"/>
    <w:rsid w:val="00104D26"/>
    <w:rsid w:val="00104D6E"/>
    <w:rsid w:val="00104E03"/>
    <w:rsid w:val="00104E1D"/>
    <w:rsid w:val="00104E48"/>
    <w:rsid w:val="00104E5C"/>
    <w:rsid w:val="00104E64"/>
    <w:rsid w:val="00104EE3"/>
    <w:rsid w:val="00104F48"/>
    <w:rsid w:val="001051D6"/>
    <w:rsid w:val="0010521F"/>
    <w:rsid w:val="00105265"/>
    <w:rsid w:val="001052F7"/>
    <w:rsid w:val="0010530A"/>
    <w:rsid w:val="001053D6"/>
    <w:rsid w:val="001053E1"/>
    <w:rsid w:val="00105812"/>
    <w:rsid w:val="0010581B"/>
    <w:rsid w:val="0010583C"/>
    <w:rsid w:val="0010589F"/>
    <w:rsid w:val="001058A8"/>
    <w:rsid w:val="001058C3"/>
    <w:rsid w:val="0010595D"/>
    <w:rsid w:val="001059B5"/>
    <w:rsid w:val="00105A84"/>
    <w:rsid w:val="00105AE7"/>
    <w:rsid w:val="00105C33"/>
    <w:rsid w:val="00105D55"/>
    <w:rsid w:val="00105D83"/>
    <w:rsid w:val="00105DEF"/>
    <w:rsid w:val="00105EAE"/>
    <w:rsid w:val="00105EDA"/>
    <w:rsid w:val="00106037"/>
    <w:rsid w:val="0010606A"/>
    <w:rsid w:val="0010606F"/>
    <w:rsid w:val="0010608C"/>
    <w:rsid w:val="0010613E"/>
    <w:rsid w:val="0010614F"/>
    <w:rsid w:val="0010625A"/>
    <w:rsid w:val="001062BE"/>
    <w:rsid w:val="001062C7"/>
    <w:rsid w:val="001062DB"/>
    <w:rsid w:val="001063CB"/>
    <w:rsid w:val="00106444"/>
    <w:rsid w:val="0010645C"/>
    <w:rsid w:val="001065CD"/>
    <w:rsid w:val="001065E0"/>
    <w:rsid w:val="00106667"/>
    <w:rsid w:val="001066F6"/>
    <w:rsid w:val="001066FA"/>
    <w:rsid w:val="0010689B"/>
    <w:rsid w:val="00106908"/>
    <w:rsid w:val="001069B0"/>
    <w:rsid w:val="00106B8B"/>
    <w:rsid w:val="00106C0A"/>
    <w:rsid w:val="00106C54"/>
    <w:rsid w:val="00106C9F"/>
    <w:rsid w:val="00106D0F"/>
    <w:rsid w:val="00106D73"/>
    <w:rsid w:val="00106E59"/>
    <w:rsid w:val="00106E88"/>
    <w:rsid w:val="00106EDC"/>
    <w:rsid w:val="00106F0B"/>
    <w:rsid w:val="00106F94"/>
    <w:rsid w:val="00107023"/>
    <w:rsid w:val="00107044"/>
    <w:rsid w:val="001070B3"/>
    <w:rsid w:val="001070F1"/>
    <w:rsid w:val="00107118"/>
    <w:rsid w:val="001071A0"/>
    <w:rsid w:val="001071D0"/>
    <w:rsid w:val="001072F8"/>
    <w:rsid w:val="00107399"/>
    <w:rsid w:val="001073A4"/>
    <w:rsid w:val="001073BA"/>
    <w:rsid w:val="001073F7"/>
    <w:rsid w:val="0010747E"/>
    <w:rsid w:val="001074B2"/>
    <w:rsid w:val="00107517"/>
    <w:rsid w:val="00107524"/>
    <w:rsid w:val="0010756D"/>
    <w:rsid w:val="0010759C"/>
    <w:rsid w:val="001075E5"/>
    <w:rsid w:val="001075F6"/>
    <w:rsid w:val="00107698"/>
    <w:rsid w:val="001076BD"/>
    <w:rsid w:val="001076CC"/>
    <w:rsid w:val="001076D5"/>
    <w:rsid w:val="0010770E"/>
    <w:rsid w:val="00107797"/>
    <w:rsid w:val="001077A3"/>
    <w:rsid w:val="00107903"/>
    <w:rsid w:val="001079DC"/>
    <w:rsid w:val="00107AE1"/>
    <w:rsid w:val="00107C28"/>
    <w:rsid w:val="00107C7B"/>
    <w:rsid w:val="00107D36"/>
    <w:rsid w:val="00107DB7"/>
    <w:rsid w:val="00107DB8"/>
    <w:rsid w:val="00107DCD"/>
    <w:rsid w:val="00107E02"/>
    <w:rsid w:val="00107E7D"/>
    <w:rsid w:val="00107EA1"/>
    <w:rsid w:val="00107EF0"/>
    <w:rsid w:val="00107F02"/>
    <w:rsid w:val="00107F38"/>
    <w:rsid w:val="00110061"/>
    <w:rsid w:val="001101E4"/>
    <w:rsid w:val="00110227"/>
    <w:rsid w:val="00110244"/>
    <w:rsid w:val="0011029F"/>
    <w:rsid w:val="00110399"/>
    <w:rsid w:val="001103A3"/>
    <w:rsid w:val="001104DC"/>
    <w:rsid w:val="0011050E"/>
    <w:rsid w:val="00110554"/>
    <w:rsid w:val="00110616"/>
    <w:rsid w:val="00110636"/>
    <w:rsid w:val="0011064D"/>
    <w:rsid w:val="00110743"/>
    <w:rsid w:val="0011074E"/>
    <w:rsid w:val="001108F4"/>
    <w:rsid w:val="00110967"/>
    <w:rsid w:val="001109CC"/>
    <w:rsid w:val="00110A04"/>
    <w:rsid w:val="00110AC2"/>
    <w:rsid w:val="00110B7D"/>
    <w:rsid w:val="00110EB6"/>
    <w:rsid w:val="00110F1B"/>
    <w:rsid w:val="00110F96"/>
    <w:rsid w:val="00110FC6"/>
    <w:rsid w:val="0011109C"/>
    <w:rsid w:val="00111125"/>
    <w:rsid w:val="001112AF"/>
    <w:rsid w:val="00111335"/>
    <w:rsid w:val="00111339"/>
    <w:rsid w:val="001113B7"/>
    <w:rsid w:val="00111417"/>
    <w:rsid w:val="00111496"/>
    <w:rsid w:val="00111532"/>
    <w:rsid w:val="00111579"/>
    <w:rsid w:val="001115FD"/>
    <w:rsid w:val="00111676"/>
    <w:rsid w:val="00111735"/>
    <w:rsid w:val="00111815"/>
    <w:rsid w:val="00111940"/>
    <w:rsid w:val="00111968"/>
    <w:rsid w:val="00111A20"/>
    <w:rsid w:val="00111A96"/>
    <w:rsid w:val="00111B11"/>
    <w:rsid w:val="00111B52"/>
    <w:rsid w:val="00111B7E"/>
    <w:rsid w:val="00111B80"/>
    <w:rsid w:val="00111B87"/>
    <w:rsid w:val="00111BF3"/>
    <w:rsid w:val="00111C94"/>
    <w:rsid w:val="00111D68"/>
    <w:rsid w:val="00111E23"/>
    <w:rsid w:val="00111E5A"/>
    <w:rsid w:val="00111EC5"/>
    <w:rsid w:val="00111F6C"/>
    <w:rsid w:val="00112013"/>
    <w:rsid w:val="00112096"/>
    <w:rsid w:val="001120D3"/>
    <w:rsid w:val="00112198"/>
    <w:rsid w:val="0011227D"/>
    <w:rsid w:val="00112381"/>
    <w:rsid w:val="0011239D"/>
    <w:rsid w:val="00112413"/>
    <w:rsid w:val="00112429"/>
    <w:rsid w:val="00112491"/>
    <w:rsid w:val="00112541"/>
    <w:rsid w:val="0011261B"/>
    <w:rsid w:val="00112666"/>
    <w:rsid w:val="001127A0"/>
    <w:rsid w:val="00112A95"/>
    <w:rsid w:val="00112AAD"/>
    <w:rsid w:val="00112B57"/>
    <w:rsid w:val="00112BC1"/>
    <w:rsid w:val="00112BD2"/>
    <w:rsid w:val="00112C97"/>
    <w:rsid w:val="00112CF1"/>
    <w:rsid w:val="00112D89"/>
    <w:rsid w:val="00112F16"/>
    <w:rsid w:val="00112FA4"/>
    <w:rsid w:val="00112FAE"/>
    <w:rsid w:val="00113086"/>
    <w:rsid w:val="0011309C"/>
    <w:rsid w:val="0011309E"/>
    <w:rsid w:val="001131CB"/>
    <w:rsid w:val="00113357"/>
    <w:rsid w:val="00113406"/>
    <w:rsid w:val="001135F5"/>
    <w:rsid w:val="00113636"/>
    <w:rsid w:val="0011364F"/>
    <w:rsid w:val="0011384E"/>
    <w:rsid w:val="00113C50"/>
    <w:rsid w:val="00113C60"/>
    <w:rsid w:val="00113C98"/>
    <w:rsid w:val="00113D45"/>
    <w:rsid w:val="00113D51"/>
    <w:rsid w:val="00113D97"/>
    <w:rsid w:val="00113DE2"/>
    <w:rsid w:val="00113EC1"/>
    <w:rsid w:val="00113EC4"/>
    <w:rsid w:val="00113EE3"/>
    <w:rsid w:val="00113FA3"/>
    <w:rsid w:val="00114125"/>
    <w:rsid w:val="0011423B"/>
    <w:rsid w:val="001142DB"/>
    <w:rsid w:val="001143C6"/>
    <w:rsid w:val="00114443"/>
    <w:rsid w:val="00114446"/>
    <w:rsid w:val="00114472"/>
    <w:rsid w:val="00114580"/>
    <w:rsid w:val="001145DC"/>
    <w:rsid w:val="001145E1"/>
    <w:rsid w:val="0011464F"/>
    <w:rsid w:val="00114650"/>
    <w:rsid w:val="00114717"/>
    <w:rsid w:val="001149AD"/>
    <w:rsid w:val="001149AF"/>
    <w:rsid w:val="00114A3D"/>
    <w:rsid w:val="00114B61"/>
    <w:rsid w:val="00114C14"/>
    <w:rsid w:val="00114C3B"/>
    <w:rsid w:val="00114D3B"/>
    <w:rsid w:val="00114DCD"/>
    <w:rsid w:val="00114E10"/>
    <w:rsid w:val="00114F9D"/>
    <w:rsid w:val="00115050"/>
    <w:rsid w:val="0011516D"/>
    <w:rsid w:val="0011527B"/>
    <w:rsid w:val="001152E1"/>
    <w:rsid w:val="00115303"/>
    <w:rsid w:val="0011538B"/>
    <w:rsid w:val="001153C7"/>
    <w:rsid w:val="001154C7"/>
    <w:rsid w:val="00115535"/>
    <w:rsid w:val="00115681"/>
    <w:rsid w:val="00115691"/>
    <w:rsid w:val="0011575D"/>
    <w:rsid w:val="00115776"/>
    <w:rsid w:val="00115879"/>
    <w:rsid w:val="00115916"/>
    <w:rsid w:val="00115B35"/>
    <w:rsid w:val="00115C87"/>
    <w:rsid w:val="00115CC7"/>
    <w:rsid w:val="00115CEC"/>
    <w:rsid w:val="00115E54"/>
    <w:rsid w:val="00115EDA"/>
    <w:rsid w:val="00115FC2"/>
    <w:rsid w:val="00115FCC"/>
    <w:rsid w:val="00116093"/>
    <w:rsid w:val="001161F4"/>
    <w:rsid w:val="0011621B"/>
    <w:rsid w:val="001162EE"/>
    <w:rsid w:val="0011630F"/>
    <w:rsid w:val="00116328"/>
    <w:rsid w:val="00116481"/>
    <w:rsid w:val="0011657C"/>
    <w:rsid w:val="0011678F"/>
    <w:rsid w:val="001167AA"/>
    <w:rsid w:val="001168BA"/>
    <w:rsid w:val="0011695E"/>
    <w:rsid w:val="00116A03"/>
    <w:rsid w:val="00116A77"/>
    <w:rsid w:val="00116A97"/>
    <w:rsid w:val="00116ADD"/>
    <w:rsid w:val="00116C5B"/>
    <w:rsid w:val="00116C87"/>
    <w:rsid w:val="00116E0D"/>
    <w:rsid w:val="00116F03"/>
    <w:rsid w:val="00116F1A"/>
    <w:rsid w:val="00116FCF"/>
    <w:rsid w:val="00117001"/>
    <w:rsid w:val="00117039"/>
    <w:rsid w:val="001170F5"/>
    <w:rsid w:val="001171B1"/>
    <w:rsid w:val="00117279"/>
    <w:rsid w:val="001172A7"/>
    <w:rsid w:val="00117311"/>
    <w:rsid w:val="00117403"/>
    <w:rsid w:val="0011740B"/>
    <w:rsid w:val="00117429"/>
    <w:rsid w:val="0011749F"/>
    <w:rsid w:val="00117510"/>
    <w:rsid w:val="0011754B"/>
    <w:rsid w:val="0011760F"/>
    <w:rsid w:val="0011763E"/>
    <w:rsid w:val="001176B1"/>
    <w:rsid w:val="00117721"/>
    <w:rsid w:val="0011773B"/>
    <w:rsid w:val="00117939"/>
    <w:rsid w:val="00117AB8"/>
    <w:rsid w:val="00117B28"/>
    <w:rsid w:val="00117BCE"/>
    <w:rsid w:val="00117BE6"/>
    <w:rsid w:val="00117D6E"/>
    <w:rsid w:val="00117F04"/>
    <w:rsid w:val="00117F5C"/>
    <w:rsid w:val="00120051"/>
    <w:rsid w:val="00120080"/>
    <w:rsid w:val="0012010E"/>
    <w:rsid w:val="001201C2"/>
    <w:rsid w:val="00120242"/>
    <w:rsid w:val="00120317"/>
    <w:rsid w:val="0012035D"/>
    <w:rsid w:val="00120363"/>
    <w:rsid w:val="00120399"/>
    <w:rsid w:val="00120470"/>
    <w:rsid w:val="00120485"/>
    <w:rsid w:val="001204E7"/>
    <w:rsid w:val="00120507"/>
    <w:rsid w:val="0012052C"/>
    <w:rsid w:val="0012054A"/>
    <w:rsid w:val="0012062C"/>
    <w:rsid w:val="0012092B"/>
    <w:rsid w:val="001209B1"/>
    <w:rsid w:val="00120ACD"/>
    <w:rsid w:val="00120AEB"/>
    <w:rsid w:val="00120C1A"/>
    <w:rsid w:val="00120C42"/>
    <w:rsid w:val="00120C4E"/>
    <w:rsid w:val="00120C57"/>
    <w:rsid w:val="00120C8D"/>
    <w:rsid w:val="00120D95"/>
    <w:rsid w:val="00120E7A"/>
    <w:rsid w:val="00120F36"/>
    <w:rsid w:val="0012117B"/>
    <w:rsid w:val="001211EB"/>
    <w:rsid w:val="0012120F"/>
    <w:rsid w:val="00121245"/>
    <w:rsid w:val="00121252"/>
    <w:rsid w:val="001212CE"/>
    <w:rsid w:val="0012147F"/>
    <w:rsid w:val="001215A0"/>
    <w:rsid w:val="001217C7"/>
    <w:rsid w:val="0012183F"/>
    <w:rsid w:val="00121852"/>
    <w:rsid w:val="00121872"/>
    <w:rsid w:val="00121888"/>
    <w:rsid w:val="001218EC"/>
    <w:rsid w:val="00121991"/>
    <w:rsid w:val="001219B6"/>
    <w:rsid w:val="00121A1E"/>
    <w:rsid w:val="00121A29"/>
    <w:rsid w:val="00121A61"/>
    <w:rsid w:val="00121B76"/>
    <w:rsid w:val="00121D59"/>
    <w:rsid w:val="00121DAD"/>
    <w:rsid w:val="00121E1A"/>
    <w:rsid w:val="00121E56"/>
    <w:rsid w:val="0012207D"/>
    <w:rsid w:val="00122144"/>
    <w:rsid w:val="001221BD"/>
    <w:rsid w:val="00122266"/>
    <w:rsid w:val="001222F4"/>
    <w:rsid w:val="0012233B"/>
    <w:rsid w:val="001223AD"/>
    <w:rsid w:val="00122413"/>
    <w:rsid w:val="00122467"/>
    <w:rsid w:val="0012247C"/>
    <w:rsid w:val="0012254F"/>
    <w:rsid w:val="0012275E"/>
    <w:rsid w:val="00122884"/>
    <w:rsid w:val="001228F6"/>
    <w:rsid w:val="00122919"/>
    <w:rsid w:val="00122ABD"/>
    <w:rsid w:val="00122AE3"/>
    <w:rsid w:val="00122B4D"/>
    <w:rsid w:val="00122BEA"/>
    <w:rsid w:val="00122C0F"/>
    <w:rsid w:val="00122CD7"/>
    <w:rsid w:val="00122CF6"/>
    <w:rsid w:val="00122EAC"/>
    <w:rsid w:val="00122EB2"/>
    <w:rsid w:val="00122EDC"/>
    <w:rsid w:val="00122EE1"/>
    <w:rsid w:val="00122EE7"/>
    <w:rsid w:val="00122EF4"/>
    <w:rsid w:val="00122F94"/>
    <w:rsid w:val="00122FD7"/>
    <w:rsid w:val="0012312A"/>
    <w:rsid w:val="0012338C"/>
    <w:rsid w:val="00123409"/>
    <w:rsid w:val="00123556"/>
    <w:rsid w:val="00123561"/>
    <w:rsid w:val="0012358F"/>
    <w:rsid w:val="00123658"/>
    <w:rsid w:val="00123773"/>
    <w:rsid w:val="001237AF"/>
    <w:rsid w:val="00123828"/>
    <w:rsid w:val="00123842"/>
    <w:rsid w:val="001238A1"/>
    <w:rsid w:val="001239F3"/>
    <w:rsid w:val="00123B55"/>
    <w:rsid w:val="00123BA5"/>
    <w:rsid w:val="00123C0A"/>
    <w:rsid w:val="00123C4A"/>
    <w:rsid w:val="00123C7E"/>
    <w:rsid w:val="00123CB8"/>
    <w:rsid w:val="00123E35"/>
    <w:rsid w:val="00123E69"/>
    <w:rsid w:val="00123F7F"/>
    <w:rsid w:val="001240C0"/>
    <w:rsid w:val="00124122"/>
    <w:rsid w:val="00124295"/>
    <w:rsid w:val="001242F3"/>
    <w:rsid w:val="0012437E"/>
    <w:rsid w:val="0012439F"/>
    <w:rsid w:val="001243F5"/>
    <w:rsid w:val="0012441E"/>
    <w:rsid w:val="00124423"/>
    <w:rsid w:val="0012446B"/>
    <w:rsid w:val="00124478"/>
    <w:rsid w:val="0012468B"/>
    <w:rsid w:val="0012474A"/>
    <w:rsid w:val="001247A5"/>
    <w:rsid w:val="001247CA"/>
    <w:rsid w:val="001247EB"/>
    <w:rsid w:val="00124802"/>
    <w:rsid w:val="0012495A"/>
    <w:rsid w:val="00124986"/>
    <w:rsid w:val="00124AC2"/>
    <w:rsid w:val="00124BD3"/>
    <w:rsid w:val="00124C10"/>
    <w:rsid w:val="00124CC4"/>
    <w:rsid w:val="00124CCF"/>
    <w:rsid w:val="00124D0A"/>
    <w:rsid w:val="00124D26"/>
    <w:rsid w:val="00124E02"/>
    <w:rsid w:val="00124E4A"/>
    <w:rsid w:val="00124E69"/>
    <w:rsid w:val="00124ED9"/>
    <w:rsid w:val="00124F3C"/>
    <w:rsid w:val="0012518E"/>
    <w:rsid w:val="001251C3"/>
    <w:rsid w:val="001251DF"/>
    <w:rsid w:val="001251EC"/>
    <w:rsid w:val="001253A4"/>
    <w:rsid w:val="001253FD"/>
    <w:rsid w:val="001254AB"/>
    <w:rsid w:val="001254FD"/>
    <w:rsid w:val="00125502"/>
    <w:rsid w:val="00125564"/>
    <w:rsid w:val="001255BC"/>
    <w:rsid w:val="001255C0"/>
    <w:rsid w:val="001255E1"/>
    <w:rsid w:val="00125670"/>
    <w:rsid w:val="001256A1"/>
    <w:rsid w:val="0012588A"/>
    <w:rsid w:val="00125890"/>
    <w:rsid w:val="001258D4"/>
    <w:rsid w:val="001258F2"/>
    <w:rsid w:val="00125965"/>
    <w:rsid w:val="001259D9"/>
    <w:rsid w:val="00125B2D"/>
    <w:rsid w:val="00125B61"/>
    <w:rsid w:val="00125C97"/>
    <w:rsid w:val="00125D88"/>
    <w:rsid w:val="00125F09"/>
    <w:rsid w:val="00125FC6"/>
    <w:rsid w:val="00126022"/>
    <w:rsid w:val="001260CA"/>
    <w:rsid w:val="001260F1"/>
    <w:rsid w:val="00126122"/>
    <w:rsid w:val="001261CE"/>
    <w:rsid w:val="001261F1"/>
    <w:rsid w:val="00126456"/>
    <w:rsid w:val="00126560"/>
    <w:rsid w:val="001265B4"/>
    <w:rsid w:val="001265B7"/>
    <w:rsid w:val="00126614"/>
    <w:rsid w:val="00126621"/>
    <w:rsid w:val="00126657"/>
    <w:rsid w:val="001266DE"/>
    <w:rsid w:val="0012673A"/>
    <w:rsid w:val="0012680C"/>
    <w:rsid w:val="001268EA"/>
    <w:rsid w:val="00126975"/>
    <w:rsid w:val="001269AB"/>
    <w:rsid w:val="001269F0"/>
    <w:rsid w:val="00126AB6"/>
    <w:rsid w:val="00126AD3"/>
    <w:rsid w:val="00126B8B"/>
    <w:rsid w:val="00126BB9"/>
    <w:rsid w:val="00126C17"/>
    <w:rsid w:val="00126CF2"/>
    <w:rsid w:val="00126F60"/>
    <w:rsid w:val="00126FE1"/>
    <w:rsid w:val="00127129"/>
    <w:rsid w:val="00127162"/>
    <w:rsid w:val="00127179"/>
    <w:rsid w:val="0012720B"/>
    <w:rsid w:val="0012724F"/>
    <w:rsid w:val="001274C1"/>
    <w:rsid w:val="00127559"/>
    <w:rsid w:val="001275B5"/>
    <w:rsid w:val="001276CB"/>
    <w:rsid w:val="00127801"/>
    <w:rsid w:val="0012799B"/>
    <w:rsid w:val="00127A29"/>
    <w:rsid w:val="00127A6F"/>
    <w:rsid w:val="00127AA3"/>
    <w:rsid w:val="00127C5D"/>
    <w:rsid w:val="00127C75"/>
    <w:rsid w:val="00127DB6"/>
    <w:rsid w:val="00130005"/>
    <w:rsid w:val="0013019B"/>
    <w:rsid w:val="00130321"/>
    <w:rsid w:val="00130329"/>
    <w:rsid w:val="00130399"/>
    <w:rsid w:val="001303BD"/>
    <w:rsid w:val="0013041D"/>
    <w:rsid w:val="0013049E"/>
    <w:rsid w:val="00130551"/>
    <w:rsid w:val="00130593"/>
    <w:rsid w:val="0013077C"/>
    <w:rsid w:val="00130910"/>
    <w:rsid w:val="0013092B"/>
    <w:rsid w:val="0013093A"/>
    <w:rsid w:val="00130966"/>
    <w:rsid w:val="0013099C"/>
    <w:rsid w:val="00130A99"/>
    <w:rsid w:val="00130C2F"/>
    <w:rsid w:val="00130CB3"/>
    <w:rsid w:val="00130D1E"/>
    <w:rsid w:val="00130D66"/>
    <w:rsid w:val="00130F25"/>
    <w:rsid w:val="00130FBF"/>
    <w:rsid w:val="0013106F"/>
    <w:rsid w:val="001310C9"/>
    <w:rsid w:val="001310F9"/>
    <w:rsid w:val="00131163"/>
    <w:rsid w:val="00131198"/>
    <w:rsid w:val="00131226"/>
    <w:rsid w:val="001312E6"/>
    <w:rsid w:val="00131307"/>
    <w:rsid w:val="0013130C"/>
    <w:rsid w:val="0013135C"/>
    <w:rsid w:val="001313EF"/>
    <w:rsid w:val="0013140B"/>
    <w:rsid w:val="00131482"/>
    <w:rsid w:val="0013148F"/>
    <w:rsid w:val="001314A5"/>
    <w:rsid w:val="00131544"/>
    <w:rsid w:val="0013157E"/>
    <w:rsid w:val="0013164D"/>
    <w:rsid w:val="0013192C"/>
    <w:rsid w:val="00131954"/>
    <w:rsid w:val="00131A95"/>
    <w:rsid w:val="00131ABD"/>
    <w:rsid w:val="00131B4D"/>
    <w:rsid w:val="00131C25"/>
    <w:rsid w:val="00131CED"/>
    <w:rsid w:val="00131D45"/>
    <w:rsid w:val="00131D71"/>
    <w:rsid w:val="00131E07"/>
    <w:rsid w:val="00131E5F"/>
    <w:rsid w:val="00131F1F"/>
    <w:rsid w:val="00131F5F"/>
    <w:rsid w:val="00131FF0"/>
    <w:rsid w:val="00131FF8"/>
    <w:rsid w:val="001320E7"/>
    <w:rsid w:val="001320F0"/>
    <w:rsid w:val="0013214D"/>
    <w:rsid w:val="001321F5"/>
    <w:rsid w:val="00132347"/>
    <w:rsid w:val="0013239C"/>
    <w:rsid w:val="001323A0"/>
    <w:rsid w:val="0013240F"/>
    <w:rsid w:val="0013249C"/>
    <w:rsid w:val="00132527"/>
    <w:rsid w:val="00132586"/>
    <w:rsid w:val="001325AA"/>
    <w:rsid w:val="0013263B"/>
    <w:rsid w:val="001327A4"/>
    <w:rsid w:val="001327AB"/>
    <w:rsid w:val="00132817"/>
    <w:rsid w:val="00132844"/>
    <w:rsid w:val="0013299C"/>
    <w:rsid w:val="001329C1"/>
    <w:rsid w:val="00132A82"/>
    <w:rsid w:val="00132B8A"/>
    <w:rsid w:val="00132BD6"/>
    <w:rsid w:val="00132C94"/>
    <w:rsid w:val="00132D21"/>
    <w:rsid w:val="00132D5F"/>
    <w:rsid w:val="00132E5D"/>
    <w:rsid w:val="00132E7A"/>
    <w:rsid w:val="00133081"/>
    <w:rsid w:val="001330E9"/>
    <w:rsid w:val="0013311C"/>
    <w:rsid w:val="00133217"/>
    <w:rsid w:val="00133232"/>
    <w:rsid w:val="00133389"/>
    <w:rsid w:val="001333F5"/>
    <w:rsid w:val="00133437"/>
    <w:rsid w:val="0013356F"/>
    <w:rsid w:val="00133595"/>
    <w:rsid w:val="001335A1"/>
    <w:rsid w:val="00133606"/>
    <w:rsid w:val="00133626"/>
    <w:rsid w:val="00133639"/>
    <w:rsid w:val="001336E0"/>
    <w:rsid w:val="001336F2"/>
    <w:rsid w:val="001339B9"/>
    <w:rsid w:val="00133B0D"/>
    <w:rsid w:val="00133C69"/>
    <w:rsid w:val="00133D23"/>
    <w:rsid w:val="00133D6E"/>
    <w:rsid w:val="00133E02"/>
    <w:rsid w:val="00133E4E"/>
    <w:rsid w:val="00133E82"/>
    <w:rsid w:val="00133EE1"/>
    <w:rsid w:val="00133F1F"/>
    <w:rsid w:val="00133F34"/>
    <w:rsid w:val="001340F4"/>
    <w:rsid w:val="0013424F"/>
    <w:rsid w:val="00134301"/>
    <w:rsid w:val="00134364"/>
    <w:rsid w:val="00134469"/>
    <w:rsid w:val="0013461C"/>
    <w:rsid w:val="001346AD"/>
    <w:rsid w:val="001346CA"/>
    <w:rsid w:val="001346F9"/>
    <w:rsid w:val="00134770"/>
    <w:rsid w:val="0013477B"/>
    <w:rsid w:val="001347A2"/>
    <w:rsid w:val="001348C5"/>
    <w:rsid w:val="001349A1"/>
    <w:rsid w:val="001349CB"/>
    <w:rsid w:val="00134A1C"/>
    <w:rsid w:val="00134A23"/>
    <w:rsid w:val="00134BF9"/>
    <w:rsid w:val="00134D6D"/>
    <w:rsid w:val="00134D7F"/>
    <w:rsid w:val="00134DFA"/>
    <w:rsid w:val="00134E43"/>
    <w:rsid w:val="00134F23"/>
    <w:rsid w:val="00134F24"/>
    <w:rsid w:val="00134F90"/>
    <w:rsid w:val="00135008"/>
    <w:rsid w:val="00135016"/>
    <w:rsid w:val="00135019"/>
    <w:rsid w:val="00135032"/>
    <w:rsid w:val="0013504C"/>
    <w:rsid w:val="00135077"/>
    <w:rsid w:val="001350A2"/>
    <w:rsid w:val="0013512A"/>
    <w:rsid w:val="00135273"/>
    <w:rsid w:val="00135311"/>
    <w:rsid w:val="001353CD"/>
    <w:rsid w:val="001353D8"/>
    <w:rsid w:val="001354C2"/>
    <w:rsid w:val="001355C0"/>
    <w:rsid w:val="001355EE"/>
    <w:rsid w:val="001356FC"/>
    <w:rsid w:val="0013571A"/>
    <w:rsid w:val="00135905"/>
    <w:rsid w:val="001359FE"/>
    <w:rsid w:val="00135A28"/>
    <w:rsid w:val="00135AE7"/>
    <w:rsid w:val="00135B7E"/>
    <w:rsid w:val="00135BB9"/>
    <w:rsid w:val="00135C6E"/>
    <w:rsid w:val="00135D1C"/>
    <w:rsid w:val="00135D22"/>
    <w:rsid w:val="00135D71"/>
    <w:rsid w:val="00135E79"/>
    <w:rsid w:val="00135E9D"/>
    <w:rsid w:val="00135ECD"/>
    <w:rsid w:val="00135EFE"/>
    <w:rsid w:val="00135FC9"/>
    <w:rsid w:val="0013605B"/>
    <w:rsid w:val="00136072"/>
    <w:rsid w:val="0013614A"/>
    <w:rsid w:val="0013622A"/>
    <w:rsid w:val="00136274"/>
    <w:rsid w:val="0013629A"/>
    <w:rsid w:val="001362FC"/>
    <w:rsid w:val="0013630E"/>
    <w:rsid w:val="00136319"/>
    <w:rsid w:val="00136323"/>
    <w:rsid w:val="00136332"/>
    <w:rsid w:val="00136543"/>
    <w:rsid w:val="0013659F"/>
    <w:rsid w:val="001365D6"/>
    <w:rsid w:val="001366BF"/>
    <w:rsid w:val="00136788"/>
    <w:rsid w:val="001367C4"/>
    <w:rsid w:val="00136837"/>
    <w:rsid w:val="00136871"/>
    <w:rsid w:val="001368A3"/>
    <w:rsid w:val="00136933"/>
    <w:rsid w:val="00136AD4"/>
    <w:rsid w:val="00136D7A"/>
    <w:rsid w:val="00136FD5"/>
    <w:rsid w:val="0013703A"/>
    <w:rsid w:val="00137055"/>
    <w:rsid w:val="00137177"/>
    <w:rsid w:val="001372EE"/>
    <w:rsid w:val="001373D4"/>
    <w:rsid w:val="00137425"/>
    <w:rsid w:val="00137709"/>
    <w:rsid w:val="00137783"/>
    <w:rsid w:val="001377AF"/>
    <w:rsid w:val="0013785A"/>
    <w:rsid w:val="001378CE"/>
    <w:rsid w:val="001378E9"/>
    <w:rsid w:val="00137900"/>
    <w:rsid w:val="001379A9"/>
    <w:rsid w:val="001379AA"/>
    <w:rsid w:val="00137A7C"/>
    <w:rsid w:val="00137AA8"/>
    <w:rsid w:val="00137BC8"/>
    <w:rsid w:val="00137C39"/>
    <w:rsid w:val="00137C90"/>
    <w:rsid w:val="00137D17"/>
    <w:rsid w:val="00137D59"/>
    <w:rsid w:val="00137D83"/>
    <w:rsid w:val="00137E18"/>
    <w:rsid w:val="00137E43"/>
    <w:rsid w:val="00137ED1"/>
    <w:rsid w:val="00137F63"/>
    <w:rsid w:val="00140140"/>
    <w:rsid w:val="0014017A"/>
    <w:rsid w:val="00140201"/>
    <w:rsid w:val="001402FC"/>
    <w:rsid w:val="00140409"/>
    <w:rsid w:val="0014046C"/>
    <w:rsid w:val="001404EB"/>
    <w:rsid w:val="0014056C"/>
    <w:rsid w:val="0014061E"/>
    <w:rsid w:val="00140693"/>
    <w:rsid w:val="001408A1"/>
    <w:rsid w:val="001408F2"/>
    <w:rsid w:val="0014093D"/>
    <w:rsid w:val="00140974"/>
    <w:rsid w:val="00140BEF"/>
    <w:rsid w:val="00140BF5"/>
    <w:rsid w:val="00140C7B"/>
    <w:rsid w:val="00140D08"/>
    <w:rsid w:val="00140DC7"/>
    <w:rsid w:val="00140EA4"/>
    <w:rsid w:val="00140EA5"/>
    <w:rsid w:val="00140EA7"/>
    <w:rsid w:val="00140F64"/>
    <w:rsid w:val="00140F85"/>
    <w:rsid w:val="00140FAC"/>
    <w:rsid w:val="00140FE7"/>
    <w:rsid w:val="00141059"/>
    <w:rsid w:val="0014112A"/>
    <w:rsid w:val="0014112D"/>
    <w:rsid w:val="001411F3"/>
    <w:rsid w:val="0014122C"/>
    <w:rsid w:val="00141262"/>
    <w:rsid w:val="00141392"/>
    <w:rsid w:val="001413DB"/>
    <w:rsid w:val="0014141B"/>
    <w:rsid w:val="001414D0"/>
    <w:rsid w:val="00141511"/>
    <w:rsid w:val="001415A6"/>
    <w:rsid w:val="001415B4"/>
    <w:rsid w:val="00141700"/>
    <w:rsid w:val="0014170F"/>
    <w:rsid w:val="0014172D"/>
    <w:rsid w:val="001418F7"/>
    <w:rsid w:val="00141992"/>
    <w:rsid w:val="001419B3"/>
    <w:rsid w:val="00141A54"/>
    <w:rsid w:val="00141B4A"/>
    <w:rsid w:val="00141B74"/>
    <w:rsid w:val="00141B90"/>
    <w:rsid w:val="00141BDE"/>
    <w:rsid w:val="00141C2F"/>
    <w:rsid w:val="00141C5D"/>
    <w:rsid w:val="00141CBA"/>
    <w:rsid w:val="00141CD4"/>
    <w:rsid w:val="00141D29"/>
    <w:rsid w:val="00141F0B"/>
    <w:rsid w:val="00141F8D"/>
    <w:rsid w:val="00141F98"/>
    <w:rsid w:val="00141FBB"/>
    <w:rsid w:val="00142158"/>
    <w:rsid w:val="0014215A"/>
    <w:rsid w:val="00142210"/>
    <w:rsid w:val="00142292"/>
    <w:rsid w:val="001423C1"/>
    <w:rsid w:val="001423E4"/>
    <w:rsid w:val="00142420"/>
    <w:rsid w:val="001424AE"/>
    <w:rsid w:val="0014253E"/>
    <w:rsid w:val="00142791"/>
    <w:rsid w:val="001428F8"/>
    <w:rsid w:val="00142ADA"/>
    <w:rsid w:val="00142C22"/>
    <w:rsid w:val="00142C4E"/>
    <w:rsid w:val="00142CC8"/>
    <w:rsid w:val="00142DE7"/>
    <w:rsid w:val="00142E28"/>
    <w:rsid w:val="00142E90"/>
    <w:rsid w:val="00142F4D"/>
    <w:rsid w:val="00142FAA"/>
    <w:rsid w:val="0014306F"/>
    <w:rsid w:val="00143073"/>
    <w:rsid w:val="00143093"/>
    <w:rsid w:val="001430A6"/>
    <w:rsid w:val="001430C7"/>
    <w:rsid w:val="001430F4"/>
    <w:rsid w:val="0014320A"/>
    <w:rsid w:val="001432B0"/>
    <w:rsid w:val="0014330A"/>
    <w:rsid w:val="00143317"/>
    <w:rsid w:val="00143343"/>
    <w:rsid w:val="00143359"/>
    <w:rsid w:val="00143478"/>
    <w:rsid w:val="0014351F"/>
    <w:rsid w:val="001436AC"/>
    <w:rsid w:val="00143721"/>
    <w:rsid w:val="0014374B"/>
    <w:rsid w:val="001437A3"/>
    <w:rsid w:val="001437EA"/>
    <w:rsid w:val="0014382C"/>
    <w:rsid w:val="00143899"/>
    <w:rsid w:val="0014391C"/>
    <w:rsid w:val="00143960"/>
    <w:rsid w:val="00143AB9"/>
    <w:rsid w:val="00143ACE"/>
    <w:rsid w:val="00143B23"/>
    <w:rsid w:val="00143B3C"/>
    <w:rsid w:val="00143BA4"/>
    <w:rsid w:val="00143BDF"/>
    <w:rsid w:val="00143CBD"/>
    <w:rsid w:val="00143D52"/>
    <w:rsid w:val="00143D78"/>
    <w:rsid w:val="00143D7E"/>
    <w:rsid w:val="00143EC7"/>
    <w:rsid w:val="00143F05"/>
    <w:rsid w:val="00143F2F"/>
    <w:rsid w:val="0014408D"/>
    <w:rsid w:val="001441F5"/>
    <w:rsid w:val="00144258"/>
    <w:rsid w:val="001442E2"/>
    <w:rsid w:val="0014436C"/>
    <w:rsid w:val="0014448D"/>
    <w:rsid w:val="0014458B"/>
    <w:rsid w:val="00144761"/>
    <w:rsid w:val="001447B2"/>
    <w:rsid w:val="00144881"/>
    <w:rsid w:val="001448A1"/>
    <w:rsid w:val="00144A08"/>
    <w:rsid w:val="00144A0A"/>
    <w:rsid w:val="00144A8D"/>
    <w:rsid w:val="00144B57"/>
    <w:rsid w:val="00144BA3"/>
    <w:rsid w:val="00144C4C"/>
    <w:rsid w:val="00144C5B"/>
    <w:rsid w:val="00144C6B"/>
    <w:rsid w:val="00144CA8"/>
    <w:rsid w:val="00144CC3"/>
    <w:rsid w:val="00144CC6"/>
    <w:rsid w:val="00144D8E"/>
    <w:rsid w:val="00144E94"/>
    <w:rsid w:val="00144EDB"/>
    <w:rsid w:val="0014504E"/>
    <w:rsid w:val="00145066"/>
    <w:rsid w:val="00145183"/>
    <w:rsid w:val="0014531B"/>
    <w:rsid w:val="00145418"/>
    <w:rsid w:val="00145428"/>
    <w:rsid w:val="001454C2"/>
    <w:rsid w:val="001454FE"/>
    <w:rsid w:val="00145507"/>
    <w:rsid w:val="001455B5"/>
    <w:rsid w:val="001457B6"/>
    <w:rsid w:val="00145909"/>
    <w:rsid w:val="00145AD4"/>
    <w:rsid w:val="00145C7E"/>
    <w:rsid w:val="00145C98"/>
    <w:rsid w:val="00145ECE"/>
    <w:rsid w:val="0014626D"/>
    <w:rsid w:val="00146292"/>
    <w:rsid w:val="00146605"/>
    <w:rsid w:val="00146624"/>
    <w:rsid w:val="001466D9"/>
    <w:rsid w:val="001467A6"/>
    <w:rsid w:val="00146878"/>
    <w:rsid w:val="00146915"/>
    <w:rsid w:val="00146979"/>
    <w:rsid w:val="0014697A"/>
    <w:rsid w:val="001469B9"/>
    <w:rsid w:val="001469E1"/>
    <w:rsid w:val="00146A71"/>
    <w:rsid w:val="00146A87"/>
    <w:rsid w:val="00146C05"/>
    <w:rsid w:val="00146C93"/>
    <w:rsid w:val="00146EF9"/>
    <w:rsid w:val="00146F25"/>
    <w:rsid w:val="00146F54"/>
    <w:rsid w:val="00147005"/>
    <w:rsid w:val="0014702D"/>
    <w:rsid w:val="001471D8"/>
    <w:rsid w:val="0014737B"/>
    <w:rsid w:val="001473E8"/>
    <w:rsid w:val="00147495"/>
    <w:rsid w:val="0014751B"/>
    <w:rsid w:val="001475C2"/>
    <w:rsid w:val="001475D3"/>
    <w:rsid w:val="0014771D"/>
    <w:rsid w:val="00147948"/>
    <w:rsid w:val="00147976"/>
    <w:rsid w:val="00147A76"/>
    <w:rsid w:val="00147B51"/>
    <w:rsid w:val="00147B62"/>
    <w:rsid w:val="00147BB6"/>
    <w:rsid w:val="00147C98"/>
    <w:rsid w:val="00147CEB"/>
    <w:rsid w:val="00147D1D"/>
    <w:rsid w:val="00147DAB"/>
    <w:rsid w:val="00147E85"/>
    <w:rsid w:val="00147EB4"/>
    <w:rsid w:val="00147EDA"/>
    <w:rsid w:val="00147F96"/>
    <w:rsid w:val="00147FE2"/>
    <w:rsid w:val="00150041"/>
    <w:rsid w:val="001501C1"/>
    <w:rsid w:val="001501F0"/>
    <w:rsid w:val="0015025F"/>
    <w:rsid w:val="001502D3"/>
    <w:rsid w:val="00150322"/>
    <w:rsid w:val="00150376"/>
    <w:rsid w:val="00150530"/>
    <w:rsid w:val="001505C2"/>
    <w:rsid w:val="00150680"/>
    <w:rsid w:val="001506AC"/>
    <w:rsid w:val="0015072A"/>
    <w:rsid w:val="001507B8"/>
    <w:rsid w:val="001508B0"/>
    <w:rsid w:val="0015098F"/>
    <w:rsid w:val="001509B4"/>
    <w:rsid w:val="001509D6"/>
    <w:rsid w:val="00150AD2"/>
    <w:rsid w:val="00150B10"/>
    <w:rsid w:val="00150C20"/>
    <w:rsid w:val="00150CA0"/>
    <w:rsid w:val="00150CC3"/>
    <w:rsid w:val="00150E6A"/>
    <w:rsid w:val="00150F56"/>
    <w:rsid w:val="001510C7"/>
    <w:rsid w:val="00151145"/>
    <w:rsid w:val="0015119C"/>
    <w:rsid w:val="00151362"/>
    <w:rsid w:val="00151372"/>
    <w:rsid w:val="001514B9"/>
    <w:rsid w:val="0015159D"/>
    <w:rsid w:val="0015164C"/>
    <w:rsid w:val="001516A8"/>
    <w:rsid w:val="00151790"/>
    <w:rsid w:val="001517D1"/>
    <w:rsid w:val="0015181D"/>
    <w:rsid w:val="0015182B"/>
    <w:rsid w:val="00151A2C"/>
    <w:rsid w:val="00151AA2"/>
    <w:rsid w:val="00151C1D"/>
    <w:rsid w:val="00151C90"/>
    <w:rsid w:val="00151D1E"/>
    <w:rsid w:val="00151D49"/>
    <w:rsid w:val="00151DB3"/>
    <w:rsid w:val="00151DBD"/>
    <w:rsid w:val="00151EED"/>
    <w:rsid w:val="00151F14"/>
    <w:rsid w:val="00152010"/>
    <w:rsid w:val="0015201D"/>
    <w:rsid w:val="0015203D"/>
    <w:rsid w:val="0015206E"/>
    <w:rsid w:val="00152087"/>
    <w:rsid w:val="001520D9"/>
    <w:rsid w:val="001520DF"/>
    <w:rsid w:val="00152110"/>
    <w:rsid w:val="0015212A"/>
    <w:rsid w:val="00152201"/>
    <w:rsid w:val="00152303"/>
    <w:rsid w:val="0015233A"/>
    <w:rsid w:val="001523C7"/>
    <w:rsid w:val="00152420"/>
    <w:rsid w:val="00152540"/>
    <w:rsid w:val="0015255C"/>
    <w:rsid w:val="00152611"/>
    <w:rsid w:val="001526A2"/>
    <w:rsid w:val="001526E4"/>
    <w:rsid w:val="0015270B"/>
    <w:rsid w:val="0015272E"/>
    <w:rsid w:val="001527E3"/>
    <w:rsid w:val="001528F5"/>
    <w:rsid w:val="001529D5"/>
    <w:rsid w:val="00152A62"/>
    <w:rsid w:val="00152B74"/>
    <w:rsid w:val="00152C61"/>
    <w:rsid w:val="00152C69"/>
    <w:rsid w:val="00152D7D"/>
    <w:rsid w:val="00152E31"/>
    <w:rsid w:val="00152ECA"/>
    <w:rsid w:val="00152F1F"/>
    <w:rsid w:val="00152F22"/>
    <w:rsid w:val="00152F4E"/>
    <w:rsid w:val="00152FA5"/>
    <w:rsid w:val="00152FDD"/>
    <w:rsid w:val="00153057"/>
    <w:rsid w:val="0015315E"/>
    <w:rsid w:val="00153174"/>
    <w:rsid w:val="001531D6"/>
    <w:rsid w:val="001531DC"/>
    <w:rsid w:val="00153404"/>
    <w:rsid w:val="00153558"/>
    <w:rsid w:val="001535C6"/>
    <w:rsid w:val="0015362F"/>
    <w:rsid w:val="001536E3"/>
    <w:rsid w:val="001536FF"/>
    <w:rsid w:val="00153763"/>
    <w:rsid w:val="001537E9"/>
    <w:rsid w:val="00153ADC"/>
    <w:rsid w:val="00153BB0"/>
    <w:rsid w:val="00153BCC"/>
    <w:rsid w:val="00153C51"/>
    <w:rsid w:val="00153C93"/>
    <w:rsid w:val="00153CE8"/>
    <w:rsid w:val="00153D05"/>
    <w:rsid w:val="00153D0C"/>
    <w:rsid w:val="00153DC9"/>
    <w:rsid w:val="00153DDA"/>
    <w:rsid w:val="00153E2D"/>
    <w:rsid w:val="00153E5B"/>
    <w:rsid w:val="00153E8A"/>
    <w:rsid w:val="00153E98"/>
    <w:rsid w:val="00153EFD"/>
    <w:rsid w:val="00153F66"/>
    <w:rsid w:val="0015402C"/>
    <w:rsid w:val="001540A2"/>
    <w:rsid w:val="001540C2"/>
    <w:rsid w:val="001541CC"/>
    <w:rsid w:val="001542B6"/>
    <w:rsid w:val="0015439C"/>
    <w:rsid w:val="00154457"/>
    <w:rsid w:val="0015449E"/>
    <w:rsid w:val="001544A1"/>
    <w:rsid w:val="00154559"/>
    <w:rsid w:val="00154598"/>
    <w:rsid w:val="00154628"/>
    <w:rsid w:val="00154630"/>
    <w:rsid w:val="00154634"/>
    <w:rsid w:val="00154680"/>
    <w:rsid w:val="00154776"/>
    <w:rsid w:val="001547D9"/>
    <w:rsid w:val="00154A0C"/>
    <w:rsid w:val="00154B0F"/>
    <w:rsid w:val="00154BBD"/>
    <w:rsid w:val="00154BCD"/>
    <w:rsid w:val="00154CB4"/>
    <w:rsid w:val="00154D00"/>
    <w:rsid w:val="00154DB3"/>
    <w:rsid w:val="00154E3E"/>
    <w:rsid w:val="00154E4D"/>
    <w:rsid w:val="00155006"/>
    <w:rsid w:val="0015517A"/>
    <w:rsid w:val="00155197"/>
    <w:rsid w:val="001552D4"/>
    <w:rsid w:val="001552E1"/>
    <w:rsid w:val="001552F8"/>
    <w:rsid w:val="00155323"/>
    <w:rsid w:val="00155434"/>
    <w:rsid w:val="0015549A"/>
    <w:rsid w:val="0015550D"/>
    <w:rsid w:val="00155519"/>
    <w:rsid w:val="001555C1"/>
    <w:rsid w:val="00155626"/>
    <w:rsid w:val="00155629"/>
    <w:rsid w:val="0015562B"/>
    <w:rsid w:val="001556B0"/>
    <w:rsid w:val="00155726"/>
    <w:rsid w:val="001557B9"/>
    <w:rsid w:val="0015580B"/>
    <w:rsid w:val="00155928"/>
    <w:rsid w:val="001559B0"/>
    <w:rsid w:val="00155A76"/>
    <w:rsid w:val="00155AA4"/>
    <w:rsid w:val="00155BAE"/>
    <w:rsid w:val="00155BDA"/>
    <w:rsid w:val="00155C1E"/>
    <w:rsid w:val="00155C58"/>
    <w:rsid w:val="00155D7F"/>
    <w:rsid w:val="00155DAC"/>
    <w:rsid w:val="00155DC2"/>
    <w:rsid w:val="00155EB1"/>
    <w:rsid w:val="00156002"/>
    <w:rsid w:val="001560CD"/>
    <w:rsid w:val="00156121"/>
    <w:rsid w:val="0015614F"/>
    <w:rsid w:val="0015625A"/>
    <w:rsid w:val="00156417"/>
    <w:rsid w:val="00156480"/>
    <w:rsid w:val="001564A1"/>
    <w:rsid w:val="001564B9"/>
    <w:rsid w:val="00156560"/>
    <w:rsid w:val="001565FC"/>
    <w:rsid w:val="00156654"/>
    <w:rsid w:val="0015668B"/>
    <w:rsid w:val="00156769"/>
    <w:rsid w:val="0015685E"/>
    <w:rsid w:val="00156914"/>
    <w:rsid w:val="00156939"/>
    <w:rsid w:val="00156A7F"/>
    <w:rsid w:val="00156B01"/>
    <w:rsid w:val="00156B63"/>
    <w:rsid w:val="00156BFB"/>
    <w:rsid w:val="00156C64"/>
    <w:rsid w:val="00156C6C"/>
    <w:rsid w:val="00156D28"/>
    <w:rsid w:val="00156D43"/>
    <w:rsid w:val="00156D54"/>
    <w:rsid w:val="00156DAA"/>
    <w:rsid w:val="00156DF4"/>
    <w:rsid w:val="00156E3C"/>
    <w:rsid w:val="00156E3D"/>
    <w:rsid w:val="00156E45"/>
    <w:rsid w:val="00156F60"/>
    <w:rsid w:val="00156FA7"/>
    <w:rsid w:val="00157002"/>
    <w:rsid w:val="001570CB"/>
    <w:rsid w:val="0015716A"/>
    <w:rsid w:val="0015716F"/>
    <w:rsid w:val="0015747F"/>
    <w:rsid w:val="0015755E"/>
    <w:rsid w:val="001575B0"/>
    <w:rsid w:val="0015777D"/>
    <w:rsid w:val="00157780"/>
    <w:rsid w:val="001577CC"/>
    <w:rsid w:val="00157836"/>
    <w:rsid w:val="0015785A"/>
    <w:rsid w:val="00157895"/>
    <w:rsid w:val="0015798C"/>
    <w:rsid w:val="00157A59"/>
    <w:rsid w:val="00157A6E"/>
    <w:rsid w:val="00157AA9"/>
    <w:rsid w:val="00157B0B"/>
    <w:rsid w:val="00157B2F"/>
    <w:rsid w:val="00157BFE"/>
    <w:rsid w:val="00157D6F"/>
    <w:rsid w:val="00157D9E"/>
    <w:rsid w:val="00157E54"/>
    <w:rsid w:val="00157E86"/>
    <w:rsid w:val="00157FC5"/>
    <w:rsid w:val="00157FF4"/>
    <w:rsid w:val="001600CC"/>
    <w:rsid w:val="001600EC"/>
    <w:rsid w:val="001601BC"/>
    <w:rsid w:val="0016023A"/>
    <w:rsid w:val="0016035F"/>
    <w:rsid w:val="00160562"/>
    <w:rsid w:val="00160589"/>
    <w:rsid w:val="00160622"/>
    <w:rsid w:val="0016074B"/>
    <w:rsid w:val="0016098A"/>
    <w:rsid w:val="0016098B"/>
    <w:rsid w:val="001609C4"/>
    <w:rsid w:val="001609E8"/>
    <w:rsid w:val="00160A53"/>
    <w:rsid w:val="00160A59"/>
    <w:rsid w:val="00160AC5"/>
    <w:rsid w:val="00160AE4"/>
    <w:rsid w:val="00160BC0"/>
    <w:rsid w:val="00160C7A"/>
    <w:rsid w:val="00160E55"/>
    <w:rsid w:val="00160EC4"/>
    <w:rsid w:val="00160EE8"/>
    <w:rsid w:val="00160F16"/>
    <w:rsid w:val="00161153"/>
    <w:rsid w:val="0016115F"/>
    <w:rsid w:val="001611A3"/>
    <w:rsid w:val="001611DB"/>
    <w:rsid w:val="001611F4"/>
    <w:rsid w:val="001612E4"/>
    <w:rsid w:val="001613E8"/>
    <w:rsid w:val="0016143C"/>
    <w:rsid w:val="00161663"/>
    <w:rsid w:val="00161685"/>
    <w:rsid w:val="001616CE"/>
    <w:rsid w:val="001616E4"/>
    <w:rsid w:val="00161711"/>
    <w:rsid w:val="001617F7"/>
    <w:rsid w:val="00161A20"/>
    <w:rsid w:val="00161A4F"/>
    <w:rsid w:val="00161A8D"/>
    <w:rsid w:val="00161AE2"/>
    <w:rsid w:val="00161AF8"/>
    <w:rsid w:val="00161B0D"/>
    <w:rsid w:val="00161B48"/>
    <w:rsid w:val="00161B9C"/>
    <w:rsid w:val="00161BFE"/>
    <w:rsid w:val="00161C84"/>
    <w:rsid w:val="00161C89"/>
    <w:rsid w:val="00161D6B"/>
    <w:rsid w:val="00161D87"/>
    <w:rsid w:val="00161E00"/>
    <w:rsid w:val="00161ECE"/>
    <w:rsid w:val="00161F1C"/>
    <w:rsid w:val="001620D6"/>
    <w:rsid w:val="00162108"/>
    <w:rsid w:val="0016211A"/>
    <w:rsid w:val="00162226"/>
    <w:rsid w:val="0016230E"/>
    <w:rsid w:val="0016235E"/>
    <w:rsid w:val="001623BE"/>
    <w:rsid w:val="001623F1"/>
    <w:rsid w:val="00162497"/>
    <w:rsid w:val="001624A8"/>
    <w:rsid w:val="00162604"/>
    <w:rsid w:val="00162612"/>
    <w:rsid w:val="00162613"/>
    <w:rsid w:val="00162619"/>
    <w:rsid w:val="0016284F"/>
    <w:rsid w:val="00162989"/>
    <w:rsid w:val="001629F4"/>
    <w:rsid w:val="00162A06"/>
    <w:rsid w:val="00162A2B"/>
    <w:rsid w:val="00162A6F"/>
    <w:rsid w:val="00162A71"/>
    <w:rsid w:val="00162AC0"/>
    <w:rsid w:val="00162AC2"/>
    <w:rsid w:val="00162BC5"/>
    <w:rsid w:val="00162CF2"/>
    <w:rsid w:val="00162D11"/>
    <w:rsid w:val="00162D1C"/>
    <w:rsid w:val="00162DBF"/>
    <w:rsid w:val="00162EA6"/>
    <w:rsid w:val="00162ED0"/>
    <w:rsid w:val="0016306A"/>
    <w:rsid w:val="0016317B"/>
    <w:rsid w:val="0016320D"/>
    <w:rsid w:val="00163334"/>
    <w:rsid w:val="0016335D"/>
    <w:rsid w:val="001633F2"/>
    <w:rsid w:val="00163431"/>
    <w:rsid w:val="001634C1"/>
    <w:rsid w:val="0016375C"/>
    <w:rsid w:val="00163767"/>
    <w:rsid w:val="001637B3"/>
    <w:rsid w:val="001637EE"/>
    <w:rsid w:val="001638D0"/>
    <w:rsid w:val="001638E9"/>
    <w:rsid w:val="00163906"/>
    <w:rsid w:val="00163947"/>
    <w:rsid w:val="00163973"/>
    <w:rsid w:val="00163A3B"/>
    <w:rsid w:val="00163A3F"/>
    <w:rsid w:val="00163A9C"/>
    <w:rsid w:val="00163C11"/>
    <w:rsid w:val="00163C13"/>
    <w:rsid w:val="00163C3D"/>
    <w:rsid w:val="00163C8C"/>
    <w:rsid w:val="00163CC9"/>
    <w:rsid w:val="00163D01"/>
    <w:rsid w:val="00163DA1"/>
    <w:rsid w:val="00163E19"/>
    <w:rsid w:val="00163E98"/>
    <w:rsid w:val="00163ECE"/>
    <w:rsid w:val="0016416F"/>
    <w:rsid w:val="001641B1"/>
    <w:rsid w:val="001641D1"/>
    <w:rsid w:val="00164227"/>
    <w:rsid w:val="001642D5"/>
    <w:rsid w:val="00164418"/>
    <w:rsid w:val="00164472"/>
    <w:rsid w:val="001644BF"/>
    <w:rsid w:val="001644E6"/>
    <w:rsid w:val="00164541"/>
    <w:rsid w:val="001646C7"/>
    <w:rsid w:val="0016477E"/>
    <w:rsid w:val="001647AA"/>
    <w:rsid w:val="0016493B"/>
    <w:rsid w:val="00164951"/>
    <w:rsid w:val="001649BD"/>
    <w:rsid w:val="00164B1C"/>
    <w:rsid w:val="00164B34"/>
    <w:rsid w:val="00164BA7"/>
    <w:rsid w:val="00164BE4"/>
    <w:rsid w:val="00164CD3"/>
    <w:rsid w:val="00164CF8"/>
    <w:rsid w:val="00164D9F"/>
    <w:rsid w:val="00164DF6"/>
    <w:rsid w:val="00164E02"/>
    <w:rsid w:val="00164E39"/>
    <w:rsid w:val="00164E89"/>
    <w:rsid w:val="00164FC0"/>
    <w:rsid w:val="0016502E"/>
    <w:rsid w:val="001650BC"/>
    <w:rsid w:val="00165108"/>
    <w:rsid w:val="00165130"/>
    <w:rsid w:val="00165195"/>
    <w:rsid w:val="001651DA"/>
    <w:rsid w:val="001651E9"/>
    <w:rsid w:val="001652C9"/>
    <w:rsid w:val="00165380"/>
    <w:rsid w:val="001653AE"/>
    <w:rsid w:val="001654E7"/>
    <w:rsid w:val="001655FC"/>
    <w:rsid w:val="00165633"/>
    <w:rsid w:val="001656AF"/>
    <w:rsid w:val="001656B0"/>
    <w:rsid w:val="0016576D"/>
    <w:rsid w:val="001657EC"/>
    <w:rsid w:val="00165806"/>
    <w:rsid w:val="00165893"/>
    <w:rsid w:val="001658DE"/>
    <w:rsid w:val="001659C1"/>
    <w:rsid w:val="00165A49"/>
    <w:rsid w:val="00165A4C"/>
    <w:rsid w:val="00165B3D"/>
    <w:rsid w:val="00165C20"/>
    <w:rsid w:val="00165C4B"/>
    <w:rsid w:val="00165D59"/>
    <w:rsid w:val="001661EF"/>
    <w:rsid w:val="001661F1"/>
    <w:rsid w:val="00166232"/>
    <w:rsid w:val="0016628A"/>
    <w:rsid w:val="001662DD"/>
    <w:rsid w:val="001662FC"/>
    <w:rsid w:val="0016636A"/>
    <w:rsid w:val="0016636F"/>
    <w:rsid w:val="00166457"/>
    <w:rsid w:val="00166476"/>
    <w:rsid w:val="001664F0"/>
    <w:rsid w:val="001664FE"/>
    <w:rsid w:val="00166544"/>
    <w:rsid w:val="00166612"/>
    <w:rsid w:val="00166621"/>
    <w:rsid w:val="00166795"/>
    <w:rsid w:val="0016685D"/>
    <w:rsid w:val="00166920"/>
    <w:rsid w:val="0016697E"/>
    <w:rsid w:val="00166998"/>
    <w:rsid w:val="001669E6"/>
    <w:rsid w:val="00166A54"/>
    <w:rsid w:val="00166C33"/>
    <w:rsid w:val="00166E13"/>
    <w:rsid w:val="00166E41"/>
    <w:rsid w:val="00166E54"/>
    <w:rsid w:val="00166F03"/>
    <w:rsid w:val="00166F1F"/>
    <w:rsid w:val="00166F45"/>
    <w:rsid w:val="00167001"/>
    <w:rsid w:val="0016704A"/>
    <w:rsid w:val="00167050"/>
    <w:rsid w:val="001670BE"/>
    <w:rsid w:val="00167177"/>
    <w:rsid w:val="00167366"/>
    <w:rsid w:val="001673A3"/>
    <w:rsid w:val="00167475"/>
    <w:rsid w:val="00167553"/>
    <w:rsid w:val="001675C9"/>
    <w:rsid w:val="00167608"/>
    <w:rsid w:val="0016760A"/>
    <w:rsid w:val="00167666"/>
    <w:rsid w:val="001676BA"/>
    <w:rsid w:val="001678CD"/>
    <w:rsid w:val="001679EA"/>
    <w:rsid w:val="00167BAB"/>
    <w:rsid w:val="00167BF4"/>
    <w:rsid w:val="00167BFD"/>
    <w:rsid w:val="00167EB4"/>
    <w:rsid w:val="00167FDC"/>
    <w:rsid w:val="00167FFA"/>
    <w:rsid w:val="00170093"/>
    <w:rsid w:val="00170120"/>
    <w:rsid w:val="00170339"/>
    <w:rsid w:val="0017034A"/>
    <w:rsid w:val="00170485"/>
    <w:rsid w:val="001704C8"/>
    <w:rsid w:val="001705F5"/>
    <w:rsid w:val="00170831"/>
    <w:rsid w:val="00170876"/>
    <w:rsid w:val="001708E9"/>
    <w:rsid w:val="00170B84"/>
    <w:rsid w:val="00170CCA"/>
    <w:rsid w:val="00170CDA"/>
    <w:rsid w:val="00170D20"/>
    <w:rsid w:val="00170D5B"/>
    <w:rsid w:val="00170DD5"/>
    <w:rsid w:val="00170E0E"/>
    <w:rsid w:val="00170E51"/>
    <w:rsid w:val="0017104A"/>
    <w:rsid w:val="00171114"/>
    <w:rsid w:val="00171318"/>
    <w:rsid w:val="001713B1"/>
    <w:rsid w:val="00171414"/>
    <w:rsid w:val="0017146F"/>
    <w:rsid w:val="00171475"/>
    <w:rsid w:val="00171611"/>
    <w:rsid w:val="0017174B"/>
    <w:rsid w:val="001717C1"/>
    <w:rsid w:val="001717E4"/>
    <w:rsid w:val="0017191F"/>
    <w:rsid w:val="001719AC"/>
    <w:rsid w:val="001719B3"/>
    <w:rsid w:val="001719C6"/>
    <w:rsid w:val="001719DB"/>
    <w:rsid w:val="00171B66"/>
    <w:rsid w:val="00171B6C"/>
    <w:rsid w:val="00171BA6"/>
    <w:rsid w:val="00171BBE"/>
    <w:rsid w:val="00171C3B"/>
    <w:rsid w:val="00171D04"/>
    <w:rsid w:val="00171D24"/>
    <w:rsid w:val="00171DA7"/>
    <w:rsid w:val="00171E37"/>
    <w:rsid w:val="00171F51"/>
    <w:rsid w:val="00172034"/>
    <w:rsid w:val="001720EA"/>
    <w:rsid w:val="001721CF"/>
    <w:rsid w:val="001721E9"/>
    <w:rsid w:val="0017225D"/>
    <w:rsid w:val="00172276"/>
    <w:rsid w:val="00172400"/>
    <w:rsid w:val="001725A7"/>
    <w:rsid w:val="00172709"/>
    <w:rsid w:val="00172861"/>
    <w:rsid w:val="0017298B"/>
    <w:rsid w:val="00172B8F"/>
    <w:rsid w:val="00172C48"/>
    <w:rsid w:val="00172C8D"/>
    <w:rsid w:val="00172D47"/>
    <w:rsid w:val="00172E77"/>
    <w:rsid w:val="00172F3F"/>
    <w:rsid w:val="0017303F"/>
    <w:rsid w:val="00173369"/>
    <w:rsid w:val="001733AD"/>
    <w:rsid w:val="00173412"/>
    <w:rsid w:val="00173470"/>
    <w:rsid w:val="00173569"/>
    <w:rsid w:val="0017356F"/>
    <w:rsid w:val="001735E8"/>
    <w:rsid w:val="001735EF"/>
    <w:rsid w:val="001736C4"/>
    <w:rsid w:val="001736F8"/>
    <w:rsid w:val="0017372A"/>
    <w:rsid w:val="0017377D"/>
    <w:rsid w:val="001737A6"/>
    <w:rsid w:val="00173810"/>
    <w:rsid w:val="001738E6"/>
    <w:rsid w:val="00173A76"/>
    <w:rsid w:val="00173B1B"/>
    <w:rsid w:val="00173BEB"/>
    <w:rsid w:val="00173C37"/>
    <w:rsid w:val="00173C61"/>
    <w:rsid w:val="00173C70"/>
    <w:rsid w:val="00173C7C"/>
    <w:rsid w:val="00173C83"/>
    <w:rsid w:val="00173D50"/>
    <w:rsid w:val="00173D7E"/>
    <w:rsid w:val="00173D85"/>
    <w:rsid w:val="00173EC7"/>
    <w:rsid w:val="00173EDE"/>
    <w:rsid w:val="00173FB1"/>
    <w:rsid w:val="00174005"/>
    <w:rsid w:val="00174127"/>
    <w:rsid w:val="0017422C"/>
    <w:rsid w:val="001742C3"/>
    <w:rsid w:val="0017430B"/>
    <w:rsid w:val="0017441A"/>
    <w:rsid w:val="00174468"/>
    <w:rsid w:val="0017448D"/>
    <w:rsid w:val="00174550"/>
    <w:rsid w:val="001745E1"/>
    <w:rsid w:val="00174619"/>
    <w:rsid w:val="00174661"/>
    <w:rsid w:val="001746F2"/>
    <w:rsid w:val="00174709"/>
    <w:rsid w:val="00174738"/>
    <w:rsid w:val="00174849"/>
    <w:rsid w:val="00174864"/>
    <w:rsid w:val="001748BF"/>
    <w:rsid w:val="0017490E"/>
    <w:rsid w:val="00174944"/>
    <w:rsid w:val="00174A36"/>
    <w:rsid w:val="00174B28"/>
    <w:rsid w:val="00174BA0"/>
    <w:rsid w:val="00174CC5"/>
    <w:rsid w:val="00174DB4"/>
    <w:rsid w:val="00174DE3"/>
    <w:rsid w:val="00174F03"/>
    <w:rsid w:val="00174F41"/>
    <w:rsid w:val="00174FD4"/>
    <w:rsid w:val="00175017"/>
    <w:rsid w:val="001751E1"/>
    <w:rsid w:val="0017530B"/>
    <w:rsid w:val="0017536C"/>
    <w:rsid w:val="00175496"/>
    <w:rsid w:val="001754DA"/>
    <w:rsid w:val="0017550F"/>
    <w:rsid w:val="001756D1"/>
    <w:rsid w:val="0017574A"/>
    <w:rsid w:val="00175790"/>
    <w:rsid w:val="001757C0"/>
    <w:rsid w:val="00175863"/>
    <w:rsid w:val="00175A14"/>
    <w:rsid w:val="00175A20"/>
    <w:rsid w:val="00175AB7"/>
    <w:rsid w:val="00175B3A"/>
    <w:rsid w:val="00175B83"/>
    <w:rsid w:val="00175BA5"/>
    <w:rsid w:val="00175BA6"/>
    <w:rsid w:val="00175C84"/>
    <w:rsid w:val="00175D3A"/>
    <w:rsid w:val="00175D54"/>
    <w:rsid w:val="00175D80"/>
    <w:rsid w:val="00175DE7"/>
    <w:rsid w:val="00175E2C"/>
    <w:rsid w:val="00175E32"/>
    <w:rsid w:val="00175EBC"/>
    <w:rsid w:val="00175F03"/>
    <w:rsid w:val="00176171"/>
    <w:rsid w:val="00176199"/>
    <w:rsid w:val="001762C6"/>
    <w:rsid w:val="0017630D"/>
    <w:rsid w:val="00176313"/>
    <w:rsid w:val="0017636B"/>
    <w:rsid w:val="0017639E"/>
    <w:rsid w:val="0017644A"/>
    <w:rsid w:val="00176607"/>
    <w:rsid w:val="00176742"/>
    <w:rsid w:val="0017675A"/>
    <w:rsid w:val="00176797"/>
    <w:rsid w:val="0017680D"/>
    <w:rsid w:val="0017685F"/>
    <w:rsid w:val="00176942"/>
    <w:rsid w:val="00176B14"/>
    <w:rsid w:val="00176B76"/>
    <w:rsid w:val="00176BC6"/>
    <w:rsid w:val="00176CC8"/>
    <w:rsid w:val="00176D7B"/>
    <w:rsid w:val="00176DA1"/>
    <w:rsid w:val="00176DA8"/>
    <w:rsid w:val="00176E85"/>
    <w:rsid w:val="00176EE9"/>
    <w:rsid w:val="00176F72"/>
    <w:rsid w:val="00177152"/>
    <w:rsid w:val="001771B2"/>
    <w:rsid w:val="001771BF"/>
    <w:rsid w:val="001771FC"/>
    <w:rsid w:val="001772AE"/>
    <w:rsid w:val="00177353"/>
    <w:rsid w:val="001773AE"/>
    <w:rsid w:val="001774E1"/>
    <w:rsid w:val="001775EE"/>
    <w:rsid w:val="00177637"/>
    <w:rsid w:val="00177644"/>
    <w:rsid w:val="0017764B"/>
    <w:rsid w:val="00177760"/>
    <w:rsid w:val="0017791D"/>
    <w:rsid w:val="00177922"/>
    <w:rsid w:val="00177951"/>
    <w:rsid w:val="00177967"/>
    <w:rsid w:val="00177AAD"/>
    <w:rsid w:val="00177AD6"/>
    <w:rsid w:val="00177B42"/>
    <w:rsid w:val="00177B76"/>
    <w:rsid w:val="00177C07"/>
    <w:rsid w:val="00177CF5"/>
    <w:rsid w:val="00177D8A"/>
    <w:rsid w:val="00177DE8"/>
    <w:rsid w:val="00177DFC"/>
    <w:rsid w:val="00177FF3"/>
    <w:rsid w:val="00180002"/>
    <w:rsid w:val="0018003F"/>
    <w:rsid w:val="00180114"/>
    <w:rsid w:val="00180143"/>
    <w:rsid w:val="00180167"/>
    <w:rsid w:val="0018017B"/>
    <w:rsid w:val="0018028F"/>
    <w:rsid w:val="0018054E"/>
    <w:rsid w:val="001805ED"/>
    <w:rsid w:val="00180660"/>
    <w:rsid w:val="0018068B"/>
    <w:rsid w:val="001806CE"/>
    <w:rsid w:val="00180799"/>
    <w:rsid w:val="00180803"/>
    <w:rsid w:val="001808F6"/>
    <w:rsid w:val="0018093C"/>
    <w:rsid w:val="0018094F"/>
    <w:rsid w:val="00180A0F"/>
    <w:rsid w:val="00180AC2"/>
    <w:rsid w:val="00180B6F"/>
    <w:rsid w:val="00180BEC"/>
    <w:rsid w:val="00180C54"/>
    <w:rsid w:val="00180D50"/>
    <w:rsid w:val="00180D6F"/>
    <w:rsid w:val="00180E63"/>
    <w:rsid w:val="00180E8A"/>
    <w:rsid w:val="00180FAD"/>
    <w:rsid w:val="00180FCE"/>
    <w:rsid w:val="00180FFC"/>
    <w:rsid w:val="0018104E"/>
    <w:rsid w:val="00181147"/>
    <w:rsid w:val="00181176"/>
    <w:rsid w:val="00181289"/>
    <w:rsid w:val="001812BD"/>
    <w:rsid w:val="00181365"/>
    <w:rsid w:val="00181391"/>
    <w:rsid w:val="001813B9"/>
    <w:rsid w:val="001813EE"/>
    <w:rsid w:val="00181409"/>
    <w:rsid w:val="00181589"/>
    <w:rsid w:val="00181593"/>
    <w:rsid w:val="001815BF"/>
    <w:rsid w:val="001815DA"/>
    <w:rsid w:val="00181754"/>
    <w:rsid w:val="0018187E"/>
    <w:rsid w:val="00181936"/>
    <w:rsid w:val="001819C8"/>
    <w:rsid w:val="001819D3"/>
    <w:rsid w:val="00181A2F"/>
    <w:rsid w:val="00181C67"/>
    <w:rsid w:val="00181C99"/>
    <w:rsid w:val="00181D4F"/>
    <w:rsid w:val="00181DCE"/>
    <w:rsid w:val="00181E0A"/>
    <w:rsid w:val="00181E37"/>
    <w:rsid w:val="00181EFD"/>
    <w:rsid w:val="00181F87"/>
    <w:rsid w:val="00181FC9"/>
    <w:rsid w:val="001821CA"/>
    <w:rsid w:val="00182233"/>
    <w:rsid w:val="00182274"/>
    <w:rsid w:val="001822FF"/>
    <w:rsid w:val="0018231F"/>
    <w:rsid w:val="0018235A"/>
    <w:rsid w:val="001823D4"/>
    <w:rsid w:val="00182413"/>
    <w:rsid w:val="0018242D"/>
    <w:rsid w:val="001824AE"/>
    <w:rsid w:val="001825B1"/>
    <w:rsid w:val="001825D7"/>
    <w:rsid w:val="001826B4"/>
    <w:rsid w:val="00182860"/>
    <w:rsid w:val="00182A41"/>
    <w:rsid w:val="00182AEB"/>
    <w:rsid w:val="00182BD8"/>
    <w:rsid w:val="00182CFB"/>
    <w:rsid w:val="00182D40"/>
    <w:rsid w:val="00182DAF"/>
    <w:rsid w:val="00182E50"/>
    <w:rsid w:val="00182E7D"/>
    <w:rsid w:val="00182F1A"/>
    <w:rsid w:val="00182FD7"/>
    <w:rsid w:val="0018303F"/>
    <w:rsid w:val="00183193"/>
    <w:rsid w:val="001831B0"/>
    <w:rsid w:val="001834F8"/>
    <w:rsid w:val="001835AD"/>
    <w:rsid w:val="001836BE"/>
    <w:rsid w:val="001836D7"/>
    <w:rsid w:val="0018372D"/>
    <w:rsid w:val="0018378A"/>
    <w:rsid w:val="001837F8"/>
    <w:rsid w:val="001839D7"/>
    <w:rsid w:val="00183A7F"/>
    <w:rsid w:val="00183B4F"/>
    <w:rsid w:val="00183CFD"/>
    <w:rsid w:val="00183DD9"/>
    <w:rsid w:val="00183DE2"/>
    <w:rsid w:val="00183E76"/>
    <w:rsid w:val="00183F6C"/>
    <w:rsid w:val="00183FEC"/>
    <w:rsid w:val="00184002"/>
    <w:rsid w:val="00184011"/>
    <w:rsid w:val="001840A1"/>
    <w:rsid w:val="001840B4"/>
    <w:rsid w:val="0018421E"/>
    <w:rsid w:val="00184282"/>
    <w:rsid w:val="00184390"/>
    <w:rsid w:val="00184392"/>
    <w:rsid w:val="00184443"/>
    <w:rsid w:val="0018466C"/>
    <w:rsid w:val="001846F3"/>
    <w:rsid w:val="00184735"/>
    <w:rsid w:val="0018480E"/>
    <w:rsid w:val="0018495C"/>
    <w:rsid w:val="0018498E"/>
    <w:rsid w:val="00184A2F"/>
    <w:rsid w:val="00184A99"/>
    <w:rsid w:val="00184AC2"/>
    <w:rsid w:val="00184B4E"/>
    <w:rsid w:val="00184BAE"/>
    <w:rsid w:val="00184BBC"/>
    <w:rsid w:val="00184DA6"/>
    <w:rsid w:val="00184E25"/>
    <w:rsid w:val="00184E2E"/>
    <w:rsid w:val="00184E4A"/>
    <w:rsid w:val="00184EE8"/>
    <w:rsid w:val="00184F9A"/>
    <w:rsid w:val="00184FA7"/>
    <w:rsid w:val="00184FDA"/>
    <w:rsid w:val="001850BB"/>
    <w:rsid w:val="00185144"/>
    <w:rsid w:val="001851A2"/>
    <w:rsid w:val="00185249"/>
    <w:rsid w:val="0018536B"/>
    <w:rsid w:val="0018537F"/>
    <w:rsid w:val="00185396"/>
    <w:rsid w:val="001853C0"/>
    <w:rsid w:val="001853DB"/>
    <w:rsid w:val="00185443"/>
    <w:rsid w:val="00185497"/>
    <w:rsid w:val="0018549D"/>
    <w:rsid w:val="001854AF"/>
    <w:rsid w:val="0018552E"/>
    <w:rsid w:val="00185579"/>
    <w:rsid w:val="001855FF"/>
    <w:rsid w:val="0018564A"/>
    <w:rsid w:val="0018567B"/>
    <w:rsid w:val="00185711"/>
    <w:rsid w:val="00185768"/>
    <w:rsid w:val="001857BF"/>
    <w:rsid w:val="001857F1"/>
    <w:rsid w:val="00185922"/>
    <w:rsid w:val="001859FD"/>
    <w:rsid w:val="00185BA6"/>
    <w:rsid w:val="00185BDD"/>
    <w:rsid w:val="00185C44"/>
    <w:rsid w:val="00185D3D"/>
    <w:rsid w:val="00185F73"/>
    <w:rsid w:val="00186092"/>
    <w:rsid w:val="001860E4"/>
    <w:rsid w:val="001860F0"/>
    <w:rsid w:val="00186157"/>
    <w:rsid w:val="00186181"/>
    <w:rsid w:val="0018619E"/>
    <w:rsid w:val="001861C5"/>
    <w:rsid w:val="001861FF"/>
    <w:rsid w:val="001862DA"/>
    <w:rsid w:val="00186436"/>
    <w:rsid w:val="00186520"/>
    <w:rsid w:val="0018655A"/>
    <w:rsid w:val="00186692"/>
    <w:rsid w:val="001866F7"/>
    <w:rsid w:val="00186706"/>
    <w:rsid w:val="00186849"/>
    <w:rsid w:val="0018684C"/>
    <w:rsid w:val="00186907"/>
    <w:rsid w:val="00186997"/>
    <w:rsid w:val="001869E8"/>
    <w:rsid w:val="00186B22"/>
    <w:rsid w:val="00186BC8"/>
    <w:rsid w:val="00186D91"/>
    <w:rsid w:val="00186EE2"/>
    <w:rsid w:val="00186F3E"/>
    <w:rsid w:val="00187046"/>
    <w:rsid w:val="001870DB"/>
    <w:rsid w:val="00187148"/>
    <w:rsid w:val="0018723F"/>
    <w:rsid w:val="001872BC"/>
    <w:rsid w:val="001873A8"/>
    <w:rsid w:val="001873C7"/>
    <w:rsid w:val="00187447"/>
    <w:rsid w:val="00187558"/>
    <w:rsid w:val="00187577"/>
    <w:rsid w:val="00187590"/>
    <w:rsid w:val="001875FF"/>
    <w:rsid w:val="00187648"/>
    <w:rsid w:val="00187669"/>
    <w:rsid w:val="001876EA"/>
    <w:rsid w:val="00187726"/>
    <w:rsid w:val="001877DA"/>
    <w:rsid w:val="0018783A"/>
    <w:rsid w:val="0018794D"/>
    <w:rsid w:val="00187961"/>
    <w:rsid w:val="001879B6"/>
    <w:rsid w:val="00187A2E"/>
    <w:rsid w:val="00187B26"/>
    <w:rsid w:val="00187D1F"/>
    <w:rsid w:val="00187D48"/>
    <w:rsid w:val="00187E0C"/>
    <w:rsid w:val="00187E23"/>
    <w:rsid w:val="00187F5F"/>
    <w:rsid w:val="0019027F"/>
    <w:rsid w:val="00190370"/>
    <w:rsid w:val="0019043D"/>
    <w:rsid w:val="001904AA"/>
    <w:rsid w:val="0019052F"/>
    <w:rsid w:val="00190579"/>
    <w:rsid w:val="0019068D"/>
    <w:rsid w:val="001906D9"/>
    <w:rsid w:val="00190826"/>
    <w:rsid w:val="00190845"/>
    <w:rsid w:val="00190847"/>
    <w:rsid w:val="00190988"/>
    <w:rsid w:val="00190BD6"/>
    <w:rsid w:val="00190C66"/>
    <w:rsid w:val="00190CC4"/>
    <w:rsid w:val="00190D34"/>
    <w:rsid w:val="00190D56"/>
    <w:rsid w:val="00190D6C"/>
    <w:rsid w:val="00190EE3"/>
    <w:rsid w:val="00190EFD"/>
    <w:rsid w:val="00190F03"/>
    <w:rsid w:val="00190F0A"/>
    <w:rsid w:val="00190F9B"/>
    <w:rsid w:val="0019108B"/>
    <w:rsid w:val="001910CE"/>
    <w:rsid w:val="0019111D"/>
    <w:rsid w:val="001911A0"/>
    <w:rsid w:val="001911D7"/>
    <w:rsid w:val="001913AA"/>
    <w:rsid w:val="001914AF"/>
    <w:rsid w:val="001915D8"/>
    <w:rsid w:val="001915DE"/>
    <w:rsid w:val="00191651"/>
    <w:rsid w:val="00191677"/>
    <w:rsid w:val="001916DF"/>
    <w:rsid w:val="00191737"/>
    <w:rsid w:val="00191797"/>
    <w:rsid w:val="00191838"/>
    <w:rsid w:val="00191907"/>
    <w:rsid w:val="00191968"/>
    <w:rsid w:val="00191976"/>
    <w:rsid w:val="001919F4"/>
    <w:rsid w:val="00191AF9"/>
    <w:rsid w:val="00191B52"/>
    <w:rsid w:val="00191BDC"/>
    <w:rsid w:val="00191C39"/>
    <w:rsid w:val="00191D1F"/>
    <w:rsid w:val="00191E22"/>
    <w:rsid w:val="00191E2D"/>
    <w:rsid w:val="00191ED7"/>
    <w:rsid w:val="00191F16"/>
    <w:rsid w:val="00191F20"/>
    <w:rsid w:val="00191F3B"/>
    <w:rsid w:val="00192056"/>
    <w:rsid w:val="001920FF"/>
    <w:rsid w:val="001921E7"/>
    <w:rsid w:val="00192211"/>
    <w:rsid w:val="0019229D"/>
    <w:rsid w:val="00192336"/>
    <w:rsid w:val="0019235B"/>
    <w:rsid w:val="00192364"/>
    <w:rsid w:val="001924F3"/>
    <w:rsid w:val="001928A7"/>
    <w:rsid w:val="00192A05"/>
    <w:rsid w:val="00192A1D"/>
    <w:rsid w:val="00192A4C"/>
    <w:rsid w:val="00192AAE"/>
    <w:rsid w:val="00192B48"/>
    <w:rsid w:val="00192CE1"/>
    <w:rsid w:val="00192CE4"/>
    <w:rsid w:val="00192D62"/>
    <w:rsid w:val="00192DBC"/>
    <w:rsid w:val="00192DEE"/>
    <w:rsid w:val="00192E00"/>
    <w:rsid w:val="00192EA0"/>
    <w:rsid w:val="0019301E"/>
    <w:rsid w:val="00193082"/>
    <w:rsid w:val="001930FB"/>
    <w:rsid w:val="00193114"/>
    <w:rsid w:val="0019337C"/>
    <w:rsid w:val="001933E6"/>
    <w:rsid w:val="0019358C"/>
    <w:rsid w:val="001935C1"/>
    <w:rsid w:val="0019362A"/>
    <w:rsid w:val="001936B1"/>
    <w:rsid w:val="001936E6"/>
    <w:rsid w:val="00193896"/>
    <w:rsid w:val="00193A9D"/>
    <w:rsid w:val="00193C13"/>
    <w:rsid w:val="00193DAC"/>
    <w:rsid w:val="00193DDB"/>
    <w:rsid w:val="00193EB6"/>
    <w:rsid w:val="00193F30"/>
    <w:rsid w:val="00193F9A"/>
    <w:rsid w:val="00194007"/>
    <w:rsid w:val="0019405C"/>
    <w:rsid w:val="0019421B"/>
    <w:rsid w:val="0019424F"/>
    <w:rsid w:val="001942E4"/>
    <w:rsid w:val="0019438C"/>
    <w:rsid w:val="001943AE"/>
    <w:rsid w:val="00194449"/>
    <w:rsid w:val="0019450A"/>
    <w:rsid w:val="00194596"/>
    <w:rsid w:val="00194602"/>
    <w:rsid w:val="0019466E"/>
    <w:rsid w:val="00194691"/>
    <w:rsid w:val="0019474E"/>
    <w:rsid w:val="0019479C"/>
    <w:rsid w:val="001947C1"/>
    <w:rsid w:val="00194823"/>
    <w:rsid w:val="00194845"/>
    <w:rsid w:val="0019497D"/>
    <w:rsid w:val="00194981"/>
    <w:rsid w:val="00194ADB"/>
    <w:rsid w:val="00194AF9"/>
    <w:rsid w:val="00194C46"/>
    <w:rsid w:val="00194CF0"/>
    <w:rsid w:val="00194D61"/>
    <w:rsid w:val="00195001"/>
    <w:rsid w:val="001950AC"/>
    <w:rsid w:val="001950CE"/>
    <w:rsid w:val="001950D3"/>
    <w:rsid w:val="00195123"/>
    <w:rsid w:val="00195236"/>
    <w:rsid w:val="00195312"/>
    <w:rsid w:val="00195370"/>
    <w:rsid w:val="001953C7"/>
    <w:rsid w:val="001953F0"/>
    <w:rsid w:val="001954B2"/>
    <w:rsid w:val="00195515"/>
    <w:rsid w:val="0019552D"/>
    <w:rsid w:val="00195557"/>
    <w:rsid w:val="0019564F"/>
    <w:rsid w:val="001956D2"/>
    <w:rsid w:val="00195728"/>
    <w:rsid w:val="001958A8"/>
    <w:rsid w:val="001958CA"/>
    <w:rsid w:val="001959E0"/>
    <w:rsid w:val="00195C06"/>
    <w:rsid w:val="00195C4A"/>
    <w:rsid w:val="00195C58"/>
    <w:rsid w:val="00195D8B"/>
    <w:rsid w:val="00195ED9"/>
    <w:rsid w:val="00195F4B"/>
    <w:rsid w:val="00196056"/>
    <w:rsid w:val="0019605E"/>
    <w:rsid w:val="00196075"/>
    <w:rsid w:val="001960B6"/>
    <w:rsid w:val="001961A0"/>
    <w:rsid w:val="00196341"/>
    <w:rsid w:val="00196377"/>
    <w:rsid w:val="0019638E"/>
    <w:rsid w:val="0019648A"/>
    <w:rsid w:val="001964A6"/>
    <w:rsid w:val="0019656A"/>
    <w:rsid w:val="00196577"/>
    <w:rsid w:val="001965D5"/>
    <w:rsid w:val="001965F3"/>
    <w:rsid w:val="00196677"/>
    <w:rsid w:val="0019669D"/>
    <w:rsid w:val="001966AF"/>
    <w:rsid w:val="001966B8"/>
    <w:rsid w:val="001966CF"/>
    <w:rsid w:val="00196921"/>
    <w:rsid w:val="00196AA3"/>
    <w:rsid w:val="00196AB6"/>
    <w:rsid w:val="00196B5A"/>
    <w:rsid w:val="00196C23"/>
    <w:rsid w:val="00196D67"/>
    <w:rsid w:val="00196F23"/>
    <w:rsid w:val="00196F29"/>
    <w:rsid w:val="00196FB3"/>
    <w:rsid w:val="00196FC9"/>
    <w:rsid w:val="00197035"/>
    <w:rsid w:val="00197097"/>
    <w:rsid w:val="001970C0"/>
    <w:rsid w:val="00197115"/>
    <w:rsid w:val="00197144"/>
    <w:rsid w:val="0019714F"/>
    <w:rsid w:val="00197170"/>
    <w:rsid w:val="001971BF"/>
    <w:rsid w:val="001971D9"/>
    <w:rsid w:val="001971E5"/>
    <w:rsid w:val="00197318"/>
    <w:rsid w:val="0019758A"/>
    <w:rsid w:val="00197619"/>
    <w:rsid w:val="00197656"/>
    <w:rsid w:val="00197657"/>
    <w:rsid w:val="001976C2"/>
    <w:rsid w:val="001976D9"/>
    <w:rsid w:val="00197C4E"/>
    <w:rsid w:val="00197F12"/>
    <w:rsid w:val="00197F21"/>
    <w:rsid w:val="00197F5B"/>
    <w:rsid w:val="00197FAB"/>
    <w:rsid w:val="00197FBF"/>
    <w:rsid w:val="001A007E"/>
    <w:rsid w:val="001A00D5"/>
    <w:rsid w:val="001A0189"/>
    <w:rsid w:val="001A019D"/>
    <w:rsid w:val="001A0372"/>
    <w:rsid w:val="001A039C"/>
    <w:rsid w:val="001A03BA"/>
    <w:rsid w:val="001A046A"/>
    <w:rsid w:val="001A049D"/>
    <w:rsid w:val="001A04B1"/>
    <w:rsid w:val="001A0513"/>
    <w:rsid w:val="001A05DD"/>
    <w:rsid w:val="001A061C"/>
    <w:rsid w:val="001A0626"/>
    <w:rsid w:val="001A065C"/>
    <w:rsid w:val="001A06AE"/>
    <w:rsid w:val="001A0768"/>
    <w:rsid w:val="001A07C2"/>
    <w:rsid w:val="001A0871"/>
    <w:rsid w:val="001A08A0"/>
    <w:rsid w:val="001A0A3C"/>
    <w:rsid w:val="001A0A74"/>
    <w:rsid w:val="001A0B13"/>
    <w:rsid w:val="001A0BCD"/>
    <w:rsid w:val="001A0E8C"/>
    <w:rsid w:val="001A0ED8"/>
    <w:rsid w:val="001A1069"/>
    <w:rsid w:val="001A109E"/>
    <w:rsid w:val="001A1123"/>
    <w:rsid w:val="001A11AA"/>
    <w:rsid w:val="001A11CD"/>
    <w:rsid w:val="001A1264"/>
    <w:rsid w:val="001A12EF"/>
    <w:rsid w:val="001A1426"/>
    <w:rsid w:val="001A14AD"/>
    <w:rsid w:val="001A1506"/>
    <w:rsid w:val="001A1642"/>
    <w:rsid w:val="001A1A93"/>
    <w:rsid w:val="001A1AD0"/>
    <w:rsid w:val="001A1CAB"/>
    <w:rsid w:val="001A1CB7"/>
    <w:rsid w:val="001A1DE1"/>
    <w:rsid w:val="001A2063"/>
    <w:rsid w:val="001A2115"/>
    <w:rsid w:val="001A2143"/>
    <w:rsid w:val="001A225D"/>
    <w:rsid w:val="001A22AB"/>
    <w:rsid w:val="001A2377"/>
    <w:rsid w:val="001A2544"/>
    <w:rsid w:val="001A2603"/>
    <w:rsid w:val="001A26C4"/>
    <w:rsid w:val="001A2798"/>
    <w:rsid w:val="001A27B0"/>
    <w:rsid w:val="001A28C5"/>
    <w:rsid w:val="001A2973"/>
    <w:rsid w:val="001A29B7"/>
    <w:rsid w:val="001A2BAF"/>
    <w:rsid w:val="001A2BC4"/>
    <w:rsid w:val="001A2BDB"/>
    <w:rsid w:val="001A2C03"/>
    <w:rsid w:val="001A2CEA"/>
    <w:rsid w:val="001A2D4F"/>
    <w:rsid w:val="001A2D7E"/>
    <w:rsid w:val="001A2D98"/>
    <w:rsid w:val="001A2F42"/>
    <w:rsid w:val="001A306D"/>
    <w:rsid w:val="001A30E6"/>
    <w:rsid w:val="001A3147"/>
    <w:rsid w:val="001A3215"/>
    <w:rsid w:val="001A3287"/>
    <w:rsid w:val="001A334A"/>
    <w:rsid w:val="001A33CF"/>
    <w:rsid w:val="001A344D"/>
    <w:rsid w:val="001A34C1"/>
    <w:rsid w:val="001A355D"/>
    <w:rsid w:val="001A36AD"/>
    <w:rsid w:val="001A36C5"/>
    <w:rsid w:val="001A36CC"/>
    <w:rsid w:val="001A36DA"/>
    <w:rsid w:val="001A3A46"/>
    <w:rsid w:val="001A3A54"/>
    <w:rsid w:val="001A3BBE"/>
    <w:rsid w:val="001A3BFC"/>
    <w:rsid w:val="001A3DEE"/>
    <w:rsid w:val="001A3DFD"/>
    <w:rsid w:val="001A3EE9"/>
    <w:rsid w:val="001A3F2A"/>
    <w:rsid w:val="001A3F9E"/>
    <w:rsid w:val="001A4167"/>
    <w:rsid w:val="001A41E0"/>
    <w:rsid w:val="001A420B"/>
    <w:rsid w:val="001A428F"/>
    <w:rsid w:val="001A432B"/>
    <w:rsid w:val="001A4435"/>
    <w:rsid w:val="001A4495"/>
    <w:rsid w:val="001A44C8"/>
    <w:rsid w:val="001A4657"/>
    <w:rsid w:val="001A465B"/>
    <w:rsid w:val="001A465D"/>
    <w:rsid w:val="001A46F7"/>
    <w:rsid w:val="001A47FB"/>
    <w:rsid w:val="001A4820"/>
    <w:rsid w:val="001A4878"/>
    <w:rsid w:val="001A49B7"/>
    <w:rsid w:val="001A49EB"/>
    <w:rsid w:val="001A4A1E"/>
    <w:rsid w:val="001A4B1C"/>
    <w:rsid w:val="001A4B1D"/>
    <w:rsid w:val="001A4B97"/>
    <w:rsid w:val="001A4C44"/>
    <w:rsid w:val="001A4C7B"/>
    <w:rsid w:val="001A4DA4"/>
    <w:rsid w:val="001A4E8C"/>
    <w:rsid w:val="001A4E9E"/>
    <w:rsid w:val="001A4EC6"/>
    <w:rsid w:val="001A4F1B"/>
    <w:rsid w:val="001A4F7D"/>
    <w:rsid w:val="001A5066"/>
    <w:rsid w:val="001A506C"/>
    <w:rsid w:val="001A5082"/>
    <w:rsid w:val="001A5240"/>
    <w:rsid w:val="001A53FC"/>
    <w:rsid w:val="001A5535"/>
    <w:rsid w:val="001A564F"/>
    <w:rsid w:val="001A56B9"/>
    <w:rsid w:val="001A57BE"/>
    <w:rsid w:val="001A57D8"/>
    <w:rsid w:val="001A5822"/>
    <w:rsid w:val="001A592D"/>
    <w:rsid w:val="001A5935"/>
    <w:rsid w:val="001A5938"/>
    <w:rsid w:val="001A596A"/>
    <w:rsid w:val="001A59FE"/>
    <w:rsid w:val="001A5A3C"/>
    <w:rsid w:val="001A5B5E"/>
    <w:rsid w:val="001A5CF3"/>
    <w:rsid w:val="001A5CFB"/>
    <w:rsid w:val="001A5FA8"/>
    <w:rsid w:val="001A60D8"/>
    <w:rsid w:val="001A615F"/>
    <w:rsid w:val="001A61EF"/>
    <w:rsid w:val="001A62AC"/>
    <w:rsid w:val="001A63D4"/>
    <w:rsid w:val="001A63D6"/>
    <w:rsid w:val="001A649B"/>
    <w:rsid w:val="001A64EF"/>
    <w:rsid w:val="001A65A1"/>
    <w:rsid w:val="001A65CB"/>
    <w:rsid w:val="001A6636"/>
    <w:rsid w:val="001A67A1"/>
    <w:rsid w:val="001A681B"/>
    <w:rsid w:val="001A682A"/>
    <w:rsid w:val="001A69A8"/>
    <w:rsid w:val="001A69FC"/>
    <w:rsid w:val="001A6B80"/>
    <w:rsid w:val="001A6C21"/>
    <w:rsid w:val="001A6CB3"/>
    <w:rsid w:val="001A6DA8"/>
    <w:rsid w:val="001A6DE9"/>
    <w:rsid w:val="001A6EB4"/>
    <w:rsid w:val="001A6ED0"/>
    <w:rsid w:val="001A6FAB"/>
    <w:rsid w:val="001A7018"/>
    <w:rsid w:val="001A703C"/>
    <w:rsid w:val="001A7045"/>
    <w:rsid w:val="001A70A5"/>
    <w:rsid w:val="001A7138"/>
    <w:rsid w:val="001A71C8"/>
    <w:rsid w:val="001A730A"/>
    <w:rsid w:val="001A7331"/>
    <w:rsid w:val="001A733B"/>
    <w:rsid w:val="001A7346"/>
    <w:rsid w:val="001A739F"/>
    <w:rsid w:val="001A7415"/>
    <w:rsid w:val="001A75ED"/>
    <w:rsid w:val="001A7637"/>
    <w:rsid w:val="001A7646"/>
    <w:rsid w:val="001A7701"/>
    <w:rsid w:val="001A791D"/>
    <w:rsid w:val="001A794B"/>
    <w:rsid w:val="001A79ED"/>
    <w:rsid w:val="001A7A17"/>
    <w:rsid w:val="001A7A41"/>
    <w:rsid w:val="001A7B42"/>
    <w:rsid w:val="001A7BA7"/>
    <w:rsid w:val="001A7BA8"/>
    <w:rsid w:val="001A7D0C"/>
    <w:rsid w:val="001A7D13"/>
    <w:rsid w:val="001A7D82"/>
    <w:rsid w:val="001A7D8F"/>
    <w:rsid w:val="001A7DE3"/>
    <w:rsid w:val="001A7EEA"/>
    <w:rsid w:val="001A7F04"/>
    <w:rsid w:val="001A7F85"/>
    <w:rsid w:val="001A7FD8"/>
    <w:rsid w:val="001A7FFD"/>
    <w:rsid w:val="001B000B"/>
    <w:rsid w:val="001B0040"/>
    <w:rsid w:val="001B00F9"/>
    <w:rsid w:val="001B012A"/>
    <w:rsid w:val="001B0186"/>
    <w:rsid w:val="001B01FB"/>
    <w:rsid w:val="001B02A8"/>
    <w:rsid w:val="001B0333"/>
    <w:rsid w:val="001B03F2"/>
    <w:rsid w:val="001B042B"/>
    <w:rsid w:val="001B0529"/>
    <w:rsid w:val="001B053B"/>
    <w:rsid w:val="001B0569"/>
    <w:rsid w:val="001B0668"/>
    <w:rsid w:val="001B0738"/>
    <w:rsid w:val="001B079E"/>
    <w:rsid w:val="001B07EE"/>
    <w:rsid w:val="001B080F"/>
    <w:rsid w:val="001B08B0"/>
    <w:rsid w:val="001B0925"/>
    <w:rsid w:val="001B0954"/>
    <w:rsid w:val="001B0979"/>
    <w:rsid w:val="001B09C3"/>
    <w:rsid w:val="001B0A53"/>
    <w:rsid w:val="001B0AD4"/>
    <w:rsid w:val="001B0B8B"/>
    <w:rsid w:val="001B0C5D"/>
    <w:rsid w:val="001B0C7B"/>
    <w:rsid w:val="001B0CD3"/>
    <w:rsid w:val="001B0E9F"/>
    <w:rsid w:val="001B0EB2"/>
    <w:rsid w:val="001B0F18"/>
    <w:rsid w:val="001B0F8B"/>
    <w:rsid w:val="001B1075"/>
    <w:rsid w:val="001B1096"/>
    <w:rsid w:val="001B1180"/>
    <w:rsid w:val="001B1211"/>
    <w:rsid w:val="001B1233"/>
    <w:rsid w:val="001B12FF"/>
    <w:rsid w:val="001B1305"/>
    <w:rsid w:val="001B13B3"/>
    <w:rsid w:val="001B13C6"/>
    <w:rsid w:val="001B1559"/>
    <w:rsid w:val="001B15A8"/>
    <w:rsid w:val="001B16AC"/>
    <w:rsid w:val="001B18A2"/>
    <w:rsid w:val="001B18B8"/>
    <w:rsid w:val="001B1A64"/>
    <w:rsid w:val="001B1AC7"/>
    <w:rsid w:val="001B1B08"/>
    <w:rsid w:val="001B1C55"/>
    <w:rsid w:val="001B1C6B"/>
    <w:rsid w:val="001B1CCB"/>
    <w:rsid w:val="001B1EBF"/>
    <w:rsid w:val="001B1F46"/>
    <w:rsid w:val="001B1F7A"/>
    <w:rsid w:val="001B1FD1"/>
    <w:rsid w:val="001B204A"/>
    <w:rsid w:val="001B20BB"/>
    <w:rsid w:val="001B20CB"/>
    <w:rsid w:val="001B2164"/>
    <w:rsid w:val="001B2326"/>
    <w:rsid w:val="001B2346"/>
    <w:rsid w:val="001B2418"/>
    <w:rsid w:val="001B2493"/>
    <w:rsid w:val="001B2591"/>
    <w:rsid w:val="001B2640"/>
    <w:rsid w:val="001B2678"/>
    <w:rsid w:val="001B273D"/>
    <w:rsid w:val="001B2797"/>
    <w:rsid w:val="001B2837"/>
    <w:rsid w:val="001B28C1"/>
    <w:rsid w:val="001B2900"/>
    <w:rsid w:val="001B2A0B"/>
    <w:rsid w:val="001B2A6A"/>
    <w:rsid w:val="001B2A97"/>
    <w:rsid w:val="001B2AB8"/>
    <w:rsid w:val="001B2B0A"/>
    <w:rsid w:val="001B2CB0"/>
    <w:rsid w:val="001B2CB8"/>
    <w:rsid w:val="001B2CD4"/>
    <w:rsid w:val="001B2D97"/>
    <w:rsid w:val="001B2DB1"/>
    <w:rsid w:val="001B2DD3"/>
    <w:rsid w:val="001B2DF6"/>
    <w:rsid w:val="001B2E2E"/>
    <w:rsid w:val="001B2F04"/>
    <w:rsid w:val="001B2F27"/>
    <w:rsid w:val="001B2F35"/>
    <w:rsid w:val="001B2F5C"/>
    <w:rsid w:val="001B2F80"/>
    <w:rsid w:val="001B2FC8"/>
    <w:rsid w:val="001B2FFF"/>
    <w:rsid w:val="001B3008"/>
    <w:rsid w:val="001B3070"/>
    <w:rsid w:val="001B3092"/>
    <w:rsid w:val="001B30D5"/>
    <w:rsid w:val="001B30F4"/>
    <w:rsid w:val="001B30FC"/>
    <w:rsid w:val="001B31D6"/>
    <w:rsid w:val="001B321C"/>
    <w:rsid w:val="001B32B6"/>
    <w:rsid w:val="001B34AB"/>
    <w:rsid w:val="001B350A"/>
    <w:rsid w:val="001B3609"/>
    <w:rsid w:val="001B365B"/>
    <w:rsid w:val="001B3673"/>
    <w:rsid w:val="001B3886"/>
    <w:rsid w:val="001B3A44"/>
    <w:rsid w:val="001B3A72"/>
    <w:rsid w:val="001B3B1A"/>
    <w:rsid w:val="001B3BCF"/>
    <w:rsid w:val="001B3C44"/>
    <w:rsid w:val="001B3D03"/>
    <w:rsid w:val="001B3D6C"/>
    <w:rsid w:val="001B3DC0"/>
    <w:rsid w:val="001B3DFD"/>
    <w:rsid w:val="001B3E83"/>
    <w:rsid w:val="001B3EB6"/>
    <w:rsid w:val="001B3F32"/>
    <w:rsid w:val="001B3F96"/>
    <w:rsid w:val="001B3FAD"/>
    <w:rsid w:val="001B4086"/>
    <w:rsid w:val="001B4091"/>
    <w:rsid w:val="001B40AA"/>
    <w:rsid w:val="001B40D6"/>
    <w:rsid w:val="001B4105"/>
    <w:rsid w:val="001B4271"/>
    <w:rsid w:val="001B437A"/>
    <w:rsid w:val="001B4586"/>
    <w:rsid w:val="001B46DB"/>
    <w:rsid w:val="001B47EB"/>
    <w:rsid w:val="001B485F"/>
    <w:rsid w:val="001B48AA"/>
    <w:rsid w:val="001B48DE"/>
    <w:rsid w:val="001B4932"/>
    <w:rsid w:val="001B49EC"/>
    <w:rsid w:val="001B4A08"/>
    <w:rsid w:val="001B4B05"/>
    <w:rsid w:val="001B4B90"/>
    <w:rsid w:val="001B4C4A"/>
    <w:rsid w:val="001B4CC1"/>
    <w:rsid w:val="001B4DE4"/>
    <w:rsid w:val="001B4E64"/>
    <w:rsid w:val="001B4EAA"/>
    <w:rsid w:val="001B4EB6"/>
    <w:rsid w:val="001B4F1E"/>
    <w:rsid w:val="001B4F40"/>
    <w:rsid w:val="001B4F5B"/>
    <w:rsid w:val="001B4FF7"/>
    <w:rsid w:val="001B503C"/>
    <w:rsid w:val="001B50B1"/>
    <w:rsid w:val="001B5265"/>
    <w:rsid w:val="001B52B4"/>
    <w:rsid w:val="001B52FA"/>
    <w:rsid w:val="001B5304"/>
    <w:rsid w:val="001B5319"/>
    <w:rsid w:val="001B532D"/>
    <w:rsid w:val="001B5378"/>
    <w:rsid w:val="001B53C6"/>
    <w:rsid w:val="001B53FE"/>
    <w:rsid w:val="001B542A"/>
    <w:rsid w:val="001B5485"/>
    <w:rsid w:val="001B548D"/>
    <w:rsid w:val="001B5639"/>
    <w:rsid w:val="001B564F"/>
    <w:rsid w:val="001B566C"/>
    <w:rsid w:val="001B5793"/>
    <w:rsid w:val="001B57AA"/>
    <w:rsid w:val="001B57D1"/>
    <w:rsid w:val="001B59A7"/>
    <w:rsid w:val="001B59BD"/>
    <w:rsid w:val="001B5A34"/>
    <w:rsid w:val="001B5AE9"/>
    <w:rsid w:val="001B5B53"/>
    <w:rsid w:val="001B5B6E"/>
    <w:rsid w:val="001B5B87"/>
    <w:rsid w:val="001B5D38"/>
    <w:rsid w:val="001B5E87"/>
    <w:rsid w:val="001B5ECD"/>
    <w:rsid w:val="001B5F10"/>
    <w:rsid w:val="001B5F3B"/>
    <w:rsid w:val="001B5F6B"/>
    <w:rsid w:val="001B5FDA"/>
    <w:rsid w:val="001B5FE1"/>
    <w:rsid w:val="001B604C"/>
    <w:rsid w:val="001B60D6"/>
    <w:rsid w:val="001B6206"/>
    <w:rsid w:val="001B6383"/>
    <w:rsid w:val="001B63F4"/>
    <w:rsid w:val="001B63FA"/>
    <w:rsid w:val="001B6482"/>
    <w:rsid w:val="001B6544"/>
    <w:rsid w:val="001B6646"/>
    <w:rsid w:val="001B6730"/>
    <w:rsid w:val="001B6743"/>
    <w:rsid w:val="001B67FF"/>
    <w:rsid w:val="001B681B"/>
    <w:rsid w:val="001B68EF"/>
    <w:rsid w:val="001B6983"/>
    <w:rsid w:val="001B6C30"/>
    <w:rsid w:val="001B6C6F"/>
    <w:rsid w:val="001B6C70"/>
    <w:rsid w:val="001B6DD4"/>
    <w:rsid w:val="001B6DE2"/>
    <w:rsid w:val="001B6E44"/>
    <w:rsid w:val="001B7259"/>
    <w:rsid w:val="001B729F"/>
    <w:rsid w:val="001B7329"/>
    <w:rsid w:val="001B73EE"/>
    <w:rsid w:val="001B74E3"/>
    <w:rsid w:val="001B7663"/>
    <w:rsid w:val="001B772C"/>
    <w:rsid w:val="001B7839"/>
    <w:rsid w:val="001B7864"/>
    <w:rsid w:val="001B7910"/>
    <w:rsid w:val="001B7911"/>
    <w:rsid w:val="001B793B"/>
    <w:rsid w:val="001B794E"/>
    <w:rsid w:val="001B79CD"/>
    <w:rsid w:val="001B79DC"/>
    <w:rsid w:val="001B7A0D"/>
    <w:rsid w:val="001B7A40"/>
    <w:rsid w:val="001B7C25"/>
    <w:rsid w:val="001B7C73"/>
    <w:rsid w:val="001B7E17"/>
    <w:rsid w:val="001B7FE6"/>
    <w:rsid w:val="001C0035"/>
    <w:rsid w:val="001C0060"/>
    <w:rsid w:val="001C011A"/>
    <w:rsid w:val="001C0481"/>
    <w:rsid w:val="001C04B4"/>
    <w:rsid w:val="001C059D"/>
    <w:rsid w:val="001C06E7"/>
    <w:rsid w:val="001C07F8"/>
    <w:rsid w:val="001C099D"/>
    <w:rsid w:val="001C09EE"/>
    <w:rsid w:val="001C09F0"/>
    <w:rsid w:val="001C0A99"/>
    <w:rsid w:val="001C0C15"/>
    <w:rsid w:val="001C0C27"/>
    <w:rsid w:val="001C0DC2"/>
    <w:rsid w:val="001C0E0B"/>
    <w:rsid w:val="001C0E66"/>
    <w:rsid w:val="001C0F7F"/>
    <w:rsid w:val="001C11DC"/>
    <w:rsid w:val="001C11EB"/>
    <w:rsid w:val="001C127A"/>
    <w:rsid w:val="001C1285"/>
    <w:rsid w:val="001C1307"/>
    <w:rsid w:val="001C13F5"/>
    <w:rsid w:val="001C1434"/>
    <w:rsid w:val="001C146A"/>
    <w:rsid w:val="001C165F"/>
    <w:rsid w:val="001C1693"/>
    <w:rsid w:val="001C174A"/>
    <w:rsid w:val="001C18D6"/>
    <w:rsid w:val="001C19B0"/>
    <w:rsid w:val="001C19EF"/>
    <w:rsid w:val="001C1A59"/>
    <w:rsid w:val="001C1AE0"/>
    <w:rsid w:val="001C1AE8"/>
    <w:rsid w:val="001C1B10"/>
    <w:rsid w:val="001C1B57"/>
    <w:rsid w:val="001C1BFC"/>
    <w:rsid w:val="001C1C43"/>
    <w:rsid w:val="001C1CE7"/>
    <w:rsid w:val="001C1D05"/>
    <w:rsid w:val="001C1DF4"/>
    <w:rsid w:val="001C2007"/>
    <w:rsid w:val="001C235B"/>
    <w:rsid w:val="001C239A"/>
    <w:rsid w:val="001C23DD"/>
    <w:rsid w:val="001C23E1"/>
    <w:rsid w:val="001C248C"/>
    <w:rsid w:val="001C2551"/>
    <w:rsid w:val="001C2570"/>
    <w:rsid w:val="001C2710"/>
    <w:rsid w:val="001C2A48"/>
    <w:rsid w:val="001C2ACC"/>
    <w:rsid w:val="001C2C1A"/>
    <w:rsid w:val="001C2C58"/>
    <w:rsid w:val="001C2D74"/>
    <w:rsid w:val="001C2D7E"/>
    <w:rsid w:val="001C2D8C"/>
    <w:rsid w:val="001C2D9B"/>
    <w:rsid w:val="001C2D9D"/>
    <w:rsid w:val="001C2DED"/>
    <w:rsid w:val="001C2DFC"/>
    <w:rsid w:val="001C2EE0"/>
    <w:rsid w:val="001C2F47"/>
    <w:rsid w:val="001C3011"/>
    <w:rsid w:val="001C303D"/>
    <w:rsid w:val="001C3099"/>
    <w:rsid w:val="001C30CC"/>
    <w:rsid w:val="001C318F"/>
    <w:rsid w:val="001C31DC"/>
    <w:rsid w:val="001C3260"/>
    <w:rsid w:val="001C3295"/>
    <w:rsid w:val="001C330F"/>
    <w:rsid w:val="001C360F"/>
    <w:rsid w:val="001C375D"/>
    <w:rsid w:val="001C380C"/>
    <w:rsid w:val="001C380F"/>
    <w:rsid w:val="001C38E5"/>
    <w:rsid w:val="001C395C"/>
    <w:rsid w:val="001C398D"/>
    <w:rsid w:val="001C3A30"/>
    <w:rsid w:val="001C3A49"/>
    <w:rsid w:val="001C3A93"/>
    <w:rsid w:val="001C3AA1"/>
    <w:rsid w:val="001C3AE0"/>
    <w:rsid w:val="001C3B81"/>
    <w:rsid w:val="001C3BBD"/>
    <w:rsid w:val="001C3BC7"/>
    <w:rsid w:val="001C3BF5"/>
    <w:rsid w:val="001C3CA9"/>
    <w:rsid w:val="001C3D0E"/>
    <w:rsid w:val="001C3D34"/>
    <w:rsid w:val="001C3D93"/>
    <w:rsid w:val="001C3DE5"/>
    <w:rsid w:val="001C3E25"/>
    <w:rsid w:val="001C3ED5"/>
    <w:rsid w:val="001C4053"/>
    <w:rsid w:val="001C4089"/>
    <w:rsid w:val="001C40E0"/>
    <w:rsid w:val="001C4190"/>
    <w:rsid w:val="001C4226"/>
    <w:rsid w:val="001C42DF"/>
    <w:rsid w:val="001C4314"/>
    <w:rsid w:val="001C4479"/>
    <w:rsid w:val="001C4507"/>
    <w:rsid w:val="001C4513"/>
    <w:rsid w:val="001C4520"/>
    <w:rsid w:val="001C4678"/>
    <w:rsid w:val="001C46C2"/>
    <w:rsid w:val="001C4743"/>
    <w:rsid w:val="001C4761"/>
    <w:rsid w:val="001C4878"/>
    <w:rsid w:val="001C4883"/>
    <w:rsid w:val="001C48B6"/>
    <w:rsid w:val="001C4920"/>
    <w:rsid w:val="001C4A36"/>
    <w:rsid w:val="001C4A4B"/>
    <w:rsid w:val="001C4C30"/>
    <w:rsid w:val="001C4DE7"/>
    <w:rsid w:val="001C4ECE"/>
    <w:rsid w:val="001C4F33"/>
    <w:rsid w:val="001C4F8E"/>
    <w:rsid w:val="001C4FAD"/>
    <w:rsid w:val="001C503A"/>
    <w:rsid w:val="001C503D"/>
    <w:rsid w:val="001C51AA"/>
    <w:rsid w:val="001C531A"/>
    <w:rsid w:val="001C533B"/>
    <w:rsid w:val="001C536D"/>
    <w:rsid w:val="001C5401"/>
    <w:rsid w:val="001C5406"/>
    <w:rsid w:val="001C5428"/>
    <w:rsid w:val="001C54FF"/>
    <w:rsid w:val="001C551F"/>
    <w:rsid w:val="001C5582"/>
    <w:rsid w:val="001C5597"/>
    <w:rsid w:val="001C55D0"/>
    <w:rsid w:val="001C55E0"/>
    <w:rsid w:val="001C5655"/>
    <w:rsid w:val="001C5676"/>
    <w:rsid w:val="001C5702"/>
    <w:rsid w:val="001C57DD"/>
    <w:rsid w:val="001C5818"/>
    <w:rsid w:val="001C59E1"/>
    <w:rsid w:val="001C5A95"/>
    <w:rsid w:val="001C5B39"/>
    <w:rsid w:val="001C5B40"/>
    <w:rsid w:val="001C5B8F"/>
    <w:rsid w:val="001C5CE5"/>
    <w:rsid w:val="001C5DFE"/>
    <w:rsid w:val="001C5E27"/>
    <w:rsid w:val="001C5F69"/>
    <w:rsid w:val="001C60DB"/>
    <w:rsid w:val="001C610C"/>
    <w:rsid w:val="001C6157"/>
    <w:rsid w:val="001C62AF"/>
    <w:rsid w:val="001C6504"/>
    <w:rsid w:val="001C6536"/>
    <w:rsid w:val="001C661D"/>
    <w:rsid w:val="001C6664"/>
    <w:rsid w:val="001C67B5"/>
    <w:rsid w:val="001C6814"/>
    <w:rsid w:val="001C68C4"/>
    <w:rsid w:val="001C690D"/>
    <w:rsid w:val="001C69E3"/>
    <w:rsid w:val="001C6AAF"/>
    <w:rsid w:val="001C6BFC"/>
    <w:rsid w:val="001C6D22"/>
    <w:rsid w:val="001C6DFD"/>
    <w:rsid w:val="001C6EE5"/>
    <w:rsid w:val="001C6F26"/>
    <w:rsid w:val="001C70A7"/>
    <w:rsid w:val="001C73FE"/>
    <w:rsid w:val="001C7586"/>
    <w:rsid w:val="001C75BA"/>
    <w:rsid w:val="001C76F3"/>
    <w:rsid w:val="001C7763"/>
    <w:rsid w:val="001C777E"/>
    <w:rsid w:val="001C7840"/>
    <w:rsid w:val="001C7855"/>
    <w:rsid w:val="001C78B0"/>
    <w:rsid w:val="001C78BA"/>
    <w:rsid w:val="001C78EF"/>
    <w:rsid w:val="001C7912"/>
    <w:rsid w:val="001C79B6"/>
    <w:rsid w:val="001C79F9"/>
    <w:rsid w:val="001C7A70"/>
    <w:rsid w:val="001C7BDA"/>
    <w:rsid w:val="001C7C3A"/>
    <w:rsid w:val="001C7C52"/>
    <w:rsid w:val="001C7CAD"/>
    <w:rsid w:val="001C7CD0"/>
    <w:rsid w:val="001C7D5F"/>
    <w:rsid w:val="001C7E09"/>
    <w:rsid w:val="001C7F1D"/>
    <w:rsid w:val="001C7F66"/>
    <w:rsid w:val="001C7FB4"/>
    <w:rsid w:val="001D006D"/>
    <w:rsid w:val="001D020B"/>
    <w:rsid w:val="001D0229"/>
    <w:rsid w:val="001D03BC"/>
    <w:rsid w:val="001D03CD"/>
    <w:rsid w:val="001D046C"/>
    <w:rsid w:val="001D0530"/>
    <w:rsid w:val="001D068F"/>
    <w:rsid w:val="001D06C0"/>
    <w:rsid w:val="001D0846"/>
    <w:rsid w:val="001D0916"/>
    <w:rsid w:val="001D091E"/>
    <w:rsid w:val="001D0A2C"/>
    <w:rsid w:val="001D0A65"/>
    <w:rsid w:val="001D0A8F"/>
    <w:rsid w:val="001D0ACD"/>
    <w:rsid w:val="001D0B58"/>
    <w:rsid w:val="001D0B9A"/>
    <w:rsid w:val="001D0BC3"/>
    <w:rsid w:val="001D0C11"/>
    <w:rsid w:val="001D0CF3"/>
    <w:rsid w:val="001D0D58"/>
    <w:rsid w:val="001D0DC9"/>
    <w:rsid w:val="001D0F15"/>
    <w:rsid w:val="001D0F3F"/>
    <w:rsid w:val="001D0FA7"/>
    <w:rsid w:val="001D0FAC"/>
    <w:rsid w:val="001D100A"/>
    <w:rsid w:val="001D1076"/>
    <w:rsid w:val="001D1179"/>
    <w:rsid w:val="001D11B9"/>
    <w:rsid w:val="001D12EA"/>
    <w:rsid w:val="001D134D"/>
    <w:rsid w:val="001D14A5"/>
    <w:rsid w:val="001D14B4"/>
    <w:rsid w:val="001D14D5"/>
    <w:rsid w:val="001D170E"/>
    <w:rsid w:val="001D1726"/>
    <w:rsid w:val="001D1735"/>
    <w:rsid w:val="001D1784"/>
    <w:rsid w:val="001D1824"/>
    <w:rsid w:val="001D1869"/>
    <w:rsid w:val="001D1872"/>
    <w:rsid w:val="001D188E"/>
    <w:rsid w:val="001D189F"/>
    <w:rsid w:val="001D199E"/>
    <w:rsid w:val="001D1A55"/>
    <w:rsid w:val="001D1AE6"/>
    <w:rsid w:val="001D1AEC"/>
    <w:rsid w:val="001D1B51"/>
    <w:rsid w:val="001D1BAD"/>
    <w:rsid w:val="001D1BF5"/>
    <w:rsid w:val="001D1C21"/>
    <w:rsid w:val="001D1C75"/>
    <w:rsid w:val="001D1C9B"/>
    <w:rsid w:val="001D1D22"/>
    <w:rsid w:val="001D1D66"/>
    <w:rsid w:val="001D1E5B"/>
    <w:rsid w:val="001D2017"/>
    <w:rsid w:val="001D2108"/>
    <w:rsid w:val="001D216B"/>
    <w:rsid w:val="001D21B4"/>
    <w:rsid w:val="001D21BA"/>
    <w:rsid w:val="001D21C3"/>
    <w:rsid w:val="001D21C4"/>
    <w:rsid w:val="001D2250"/>
    <w:rsid w:val="001D243B"/>
    <w:rsid w:val="001D265E"/>
    <w:rsid w:val="001D2867"/>
    <w:rsid w:val="001D29DB"/>
    <w:rsid w:val="001D2BD7"/>
    <w:rsid w:val="001D2C07"/>
    <w:rsid w:val="001D2CAC"/>
    <w:rsid w:val="001D2E13"/>
    <w:rsid w:val="001D2FD7"/>
    <w:rsid w:val="001D3027"/>
    <w:rsid w:val="001D30B5"/>
    <w:rsid w:val="001D3106"/>
    <w:rsid w:val="001D32C0"/>
    <w:rsid w:val="001D32F8"/>
    <w:rsid w:val="001D332E"/>
    <w:rsid w:val="001D35CC"/>
    <w:rsid w:val="001D35CD"/>
    <w:rsid w:val="001D35DB"/>
    <w:rsid w:val="001D3666"/>
    <w:rsid w:val="001D3668"/>
    <w:rsid w:val="001D369D"/>
    <w:rsid w:val="001D36BC"/>
    <w:rsid w:val="001D3747"/>
    <w:rsid w:val="001D3828"/>
    <w:rsid w:val="001D38D9"/>
    <w:rsid w:val="001D38F1"/>
    <w:rsid w:val="001D39B2"/>
    <w:rsid w:val="001D39B3"/>
    <w:rsid w:val="001D3A18"/>
    <w:rsid w:val="001D3A64"/>
    <w:rsid w:val="001D3AFB"/>
    <w:rsid w:val="001D3B46"/>
    <w:rsid w:val="001D3BD5"/>
    <w:rsid w:val="001D3C54"/>
    <w:rsid w:val="001D3DF8"/>
    <w:rsid w:val="001D3E4C"/>
    <w:rsid w:val="001D3EAB"/>
    <w:rsid w:val="001D3EF1"/>
    <w:rsid w:val="001D3F9B"/>
    <w:rsid w:val="001D3FA7"/>
    <w:rsid w:val="001D4086"/>
    <w:rsid w:val="001D4134"/>
    <w:rsid w:val="001D4203"/>
    <w:rsid w:val="001D4227"/>
    <w:rsid w:val="001D434B"/>
    <w:rsid w:val="001D44D9"/>
    <w:rsid w:val="001D452F"/>
    <w:rsid w:val="001D4595"/>
    <w:rsid w:val="001D4640"/>
    <w:rsid w:val="001D47B5"/>
    <w:rsid w:val="001D47C4"/>
    <w:rsid w:val="001D47ED"/>
    <w:rsid w:val="001D4807"/>
    <w:rsid w:val="001D48B5"/>
    <w:rsid w:val="001D4957"/>
    <w:rsid w:val="001D4966"/>
    <w:rsid w:val="001D4A2C"/>
    <w:rsid w:val="001D4AC7"/>
    <w:rsid w:val="001D4BFB"/>
    <w:rsid w:val="001D4CE7"/>
    <w:rsid w:val="001D4F4C"/>
    <w:rsid w:val="001D501C"/>
    <w:rsid w:val="001D50E1"/>
    <w:rsid w:val="001D5142"/>
    <w:rsid w:val="001D5154"/>
    <w:rsid w:val="001D51D8"/>
    <w:rsid w:val="001D521A"/>
    <w:rsid w:val="001D52B3"/>
    <w:rsid w:val="001D5332"/>
    <w:rsid w:val="001D5337"/>
    <w:rsid w:val="001D5339"/>
    <w:rsid w:val="001D533A"/>
    <w:rsid w:val="001D53AE"/>
    <w:rsid w:val="001D53E4"/>
    <w:rsid w:val="001D5431"/>
    <w:rsid w:val="001D545A"/>
    <w:rsid w:val="001D545F"/>
    <w:rsid w:val="001D554D"/>
    <w:rsid w:val="001D55B0"/>
    <w:rsid w:val="001D55DF"/>
    <w:rsid w:val="001D5649"/>
    <w:rsid w:val="001D565D"/>
    <w:rsid w:val="001D56E0"/>
    <w:rsid w:val="001D5776"/>
    <w:rsid w:val="001D5793"/>
    <w:rsid w:val="001D57D5"/>
    <w:rsid w:val="001D5808"/>
    <w:rsid w:val="001D583F"/>
    <w:rsid w:val="001D59B5"/>
    <w:rsid w:val="001D5A5D"/>
    <w:rsid w:val="001D5D1F"/>
    <w:rsid w:val="001D5D40"/>
    <w:rsid w:val="001D6051"/>
    <w:rsid w:val="001D60A0"/>
    <w:rsid w:val="001D60F0"/>
    <w:rsid w:val="001D6415"/>
    <w:rsid w:val="001D6627"/>
    <w:rsid w:val="001D66D8"/>
    <w:rsid w:val="001D682D"/>
    <w:rsid w:val="001D6836"/>
    <w:rsid w:val="001D685D"/>
    <w:rsid w:val="001D6926"/>
    <w:rsid w:val="001D6932"/>
    <w:rsid w:val="001D69FC"/>
    <w:rsid w:val="001D6EDE"/>
    <w:rsid w:val="001D6F1E"/>
    <w:rsid w:val="001D6FF1"/>
    <w:rsid w:val="001D704B"/>
    <w:rsid w:val="001D7139"/>
    <w:rsid w:val="001D721F"/>
    <w:rsid w:val="001D7235"/>
    <w:rsid w:val="001D737E"/>
    <w:rsid w:val="001D74A7"/>
    <w:rsid w:val="001D750A"/>
    <w:rsid w:val="001D7513"/>
    <w:rsid w:val="001D751C"/>
    <w:rsid w:val="001D7540"/>
    <w:rsid w:val="001D7606"/>
    <w:rsid w:val="001D76DA"/>
    <w:rsid w:val="001D7728"/>
    <w:rsid w:val="001D7787"/>
    <w:rsid w:val="001D7795"/>
    <w:rsid w:val="001D7873"/>
    <w:rsid w:val="001D79B6"/>
    <w:rsid w:val="001D79D7"/>
    <w:rsid w:val="001D7A30"/>
    <w:rsid w:val="001D7AC9"/>
    <w:rsid w:val="001D7B1E"/>
    <w:rsid w:val="001D7BE5"/>
    <w:rsid w:val="001D7C46"/>
    <w:rsid w:val="001D7C78"/>
    <w:rsid w:val="001D7F9F"/>
    <w:rsid w:val="001E012A"/>
    <w:rsid w:val="001E0183"/>
    <w:rsid w:val="001E01D8"/>
    <w:rsid w:val="001E0208"/>
    <w:rsid w:val="001E0226"/>
    <w:rsid w:val="001E036F"/>
    <w:rsid w:val="001E0438"/>
    <w:rsid w:val="001E04E8"/>
    <w:rsid w:val="001E0703"/>
    <w:rsid w:val="001E07F0"/>
    <w:rsid w:val="001E081E"/>
    <w:rsid w:val="001E0895"/>
    <w:rsid w:val="001E0928"/>
    <w:rsid w:val="001E0A8B"/>
    <w:rsid w:val="001E0B8A"/>
    <w:rsid w:val="001E0C78"/>
    <w:rsid w:val="001E0E3C"/>
    <w:rsid w:val="001E0E8A"/>
    <w:rsid w:val="001E0E9F"/>
    <w:rsid w:val="001E0F14"/>
    <w:rsid w:val="001E0F1C"/>
    <w:rsid w:val="001E0FBE"/>
    <w:rsid w:val="001E1000"/>
    <w:rsid w:val="001E102E"/>
    <w:rsid w:val="001E11A9"/>
    <w:rsid w:val="001E11CB"/>
    <w:rsid w:val="001E128D"/>
    <w:rsid w:val="001E12E4"/>
    <w:rsid w:val="001E135A"/>
    <w:rsid w:val="001E13E4"/>
    <w:rsid w:val="001E13F0"/>
    <w:rsid w:val="001E1476"/>
    <w:rsid w:val="001E1556"/>
    <w:rsid w:val="001E15F2"/>
    <w:rsid w:val="001E15F5"/>
    <w:rsid w:val="001E16A2"/>
    <w:rsid w:val="001E1754"/>
    <w:rsid w:val="001E1791"/>
    <w:rsid w:val="001E17AB"/>
    <w:rsid w:val="001E197A"/>
    <w:rsid w:val="001E1A29"/>
    <w:rsid w:val="001E1B45"/>
    <w:rsid w:val="001E1BB8"/>
    <w:rsid w:val="001E1BCA"/>
    <w:rsid w:val="001E1CCB"/>
    <w:rsid w:val="001E1CDB"/>
    <w:rsid w:val="001E1D18"/>
    <w:rsid w:val="001E1D81"/>
    <w:rsid w:val="001E1E74"/>
    <w:rsid w:val="001E1E84"/>
    <w:rsid w:val="001E1EA0"/>
    <w:rsid w:val="001E1F54"/>
    <w:rsid w:val="001E20D4"/>
    <w:rsid w:val="001E2198"/>
    <w:rsid w:val="001E21E0"/>
    <w:rsid w:val="001E2260"/>
    <w:rsid w:val="001E22F7"/>
    <w:rsid w:val="001E2346"/>
    <w:rsid w:val="001E23D3"/>
    <w:rsid w:val="001E2637"/>
    <w:rsid w:val="001E2641"/>
    <w:rsid w:val="001E26A5"/>
    <w:rsid w:val="001E27C5"/>
    <w:rsid w:val="001E28FD"/>
    <w:rsid w:val="001E2944"/>
    <w:rsid w:val="001E29E0"/>
    <w:rsid w:val="001E2A73"/>
    <w:rsid w:val="001E2B3D"/>
    <w:rsid w:val="001E2BC8"/>
    <w:rsid w:val="001E2D21"/>
    <w:rsid w:val="001E2D41"/>
    <w:rsid w:val="001E2E2D"/>
    <w:rsid w:val="001E2E88"/>
    <w:rsid w:val="001E2E9E"/>
    <w:rsid w:val="001E2F44"/>
    <w:rsid w:val="001E2FC7"/>
    <w:rsid w:val="001E3068"/>
    <w:rsid w:val="001E30D3"/>
    <w:rsid w:val="001E317C"/>
    <w:rsid w:val="001E3198"/>
    <w:rsid w:val="001E31A6"/>
    <w:rsid w:val="001E3202"/>
    <w:rsid w:val="001E3422"/>
    <w:rsid w:val="001E3555"/>
    <w:rsid w:val="001E35AF"/>
    <w:rsid w:val="001E36B4"/>
    <w:rsid w:val="001E36BF"/>
    <w:rsid w:val="001E3807"/>
    <w:rsid w:val="001E3815"/>
    <w:rsid w:val="001E3982"/>
    <w:rsid w:val="001E3A33"/>
    <w:rsid w:val="001E3A5A"/>
    <w:rsid w:val="001E3BE7"/>
    <w:rsid w:val="001E3C4F"/>
    <w:rsid w:val="001E3CAE"/>
    <w:rsid w:val="001E3D66"/>
    <w:rsid w:val="001E3E47"/>
    <w:rsid w:val="001E3E66"/>
    <w:rsid w:val="001E3EB6"/>
    <w:rsid w:val="001E3F2B"/>
    <w:rsid w:val="001E3F36"/>
    <w:rsid w:val="001E3FD2"/>
    <w:rsid w:val="001E4046"/>
    <w:rsid w:val="001E437A"/>
    <w:rsid w:val="001E440D"/>
    <w:rsid w:val="001E45EC"/>
    <w:rsid w:val="001E465F"/>
    <w:rsid w:val="001E4686"/>
    <w:rsid w:val="001E4813"/>
    <w:rsid w:val="001E48B5"/>
    <w:rsid w:val="001E48D2"/>
    <w:rsid w:val="001E49B3"/>
    <w:rsid w:val="001E49E3"/>
    <w:rsid w:val="001E4A33"/>
    <w:rsid w:val="001E4B15"/>
    <w:rsid w:val="001E4B35"/>
    <w:rsid w:val="001E4BFB"/>
    <w:rsid w:val="001E4C1B"/>
    <w:rsid w:val="001E4C1F"/>
    <w:rsid w:val="001E4CE1"/>
    <w:rsid w:val="001E4D12"/>
    <w:rsid w:val="001E4EF2"/>
    <w:rsid w:val="001E5205"/>
    <w:rsid w:val="001E528D"/>
    <w:rsid w:val="001E52B4"/>
    <w:rsid w:val="001E5314"/>
    <w:rsid w:val="001E546E"/>
    <w:rsid w:val="001E54A0"/>
    <w:rsid w:val="001E550D"/>
    <w:rsid w:val="001E555B"/>
    <w:rsid w:val="001E55BF"/>
    <w:rsid w:val="001E55ED"/>
    <w:rsid w:val="001E5614"/>
    <w:rsid w:val="001E56A3"/>
    <w:rsid w:val="001E56C5"/>
    <w:rsid w:val="001E5744"/>
    <w:rsid w:val="001E57C9"/>
    <w:rsid w:val="001E58CF"/>
    <w:rsid w:val="001E5B5E"/>
    <w:rsid w:val="001E5C7E"/>
    <w:rsid w:val="001E5D40"/>
    <w:rsid w:val="001E5E00"/>
    <w:rsid w:val="001E5E65"/>
    <w:rsid w:val="001E5F5E"/>
    <w:rsid w:val="001E6147"/>
    <w:rsid w:val="001E6152"/>
    <w:rsid w:val="001E639F"/>
    <w:rsid w:val="001E63BA"/>
    <w:rsid w:val="001E64A2"/>
    <w:rsid w:val="001E653F"/>
    <w:rsid w:val="001E656F"/>
    <w:rsid w:val="001E660C"/>
    <w:rsid w:val="001E6629"/>
    <w:rsid w:val="001E6644"/>
    <w:rsid w:val="001E66D9"/>
    <w:rsid w:val="001E66EB"/>
    <w:rsid w:val="001E66FA"/>
    <w:rsid w:val="001E6796"/>
    <w:rsid w:val="001E6797"/>
    <w:rsid w:val="001E68B0"/>
    <w:rsid w:val="001E6923"/>
    <w:rsid w:val="001E69A5"/>
    <w:rsid w:val="001E6A0A"/>
    <w:rsid w:val="001E6B0B"/>
    <w:rsid w:val="001E6C23"/>
    <w:rsid w:val="001E6C31"/>
    <w:rsid w:val="001E6CE0"/>
    <w:rsid w:val="001E6D0F"/>
    <w:rsid w:val="001E6D97"/>
    <w:rsid w:val="001E6E0C"/>
    <w:rsid w:val="001E6EDE"/>
    <w:rsid w:val="001E7021"/>
    <w:rsid w:val="001E70C0"/>
    <w:rsid w:val="001E70F5"/>
    <w:rsid w:val="001E710A"/>
    <w:rsid w:val="001E73AF"/>
    <w:rsid w:val="001E7425"/>
    <w:rsid w:val="001E7599"/>
    <w:rsid w:val="001E76DD"/>
    <w:rsid w:val="001E7773"/>
    <w:rsid w:val="001E7794"/>
    <w:rsid w:val="001E783D"/>
    <w:rsid w:val="001E79E2"/>
    <w:rsid w:val="001E7AC4"/>
    <w:rsid w:val="001E7B08"/>
    <w:rsid w:val="001E7B84"/>
    <w:rsid w:val="001E7BBB"/>
    <w:rsid w:val="001E7C64"/>
    <w:rsid w:val="001E7D81"/>
    <w:rsid w:val="001E7DCE"/>
    <w:rsid w:val="001E7DE7"/>
    <w:rsid w:val="001E7E56"/>
    <w:rsid w:val="001E7E9C"/>
    <w:rsid w:val="001E7F36"/>
    <w:rsid w:val="001F0064"/>
    <w:rsid w:val="001F0194"/>
    <w:rsid w:val="001F020F"/>
    <w:rsid w:val="001F02A2"/>
    <w:rsid w:val="001F02B8"/>
    <w:rsid w:val="001F035F"/>
    <w:rsid w:val="001F0493"/>
    <w:rsid w:val="001F05A2"/>
    <w:rsid w:val="001F05BC"/>
    <w:rsid w:val="001F05C2"/>
    <w:rsid w:val="001F068F"/>
    <w:rsid w:val="001F0707"/>
    <w:rsid w:val="001F07F4"/>
    <w:rsid w:val="001F0892"/>
    <w:rsid w:val="001F090F"/>
    <w:rsid w:val="001F0956"/>
    <w:rsid w:val="001F0973"/>
    <w:rsid w:val="001F0A4E"/>
    <w:rsid w:val="001F0B49"/>
    <w:rsid w:val="001F0C6C"/>
    <w:rsid w:val="001F0C79"/>
    <w:rsid w:val="001F0DD3"/>
    <w:rsid w:val="001F0F7E"/>
    <w:rsid w:val="001F0FB2"/>
    <w:rsid w:val="001F1021"/>
    <w:rsid w:val="001F1139"/>
    <w:rsid w:val="001F11DA"/>
    <w:rsid w:val="001F12FA"/>
    <w:rsid w:val="001F131A"/>
    <w:rsid w:val="001F1386"/>
    <w:rsid w:val="001F1440"/>
    <w:rsid w:val="001F14EF"/>
    <w:rsid w:val="001F1504"/>
    <w:rsid w:val="001F1515"/>
    <w:rsid w:val="001F1724"/>
    <w:rsid w:val="001F1768"/>
    <w:rsid w:val="001F1786"/>
    <w:rsid w:val="001F181C"/>
    <w:rsid w:val="001F18A4"/>
    <w:rsid w:val="001F19A8"/>
    <w:rsid w:val="001F1A31"/>
    <w:rsid w:val="001F1BE9"/>
    <w:rsid w:val="001F1DCE"/>
    <w:rsid w:val="001F1E38"/>
    <w:rsid w:val="001F1ED7"/>
    <w:rsid w:val="001F1F17"/>
    <w:rsid w:val="001F1F72"/>
    <w:rsid w:val="001F200E"/>
    <w:rsid w:val="001F207A"/>
    <w:rsid w:val="001F2116"/>
    <w:rsid w:val="001F21DB"/>
    <w:rsid w:val="001F21EE"/>
    <w:rsid w:val="001F2307"/>
    <w:rsid w:val="001F23BC"/>
    <w:rsid w:val="001F23F5"/>
    <w:rsid w:val="001F248B"/>
    <w:rsid w:val="001F24D6"/>
    <w:rsid w:val="001F26BA"/>
    <w:rsid w:val="001F2728"/>
    <w:rsid w:val="001F2783"/>
    <w:rsid w:val="001F27A4"/>
    <w:rsid w:val="001F27C5"/>
    <w:rsid w:val="001F27EC"/>
    <w:rsid w:val="001F2833"/>
    <w:rsid w:val="001F2858"/>
    <w:rsid w:val="001F28A9"/>
    <w:rsid w:val="001F28D8"/>
    <w:rsid w:val="001F2902"/>
    <w:rsid w:val="001F290C"/>
    <w:rsid w:val="001F2A76"/>
    <w:rsid w:val="001F2A82"/>
    <w:rsid w:val="001F2B23"/>
    <w:rsid w:val="001F2B71"/>
    <w:rsid w:val="001F2B96"/>
    <w:rsid w:val="001F2BA2"/>
    <w:rsid w:val="001F2BCB"/>
    <w:rsid w:val="001F2C57"/>
    <w:rsid w:val="001F2CC2"/>
    <w:rsid w:val="001F3004"/>
    <w:rsid w:val="001F302A"/>
    <w:rsid w:val="001F30FD"/>
    <w:rsid w:val="001F32D9"/>
    <w:rsid w:val="001F3587"/>
    <w:rsid w:val="001F3669"/>
    <w:rsid w:val="001F3688"/>
    <w:rsid w:val="001F3714"/>
    <w:rsid w:val="001F372E"/>
    <w:rsid w:val="001F3763"/>
    <w:rsid w:val="001F3791"/>
    <w:rsid w:val="001F3932"/>
    <w:rsid w:val="001F3952"/>
    <w:rsid w:val="001F399B"/>
    <w:rsid w:val="001F3A58"/>
    <w:rsid w:val="001F3AF6"/>
    <w:rsid w:val="001F3B02"/>
    <w:rsid w:val="001F3BAA"/>
    <w:rsid w:val="001F3D35"/>
    <w:rsid w:val="001F3D7A"/>
    <w:rsid w:val="001F3E28"/>
    <w:rsid w:val="001F3EC8"/>
    <w:rsid w:val="001F3F36"/>
    <w:rsid w:val="001F3F40"/>
    <w:rsid w:val="001F3F94"/>
    <w:rsid w:val="001F4126"/>
    <w:rsid w:val="001F412A"/>
    <w:rsid w:val="001F428C"/>
    <w:rsid w:val="001F4298"/>
    <w:rsid w:val="001F42E3"/>
    <w:rsid w:val="001F42FF"/>
    <w:rsid w:val="001F4373"/>
    <w:rsid w:val="001F437E"/>
    <w:rsid w:val="001F43AA"/>
    <w:rsid w:val="001F43F2"/>
    <w:rsid w:val="001F4445"/>
    <w:rsid w:val="001F44CD"/>
    <w:rsid w:val="001F4530"/>
    <w:rsid w:val="001F4601"/>
    <w:rsid w:val="001F4668"/>
    <w:rsid w:val="001F4718"/>
    <w:rsid w:val="001F48C7"/>
    <w:rsid w:val="001F48D9"/>
    <w:rsid w:val="001F4A98"/>
    <w:rsid w:val="001F4B12"/>
    <w:rsid w:val="001F4B1C"/>
    <w:rsid w:val="001F4B4C"/>
    <w:rsid w:val="001F4B75"/>
    <w:rsid w:val="001F4BFB"/>
    <w:rsid w:val="001F4C05"/>
    <w:rsid w:val="001F4C36"/>
    <w:rsid w:val="001F4D59"/>
    <w:rsid w:val="001F4DE6"/>
    <w:rsid w:val="001F4DEE"/>
    <w:rsid w:val="001F4E12"/>
    <w:rsid w:val="001F5091"/>
    <w:rsid w:val="001F512B"/>
    <w:rsid w:val="001F51EC"/>
    <w:rsid w:val="001F5203"/>
    <w:rsid w:val="001F524B"/>
    <w:rsid w:val="001F52B0"/>
    <w:rsid w:val="001F52DB"/>
    <w:rsid w:val="001F5370"/>
    <w:rsid w:val="001F537F"/>
    <w:rsid w:val="001F55BA"/>
    <w:rsid w:val="001F5610"/>
    <w:rsid w:val="001F56C8"/>
    <w:rsid w:val="001F57C5"/>
    <w:rsid w:val="001F5892"/>
    <w:rsid w:val="001F597F"/>
    <w:rsid w:val="001F59F8"/>
    <w:rsid w:val="001F5BC0"/>
    <w:rsid w:val="001F5C0B"/>
    <w:rsid w:val="001F5CC6"/>
    <w:rsid w:val="001F5D6A"/>
    <w:rsid w:val="001F5E1C"/>
    <w:rsid w:val="001F5E2F"/>
    <w:rsid w:val="001F5EE3"/>
    <w:rsid w:val="001F5F8B"/>
    <w:rsid w:val="001F5FC9"/>
    <w:rsid w:val="001F5FE4"/>
    <w:rsid w:val="001F5FEE"/>
    <w:rsid w:val="001F6084"/>
    <w:rsid w:val="001F6103"/>
    <w:rsid w:val="001F610B"/>
    <w:rsid w:val="001F6269"/>
    <w:rsid w:val="001F6584"/>
    <w:rsid w:val="001F658C"/>
    <w:rsid w:val="001F65BC"/>
    <w:rsid w:val="001F6690"/>
    <w:rsid w:val="001F66C2"/>
    <w:rsid w:val="001F675C"/>
    <w:rsid w:val="001F6766"/>
    <w:rsid w:val="001F68E8"/>
    <w:rsid w:val="001F68F2"/>
    <w:rsid w:val="001F69B2"/>
    <w:rsid w:val="001F69CE"/>
    <w:rsid w:val="001F6A90"/>
    <w:rsid w:val="001F6AAB"/>
    <w:rsid w:val="001F6CF5"/>
    <w:rsid w:val="001F6DD0"/>
    <w:rsid w:val="001F6E65"/>
    <w:rsid w:val="001F6EB2"/>
    <w:rsid w:val="001F6F44"/>
    <w:rsid w:val="001F6F84"/>
    <w:rsid w:val="001F7168"/>
    <w:rsid w:val="001F7391"/>
    <w:rsid w:val="001F74BA"/>
    <w:rsid w:val="001F7563"/>
    <w:rsid w:val="001F75F1"/>
    <w:rsid w:val="001F76AA"/>
    <w:rsid w:val="001F781A"/>
    <w:rsid w:val="001F7828"/>
    <w:rsid w:val="001F784B"/>
    <w:rsid w:val="001F78E8"/>
    <w:rsid w:val="001F797F"/>
    <w:rsid w:val="001F7A17"/>
    <w:rsid w:val="001F7A93"/>
    <w:rsid w:val="001F7AA1"/>
    <w:rsid w:val="001F7B30"/>
    <w:rsid w:val="001F7B46"/>
    <w:rsid w:val="001F7B51"/>
    <w:rsid w:val="001F7B6E"/>
    <w:rsid w:val="001F7BB2"/>
    <w:rsid w:val="001F7C1F"/>
    <w:rsid w:val="001F7C22"/>
    <w:rsid w:val="001F7C65"/>
    <w:rsid w:val="001F7D5B"/>
    <w:rsid w:val="001F7D7A"/>
    <w:rsid w:val="001F7DA1"/>
    <w:rsid w:val="001F7E5D"/>
    <w:rsid w:val="001F7ED0"/>
    <w:rsid w:val="001F7F2D"/>
    <w:rsid w:val="001F7F48"/>
    <w:rsid w:val="00200035"/>
    <w:rsid w:val="0020006A"/>
    <w:rsid w:val="002000A9"/>
    <w:rsid w:val="0020014D"/>
    <w:rsid w:val="002001FD"/>
    <w:rsid w:val="0020024C"/>
    <w:rsid w:val="0020028F"/>
    <w:rsid w:val="002002E7"/>
    <w:rsid w:val="002003F3"/>
    <w:rsid w:val="00200475"/>
    <w:rsid w:val="002004BC"/>
    <w:rsid w:val="00200565"/>
    <w:rsid w:val="00200569"/>
    <w:rsid w:val="0020076C"/>
    <w:rsid w:val="00200788"/>
    <w:rsid w:val="002007E5"/>
    <w:rsid w:val="0020083B"/>
    <w:rsid w:val="002008F0"/>
    <w:rsid w:val="00200923"/>
    <w:rsid w:val="002009A2"/>
    <w:rsid w:val="00200BE0"/>
    <w:rsid w:val="00200C41"/>
    <w:rsid w:val="00200CE5"/>
    <w:rsid w:val="00200DBD"/>
    <w:rsid w:val="00200EFA"/>
    <w:rsid w:val="00201287"/>
    <w:rsid w:val="002012E9"/>
    <w:rsid w:val="00201320"/>
    <w:rsid w:val="00201440"/>
    <w:rsid w:val="00201460"/>
    <w:rsid w:val="00201487"/>
    <w:rsid w:val="002014C0"/>
    <w:rsid w:val="00201500"/>
    <w:rsid w:val="002015C8"/>
    <w:rsid w:val="0020179D"/>
    <w:rsid w:val="002017E6"/>
    <w:rsid w:val="0020181D"/>
    <w:rsid w:val="002018C4"/>
    <w:rsid w:val="00201921"/>
    <w:rsid w:val="00201963"/>
    <w:rsid w:val="002019FD"/>
    <w:rsid w:val="00201A99"/>
    <w:rsid w:val="00201BA2"/>
    <w:rsid w:val="00201D25"/>
    <w:rsid w:val="00201D3D"/>
    <w:rsid w:val="00201DE0"/>
    <w:rsid w:val="00201DFD"/>
    <w:rsid w:val="00201E58"/>
    <w:rsid w:val="00201EBB"/>
    <w:rsid w:val="00201ED2"/>
    <w:rsid w:val="00201F3C"/>
    <w:rsid w:val="00201F86"/>
    <w:rsid w:val="00201FF0"/>
    <w:rsid w:val="002022CA"/>
    <w:rsid w:val="002022DE"/>
    <w:rsid w:val="002022E3"/>
    <w:rsid w:val="00202397"/>
    <w:rsid w:val="00202489"/>
    <w:rsid w:val="00202656"/>
    <w:rsid w:val="002026A7"/>
    <w:rsid w:val="002027AB"/>
    <w:rsid w:val="002027E5"/>
    <w:rsid w:val="0020282D"/>
    <w:rsid w:val="00202859"/>
    <w:rsid w:val="00202861"/>
    <w:rsid w:val="0020287A"/>
    <w:rsid w:val="00202965"/>
    <w:rsid w:val="00202A03"/>
    <w:rsid w:val="00202B82"/>
    <w:rsid w:val="00202CA4"/>
    <w:rsid w:val="00202D03"/>
    <w:rsid w:val="00202E45"/>
    <w:rsid w:val="00202E65"/>
    <w:rsid w:val="00202F3D"/>
    <w:rsid w:val="00202FD2"/>
    <w:rsid w:val="002034BB"/>
    <w:rsid w:val="002034D4"/>
    <w:rsid w:val="00203529"/>
    <w:rsid w:val="00203560"/>
    <w:rsid w:val="00203576"/>
    <w:rsid w:val="00203598"/>
    <w:rsid w:val="0020362F"/>
    <w:rsid w:val="0020381B"/>
    <w:rsid w:val="0020382D"/>
    <w:rsid w:val="0020387C"/>
    <w:rsid w:val="00203A01"/>
    <w:rsid w:val="00203A89"/>
    <w:rsid w:val="00203A8C"/>
    <w:rsid w:val="00203A9A"/>
    <w:rsid w:val="00203B1A"/>
    <w:rsid w:val="00203B28"/>
    <w:rsid w:val="00203B2C"/>
    <w:rsid w:val="00203B84"/>
    <w:rsid w:val="00203C82"/>
    <w:rsid w:val="00203CF5"/>
    <w:rsid w:val="00203D55"/>
    <w:rsid w:val="00203FC3"/>
    <w:rsid w:val="00203FF5"/>
    <w:rsid w:val="0020402F"/>
    <w:rsid w:val="002040B3"/>
    <w:rsid w:val="002041E2"/>
    <w:rsid w:val="00204449"/>
    <w:rsid w:val="0020450D"/>
    <w:rsid w:val="00204608"/>
    <w:rsid w:val="00204661"/>
    <w:rsid w:val="002047DF"/>
    <w:rsid w:val="002047F5"/>
    <w:rsid w:val="002048EC"/>
    <w:rsid w:val="0020493D"/>
    <w:rsid w:val="00204993"/>
    <w:rsid w:val="00204A4F"/>
    <w:rsid w:val="00204B44"/>
    <w:rsid w:val="00204BFA"/>
    <w:rsid w:val="00204D37"/>
    <w:rsid w:val="00204D82"/>
    <w:rsid w:val="00204F2F"/>
    <w:rsid w:val="00204F31"/>
    <w:rsid w:val="00204F58"/>
    <w:rsid w:val="00205119"/>
    <w:rsid w:val="0020514E"/>
    <w:rsid w:val="00205183"/>
    <w:rsid w:val="002051F7"/>
    <w:rsid w:val="00205304"/>
    <w:rsid w:val="0020530E"/>
    <w:rsid w:val="00205362"/>
    <w:rsid w:val="002053AD"/>
    <w:rsid w:val="002053E5"/>
    <w:rsid w:val="002054B3"/>
    <w:rsid w:val="00205663"/>
    <w:rsid w:val="0020595D"/>
    <w:rsid w:val="002059C6"/>
    <w:rsid w:val="00205ACC"/>
    <w:rsid w:val="00205DE2"/>
    <w:rsid w:val="00205E5E"/>
    <w:rsid w:val="00205FEA"/>
    <w:rsid w:val="00205FFC"/>
    <w:rsid w:val="00206005"/>
    <w:rsid w:val="0020609A"/>
    <w:rsid w:val="00206115"/>
    <w:rsid w:val="002061EE"/>
    <w:rsid w:val="002062E0"/>
    <w:rsid w:val="00206616"/>
    <w:rsid w:val="002066A4"/>
    <w:rsid w:val="0020673D"/>
    <w:rsid w:val="002067F5"/>
    <w:rsid w:val="0020680D"/>
    <w:rsid w:val="002068BA"/>
    <w:rsid w:val="0020690F"/>
    <w:rsid w:val="0020691A"/>
    <w:rsid w:val="00206AFD"/>
    <w:rsid w:val="00206B26"/>
    <w:rsid w:val="00206BCB"/>
    <w:rsid w:val="00206C5E"/>
    <w:rsid w:val="00206C7F"/>
    <w:rsid w:val="00206E89"/>
    <w:rsid w:val="00206E97"/>
    <w:rsid w:val="0020720D"/>
    <w:rsid w:val="00207273"/>
    <w:rsid w:val="002072DC"/>
    <w:rsid w:val="00207366"/>
    <w:rsid w:val="002073CD"/>
    <w:rsid w:val="002073F9"/>
    <w:rsid w:val="0020745C"/>
    <w:rsid w:val="0020759E"/>
    <w:rsid w:val="00207670"/>
    <w:rsid w:val="0020768F"/>
    <w:rsid w:val="002076E5"/>
    <w:rsid w:val="0020772F"/>
    <w:rsid w:val="00207733"/>
    <w:rsid w:val="00207739"/>
    <w:rsid w:val="00207821"/>
    <w:rsid w:val="00207892"/>
    <w:rsid w:val="002078A8"/>
    <w:rsid w:val="0020793B"/>
    <w:rsid w:val="00207A69"/>
    <w:rsid w:val="00207AA5"/>
    <w:rsid w:val="00207ABC"/>
    <w:rsid w:val="00207AEE"/>
    <w:rsid w:val="00207BD7"/>
    <w:rsid w:val="00207DC4"/>
    <w:rsid w:val="00207F59"/>
    <w:rsid w:val="00207FD4"/>
    <w:rsid w:val="0021011C"/>
    <w:rsid w:val="00210358"/>
    <w:rsid w:val="0021037C"/>
    <w:rsid w:val="002104DC"/>
    <w:rsid w:val="00210505"/>
    <w:rsid w:val="00210883"/>
    <w:rsid w:val="002108BE"/>
    <w:rsid w:val="00210919"/>
    <w:rsid w:val="002109A5"/>
    <w:rsid w:val="00210A5B"/>
    <w:rsid w:val="00210A63"/>
    <w:rsid w:val="00210AE4"/>
    <w:rsid w:val="00210C66"/>
    <w:rsid w:val="00210D85"/>
    <w:rsid w:val="00210EAA"/>
    <w:rsid w:val="00210EBB"/>
    <w:rsid w:val="00210F0F"/>
    <w:rsid w:val="00210F1C"/>
    <w:rsid w:val="00210FFE"/>
    <w:rsid w:val="00211007"/>
    <w:rsid w:val="00211256"/>
    <w:rsid w:val="002112A8"/>
    <w:rsid w:val="002112DB"/>
    <w:rsid w:val="00211369"/>
    <w:rsid w:val="002113DF"/>
    <w:rsid w:val="00211444"/>
    <w:rsid w:val="0021146E"/>
    <w:rsid w:val="0021147A"/>
    <w:rsid w:val="00211607"/>
    <w:rsid w:val="002116D0"/>
    <w:rsid w:val="00211728"/>
    <w:rsid w:val="0021179F"/>
    <w:rsid w:val="002117F2"/>
    <w:rsid w:val="00211816"/>
    <w:rsid w:val="002118DE"/>
    <w:rsid w:val="00211969"/>
    <w:rsid w:val="00211A50"/>
    <w:rsid w:val="00211C23"/>
    <w:rsid w:val="00211D65"/>
    <w:rsid w:val="00211D72"/>
    <w:rsid w:val="00211DC3"/>
    <w:rsid w:val="00211E2A"/>
    <w:rsid w:val="00211E5C"/>
    <w:rsid w:val="00212074"/>
    <w:rsid w:val="00212108"/>
    <w:rsid w:val="00212185"/>
    <w:rsid w:val="002122A5"/>
    <w:rsid w:val="0021230B"/>
    <w:rsid w:val="002123B5"/>
    <w:rsid w:val="00212459"/>
    <w:rsid w:val="002124B6"/>
    <w:rsid w:val="002125FD"/>
    <w:rsid w:val="0021269D"/>
    <w:rsid w:val="002126C7"/>
    <w:rsid w:val="00212908"/>
    <w:rsid w:val="0021293D"/>
    <w:rsid w:val="00212A68"/>
    <w:rsid w:val="00212AF6"/>
    <w:rsid w:val="00212BB9"/>
    <w:rsid w:val="00212D58"/>
    <w:rsid w:val="00212DD3"/>
    <w:rsid w:val="00212E18"/>
    <w:rsid w:val="00212E2B"/>
    <w:rsid w:val="00212E85"/>
    <w:rsid w:val="00212EF4"/>
    <w:rsid w:val="00212F45"/>
    <w:rsid w:val="0021303A"/>
    <w:rsid w:val="00213090"/>
    <w:rsid w:val="002130ED"/>
    <w:rsid w:val="00213103"/>
    <w:rsid w:val="00213105"/>
    <w:rsid w:val="00213115"/>
    <w:rsid w:val="0021325B"/>
    <w:rsid w:val="00213287"/>
    <w:rsid w:val="002132B0"/>
    <w:rsid w:val="002132BE"/>
    <w:rsid w:val="00213391"/>
    <w:rsid w:val="00213429"/>
    <w:rsid w:val="00213432"/>
    <w:rsid w:val="00213450"/>
    <w:rsid w:val="00213459"/>
    <w:rsid w:val="00213469"/>
    <w:rsid w:val="00213494"/>
    <w:rsid w:val="002134F6"/>
    <w:rsid w:val="00213502"/>
    <w:rsid w:val="00213652"/>
    <w:rsid w:val="0021374B"/>
    <w:rsid w:val="002137F2"/>
    <w:rsid w:val="002138D6"/>
    <w:rsid w:val="00213A46"/>
    <w:rsid w:val="00213AF4"/>
    <w:rsid w:val="00213B5C"/>
    <w:rsid w:val="00213C4F"/>
    <w:rsid w:val="00213D39"/>
    <w:rsid w:val="00213DD4"/>
    <w:rsid w:val="00214023"/>
    <w:rsid w:val="00214067"/>
    <w:rsid w:val="00214118"/>
    <w:rsid w:val="002141E9"/>
    <w:rsid w:val="0021421C"/>
    <w:rsid w:val="00214295"/>
    <w:rsid w:val="00214513"/>
    <w:rsid w:val="00214675"/>
    <w:rsid w:val="0021467A"/>
    <w:rsid w:val="0021472E"/>
    <w:rsid w:val="0021482A"/>
    <w:rsid w:val="0021494B"/>
    <w:rsid w:val="00214A50"/>
    <w:rsid w:val="00214A8C"/>
    <w:rsid w:val="00214B0E"/>
    <w:rsid w:val="00214B16"/>
    <w:rsid w:val="00214B8D"/>
    <w:rsid w:val="00214BBF"/>
    <w:rsid w:val="00214C5D"/>
    <w:rsid w:val="00214D01"/>
    <w:rsid w:val="00214D6E"/>
    <w:rsid w:val="00214D77"/>
    <w:rsid w:val="00214DA2"/>
    <w:rsid w:val="00214E3A"/>
    <w:rsid w:val="00214E57"/>
    <w:rsid w:val="00214E7A"/>
    <w:rsid w:val="00214E99"/>
    <w:rsid w:val="00214F5D"/>
    <w:rsid w:val="00214FAE"/>
    <w:rsid w:val="0021508A"/>
    <w:rsid w:val="00215159"/>
    <w:rsid w:val="002152AF"/>
    <w:rsid w:val="002152BF"/>
    <w:rsid w:val="002152CA"/>
    <w:rsid w:val="00215399"/>
    <w:rsid w:val="00215400"/>
    <w:rsid w:val="002154EE"/>
    <w:rsid w:val="00215518"/>
    <w:rsid w:val="0021552F"/>
    <w:rsid w:val="00215567"/>
    <w:rsid w:val="002155B6"/>
    <w:rsid w:val="002155E5"/>
    <w:rsid w:val="00215602"/>
    <w:rsid w:val="0021561C"/>
    <w:rsid w:val="0021561E"/>
    <w:rsid w:val="002156D9"/>
    <w:rsid w:val="002157E4"/>
    <w:rsid w:val="0021588F"/>
    <w:rsid w:val="0021590B"/>
    <w:rsid w:val="00215A8A"/>
    <w:rsid w:val="00215A8F"/>
    <w:rsid w:val="00215AA8"/>
    <w:rsid w:val="00215AFB"/>
    <w:rsid w:val="00215B6B"/>
    <w:rsid w:val="00215BDD"/>
    <w:rsid w:val="00215CD2"/>
    <w:rsid w:val="00215D0C"/>
    <w:rsid w:val="00215D4F"/>
    <w:rsid w:val="00215D56"/>
    <w:rsid w:val="00215DDC"/>
    <w:rsid w:val="00215DEA"/>
    <w:rsid w:val="00215E39"/>
    <w:rsid w:val="00215E7B"/>
    <w:rsid w:val="00215E96"/>
    <w:rsid w:val="00215EC6"/>
    <w:rsid w:val="00215ED1"/>
    <w:rsid w:val="00215F37"/>
    <w:rsid w:val="002160E2"/>
    <w:rsid w:val="00216205"/>
    <w:rsid w:val="0021628B"/>
    <w:rsid w:val="00216354"/>
    <w:rsid w:val="002164B7"/>
    <w:rsid w:val="00216526"/>
    <w:rsid w:val="00216565"/>
    <w:rsid w:val="0021659F"/>
    <w:rsid w:val="002166A9"/>
    <w:rsid w:val="00216703"/>
    <w:rsid w:val="00216896"/>
    <w:rsid w:val="002169E9"/>
    <w:rsid w:val="00216A99"/>
    <w:rsid w:val="00216B0C"/>
    <w:rsid w:val="00216B75"/>
    <w:rsid w:val="00216D18"/>
    <w:rsid w:val="00216D55"/>
    <w:rsid w:val="00216D7E"/>
    <w:rsid w:val="00216D8C"/>
    <w:rsid w:val="00216DF4"/>
    <w:rsid w:val="00216ED9"/>
    <w:rsid w:val="00216FEC"/>
    <w:rsid w:val="00216FEF"/>
    <w:rsid w:val="00217195"/>
    <w:rsid w:val="002171AE"/>
    <w:rsid w:val="00217206"/>
    <w:rsid w:val="0021721E"/>
    <w:rsid w:val="002172A7"/>
    <w:rsid w:val="002172B8"/>
    <w:rsid w:val="002172E9"/>
    <w:rsid w:val="002172EE"/>
    <w:rsid w:val="002172F7"/>
    <w:rsid w:val="00217328"/>
    <w:rsid w:val="0021743A"/>
    <w:rsid w:val="00217444"/>
    <w:rsid w:val="002174DD"/>
    <w:rsid w:val="0021753F"/>
    <w:rsid w:val="002176F4"/>
    <w:rsid w:val="00217746"/>
    <w:rsid w:val="0021789A"/>
    <w:rsid w:val="002178CE"/>
    <w:rsid w:val="002178F5"/>
    <w:rsid w:val="0021791D"/>
    <w:rsid w:val="00217B72"/>
    <w:rsid w:val="00217C1C"/>
    <w:rsid w:val="00217CE1"/>
    <w:rsid w:val="00217CF8"/>
    <w:rsid w:val="00217DDA"/>
    <w:rsid w:val="00217DF6"/>
    <w:rsid w:val="00217E77"/>
    <w:rsid w:val="00217FB7"/>
    <w:rsid w:val="00217FBF"/>
    <w:rsid w:val="00220006"/>
    <w:rsid w:val="0022003D"/>
    <w:rsid w:val="002200D8"/>
    <w:rsid w:val="00220212"/>
    <w:rsid w:val="002203DF"/>
    <w:rsid w:val="00220405"/>
    <w:rsid w:val="002205F5"/>
    <w:rsid w:val="00220662"/>
    <w:rsid w:val="00220695"/>
    <w:rsid w:val="002206F0"/>
    <w:rsid w:val="002209C3"/>
    <w:rsid w:val="002209EB"/>
    <w:rsid w:val="00220B9B"/>
    <w:rsid w:val="00220C7D"/>
    <w:rsid w:val="00220C84"/>
    <w:rsid w:val="00220CD0"/>
    <w:rsid w:val="00220CD8"/>
    <w:rsid w:val="00220DAC"/>
    <w:rsid w:val="00220FB6"/>
    <w:rsid w:val="00221026"/>
    <w:rsid w:val="0022102E"/>
    <w:rsid w:val="0022103B"/>
    <w:rsid w:val="0022117A"/>
    <w:rsid w:val="002211DD"/>
    <w:rsid w:val="002211E6"/>
    <w:rsid w:val="0022135E"/>
    <w:rsid w:val="002213E4"/>
    <w:rsid w:val="0022149A"/>
    <w:rsid w:val="002214E7"/>
    <w:rsid w:val="002214EA"/>
    <w:rsid w:val="002216C3"/>
    <w:rsid w:val="002217E4"/>
    <w:rsid w:val="0022188F"/>
    <w:rsid w:val="002218AF"/>
    <w:rsid w:val="00221A09"/>
    <w:rsid w:val="00221A0C"/>
    <w:rsid w:val="00221A43"/>
    <w:rsid w:val="00221B25"/>
    <w:rsid w:val="00221DBF"/>
    <w:rsid w:val="00221E28"/>
    <w:rsid w:val="00221E35"/>
    <w:rsid w:val="00221FF2"/>
    <w:rsid w:val="00222043"/>
    <w:rsid w:val="00222050"/>
    <w:rsid w:val="0022217B"/>
    <w:rsid w:val="002221D0"/>
    <w:rsid w:val="002221F3"/>
    <w:rsid w:val="0022233A"/>
    <w:rsid w:val="00222381"/>
    <w:rsid w:val="002223AF"/>
    <w:rsid w:val="00222404"/>
    <w:rsid w:val="00222425"/>
    <w:rsid w:val="0022251B"/>
    <w:rsid w:val="002226E6"/>
    <w:rsid w:val="00222754"/>
    <w:rsid w:val="002227D6"/>
    <w:rsid w:val="0022284D"/>
    <w:rsid w:val="00222858"/>
    <w:rsid w:val="00222904"/>
    <w:rsid w:val="00222983"/>
    <w:rsid w:val="002229C9"/>
    <w:rsid w:val="00222A72"/>
    <w:rsid w:val="00222B15"/>
    <w:rsid w:val="00222B8A"/>
    <w:rsid w:val="00222BAA"/>
    <w:rsid w:val="00222BEF"/>
    <w:rsid w:val="00222C0B"/>
    <w:rsid w:val="00222D89"/>
    <w:rsid w:val="00222E56"/>
    <w:rsid w:val="00222EC7"/>
    <w:rsid w:val="00222F30"/>
    <w:rsid w:val="00222F3D"/>
    <w:rsid w:val="00222FA2"/>
    <w:rsid w:val="002230A6"/>
    <w:rsid w:val="00223193"/>
    <w:rsid w:val="0022321D"/>
    <w:rsid w:val="002232FF"/>
    <w:rsid w:val="002233EA"/>
    <w:rsid w:val="00223401"/>
    <w:rsid w:val="0022346A"/>
    <w:rsid w:val="002234DC"/>
    <w:rsid w:val="00223531"/>
    <w:rsid w:val="00223541"/>
    <w:rsid w:val="00223655"/>
    <w:rsid w:val="00223664"/>
    <w:rsid w:val="002236C4"/>
    <w:rsid w:val="002237CC"/>
    <w:rsid w:val="002237FD"/>
    <w:rsid w:val="00223859"/>
    <w:rsid w:val="002238FC"/>
    <w:rsid w:val="002239C9"/>
    <w:rsid w:val="00223A56"/>
    <w:rsid w:val="00223C1B"/>
    <w:rsid w:val="00223D56"/>
    <w:rsid w:val="00223D83"/>
    <w:rsid w:val="00223FD9"/>
    <w:rsid w:val="00223FDE"/>
    <w:rsid w:val="00224188"/>
    <w:rsid w:val="00224444"/>
    <w:rsid w:val="00224445"/>
    <w:rsid w:val="00224454"/>
    <w:rsid w:val="0022447C"/>
    <w:rsid w:val="002244E8"/>
    <w:rsid w:val="00224564"/>
    <w:rsid w:val="00224587"/>
    <w:rsid w:val="0022487F"/>
    <w:rsid w:val="002248AC"/>
    <w:rsid w:val="00224B9C"/>
    <w:rsid w:val="00224BB9"/>
    <w:rsid w:val="00224CDA"/>
    <w:rsid w:val="00224CF6"/>
    <w:rsid w:val="00224E44"/>
    <w:rsid w:val="00224EB8"/>
    <w:rsid w:val="00224FCB"/>
    <w:rsid w:val="00225039"/>
    <w:rsid w:val="00225201"/>
    <w:rsid w:val="00225259"/>
    <w:rsid w:val="00225283"/>
    <w:rsid w:val="00225303"/>
    <w:rsid w:val="00225387"/>
    <w:rsid w:val="002253A0"/>
    <w:rsid w:val="002253A9"/>
    <w:rsid w:val="0022549C"/>
    <w:rsid w:val="002254D5"/>
    <w:rsid w:val="002255C6"/>
    <w:rsid w:val="002255FA"/>
    <w:rsid w:val="002255FE"/>
    <w:rsid w:val="00225716"/>
    <w:rsid w:val="002257BA"/>
    <w:rsid w:val="00225833"/>
    <w:rsid w:val="00225865"/>
    <w:rsid w:val="0022589A"/>
    <w:rsid w:val="002258A3"/>
    <w:rsid w:val="00225935"/>
    <w:rsid w:val="0022596C"/>
    <w:rsid w:val="00225978"/>
    <w:rsid w:val="00225A66"/>
    <w:rsid w:val="00225AB8"/>
    <w:rsid w:val="00225C26"/>
    <w:rsid w:val="00225C62"/>
    <w:rsid w:val="00225D05"/>
    <w:rsid w:val="00225D37"/>
    <w:rsid w:val="00225D38"/>
    <w:rsid w:val="00225D4B"/>
    <w:rsid w:val="00225DCB"/>
    <w:rsid w:val="00225E6E"/>
    <w:rsid w:val="00225EF4"/>
    <w:rsid w:val="00225F36"/>
    <w:rsid w:val="00225FA2"/>
    <w:rsid w:val="00225FFE"/>
    <w:rsid w:val="00226046"/>
    <w:rsid w:val="00226095"/>
    <w:rsid w:val="002260E9"/>
    <w:rsid w:val="002260FE"/>
    <w:rsid w:val="00226102"/>
    <w:rsid w:val="002262D5"/>
    <w:rsid w:val="00226428"/>
    <w:rsid w:val="00226542"/>
    <w:rsid w:val="00226590"/>
    <w:rsid w:val="002266F1"/>
    <w:rsid w:val="0022672F"/>
    <w:rsid w:val="00226821"/>
    <w:rsid w:val="00226862"/>
    <w:rsid w:val="00226866"/>
    <w:rsid w:val="0022696C"/>
    <w:rsid w:val="00226979"/>
    <w:rsid w:val="00226A71"/>
    <w:rsid w:val="00226A98"/>
    <w:rsid w:val="00226B39"/>
    <w:rsid w:val="00226C7D"/>
    <w:rsid w:val="00226C7E"/>
    <w:rsid w:val="00226D71"/>
    <w:rsid w:val="00226D76"/>
    <w:rsid w:val="00226F80"/>
    <w:rsid w:val="00226FCD"/>
    <w:rsid w:val="0022710B"/>
    <w:rsid w:val="00227112"/>
    <w:rsid w:val="002271B2"/>
    <w:rsid w:val="002273E7"/>
    <w:rsid w:val="00227536"/>
    <w:rsid w:val="0022761A"/>
    <w:rsid w:val="0022762F"/>
    <w:rsid w:val="0022764F"/>
    <w:rsid w:val="002276FB"/>
    <w:rsid w:val="002277FF"/>
    <w:rsid w:val="0022782E"/>
    <w:rsid w:val="00227B2C"/>
    <w:rsid w:val="00227B40"/>
    <w:rsid w:val="00227B89"/>
    <w:rsid w:val="00227C52"/>
    <w:rsid w:val="00227E46"/>
    <w:rsid w:val="00227ED2"/>
    <w:rsid w:val="00227F2A"/>
    <w:rsid w:val="00227F43"/>
    <w:rsid w:val="00227F79"/>
    <w:rsid w:val="0022F8A1"/>
    <w:rsid w:val="002300E8"/>
    <w:rsid w:val="002303C0"/>
    <w:rsid w:val="002303FD"/>
    <w:rsid w:val="0023048B"/>
    <w:rsid w:val="00230576"/>
    <w:rsid w:val="002305F6"/>
    <w:rsid w:val="00230660"/>
    <w:rsid w:val="0023068A"/>
    <w:rsid w:val="002306CF"/>
    <w:rsid w:val="002306D1"/>
    <w:rsid w:val="002306E1"/>
    <w:rsid w:val="0023076A"/>
    <w:rsid w:val="00230889"/>
    <w:rsid w:val="002308A3"/>
    <w:rsid w:val="002309F0"/>
    <w:rsid w:val="00230AB3"/>
    <w:rsid w:val="00230B19"/>
    <w:rsid w:val="00230B81"/>
    <w:rsid w:val="00230C3D"/>
    <w:rsid w:val="00230C67"/>
    <w:rsid w:val="00230CEC"/>
    <w:rsid w:val="00230D0E"/>
    <w:rsid w:val="00230D19"/>
    <w:rsid w:val="00230E5E"/>
    <w:rsid w:val="00230F26"/>
    <w:rsid w:val="00230F54"/>
    <w:rsid w:val="0023100C"/>
    <w:rsid w:val="0023100E"/>
    <w:rsid w:val="0023103A"/>
    <w:rsid w:val="0023105A"/>
    <w:rsid w:val="0023119F"/>
    <w:rsid w:val="002311D0"/>
    <w:rsid w:val="0023126B"/>
    <w:rsid w:val="00231296"/>
    <w:rsid w:val="002312EC"/>
    <w:rsid w:val="00231375"/>
    <w:rsid w:val="00231511"/>
    <w:rsid w:val="002315BA"/>
    <w:rsid w:val="00231862"/>
    <w:rsid w:val="00231938"/>
    <w:rsid w:val="00231A38"/>
    <w:rsid w:val="00231B03"/>
    <w:rsid w:val="00231C3D"/>
    <w:rsid w:val="00231D42"/>
    <w:rsid w:val="00231D8A"/>
    <w:rsid w:val="00231E19"/>
    <w:rsid w:val="00231EC8"/>
    <w:rsid w:val="00231F3C"/>
    <w:rsid w:val="00231FBB"/>
    <w:rsid w:val="0023202E"/>
    <w:rsid w:val="002321D5"/>
    <w:rsid w:val="002324C3"/>
    <w:rsid w:val="002324C6"/>
    <w:rsid w:val="002325C4"/>
    <w:rsid w:val="002325FC"/>
    <w:rsid w:val="0023261C"/>
    <w:rsid w:val="00232724"/>
    <w:rsid w:val="00232733"/>
    <w:rsid w:val="00232798"/>
    <w:rsid w:val="002327A4"/>
    <w:rsid w:val="002329DA"/>
    <w:rsid w:val="002329F8"/>
    <w:rsid w:val="00232A88"/>
    <w:rsid w:val="00232AF9"/>
    <w:rsid w:val="00232B0B"/>
    <w:rsid w:val="00232B53"/>
    <w:rsid w:val="00232C6A"/>
    <w:rsid w:val="00232C7D"/>
    <w:rsid w:val="00232C92"/>
    <w:rsid w:val="00232D44"/>
    <w:rsid w:val="00232E0E"/>
    <w:rsid w:val="00232E7A"/>
    <w:rsid w:val="00232F55"/>
    <w:rsid w:val="00232F86"/>
    <w:rsid w:val="002330E5"/>
    <w:rsid w:val="00233222"/>
    <w:rsid w:val="00233354"/>
    <w:rsid w:val="0023336C"/>
    <w:rsid w:val="002333C6"/>
    <w:rsid w:val="00233563"/>
    <w:rsid w:val="00233688"/>
    <w:rsid w:val="002337F7"/>
    <w:rsid w:val="0023380B"/>
    <w:rsid w:val="0023394C"/>
    <w:rsid w:val="0023399D"/>
    <w:rsid w:val="00233B75"/>
    <w:rsid w:val="00233C0E"/>
    <w:rsid w:val="00233C75"/>
    <w:rsid w:val="00233C95"/>
    <w:rsid w:val="00233CD4"/>
    <w:rsid w:val="00233EE2"/>
    <w:rsid w:val="00233EF6"/>
    <w:rsid w:val="0023404F"/>
    <w:rsid w:val="0023416D"/>
    <w:rsid w:val="002341A6"/>
    <w:rsid w:val="002341AA"/>
    <w:rsid w:val="002341D1"/>
    <w:rsid w:val="002343FC"/>
    <w:rsid w:val="002345CC"/>
    <w:rsid w:val="002345F5"/>
    <w:rsid w:val="0023462D"/>
    <w:rsid w:val="00234640"/>
    <w:rsid w:val="0023466D"/>
    <w:rsid w:val="002346A7"/>
    <w:rsid w:val="00234853"/>
    <w:rsid w:val="002348BA"/>
    <w:rsid w:val="00234955"/>
    <w:rsid w:val="002349C2"/>
    <w:rsid w:val="00234A3A"/>
    <w:rsid w:val="00234B59"/>
    <w:rsid w:val="00234BD0"/>
    <w:rsid w:val="00234C22"/>
    <w:rsid w:val="00234C80"/>
    <w:rsid w:val="00234D43"/>
    <w:rsid w:val="00234DDA"/>
    <w:rsid w:val="00234DDB"/>
    <w:rsid w:val="00234E06"/>
    <w:rsid w:val="00234E69"/>
    <w:rsid w:val="00234F1C"/>
    <w:rsid w:val="00234FE3"/>
    <w:rsid w:val="002350B9"/>
    <w:rsid w:val="0023520B"/>
    <w:rsid w:val="002352B0"/>
    <w:rsid w:val="002353A2"/>
    <w:rsid w:val="0023557B"/>
    <w:rsid w:val="00235624"/>
    <w:rsid w:val="00235639"/>
    <w:rsid w:val="002356E3"/>
    <w:rsid w:val="0023580E"/>
    <w:rsid w:val="00235829"/>
    <w:rsid w:val="002358A1"/>
    <w:rsid w:val="002359E0"/>
    <w:rsid w:val="00235A6B"/>
    <w:rsid w:val="00235B32"/>
    <w:rsid w:val="00235C7A"/>
    <w:rsid w:val="00235DB7"/>
    <w:rsid w:val="00235DDE"/>
    <w:rsid w:val="00235DEE"/>
    <w:rsid w:val="00235E3A"/>
    <w:rsid w:val="00235EC2"/>
    <w:rsid w:val="00235EFF"/>
    <w:rsid w:val="00235F47"/>
    <w:rsid w:val="00235FA3"/>
    <w:rsid w:val="00236115"/>
    <w:rsid w:val="002361B6"/>
    <w:rsid w:val="0023629C"/>
    <w:rsid w:val="002362E7"/>
    <w:rsid w:val="00236312"/>
    <w:rsid w:val="00236433"/>
    <w:rsid w:val="00236464"/>
    <w:rsid w:val="00236905"/>
    <w:rsid w:val="00236B32"/>
    <w:rsid w:val="00236BBD"/>
    <w:rsid w:val="00236F30"/>
    <w:rsid w:val="00236F36"/>
    <w:rsid w:val="00236F69"/>
    <w:rsid w:val="00236F9C"/>
    <w:rsid w:val="00236FFF"/>
    <w:rsid w:val="00237009"/>
    <w:rsid w:val="00237028"/>
    <w:rsid w:val="00237102"/>
    <w:rsid w:val="0023714A"/>
    <w:rsid w:val="0023717B"/>
    <w:rsid w:val="002371C3"/>
    <w:rsid w:val="0023723C"/>
    <w:rsid w:val="002372A7"/>
    <w:rsid w:val="00237392"/>
    <w:rsid w:val="00237515"/>
    <w:rsid w:val="00237549"/>
    <w:rsid w:val="002375B9"/>
    <w:rsid w:val="00237620"/>
    <w:rsid w:val="00237677"/>
    <w:rsid w:val="0023773F"/>
    <w:rsid w:val="0023778C"/>
    <w:rsid w:val="002378E1"/>
    <w:rsid w:val="00237949"/>
    <w:rsid w:val="00237A2E"/>
    <w:rsid w:val="00237A32"/>
    <w:rsid w:val="00237AED"/>
    <w:rsid w:val="00237B6E"/>
    <w:rsid w:val="00237C93"/>
    <w:rsid w:val="00237D08"/>
    <w:rsid w:val="00237E63"/>
    <w:rsid w:val="00237F36"/>
    <w:rsid w:val="00237F6E"/>
    <w:rsid w:val="00240055"/>
    <w:rsid w:val="00240073"/>
    <w:rsid w:val="00240087"/>
    <w:rsid w:val="00240106"/>
    <w:rsid w:val="0024019C"/>
    <w:rsid w:val="0024019E"/>
    <w:rsid w:val="002401CC"/>
    <w:rsid w:val="002401F3"/>
    <w:rsid w:val="00240240"/>
    <w:rsid w:val="00240287"/>
    <w:rsid w:val="002402A9"/>
    <w:rsid w:val="002402AA"/>
    <w:rsid w:val="0024039C"/>
    <w:rsid w:val="002403CB"/>
    <w:rsid w:val="002403D5"/>
    <w:rsid w:val="0024040F"/>
    <w:rsid w:val="0024043C"/>
    <w:rsid w:val="00240452"/>
    <w:rsid w:val="0024054E"/>
    <w:rsid w:val="00240581"/>
    <w:rsid w:val="00240672"/>
    <w:rsid w:val="0024083D"/>
    <w:rsid w:val="00240A0D"/>
    <w:rsid w:val="00240A9D"/>
    <w:rsid w:val="00240B02"/>
    <w:rsid w:val="00240C1F"/>
    <w:rsid w:val="00240EA5"/>
    <w:rsid w:val="00241186"/>
    <w:rsid w:val="002411C7"/>
    <w:rsid w:val="002411EE"/>
    <w:rsid w:val="0024126D"/>
    <w:rsid w:val="002412AF"/>
    <w:rsid w:val="00241343"/>
    <w:rsid w:val="002414DD"/>
    <w:rsid w:val="002416E0"/>
    <w:rsid w:val="00241777"/>
    <w:rsid w:val="00241825"/>
    <w:rsid w:val="002418B5"/>
    <w:rsid w:val="002418CF"/>
    <w:rsid w:val="00241936"/>
    <w:rsid w:val="00241A01"/>
    <w:rsid w:val="00241B3D"/>
    <w:rsid w:val="00241B76"/>
    <w:rsid w:val="00241CA0"/>
    <w:rsid w:val="00241CC5"/>
    <w:rsid w:val="00241D35"/>
    <w:rsid w:val="00241FAD"/>
    <w:rsid w:val="00242017"/>
    <w:rsid w:val="0024203B"/>
    <w:rsid w:val="002420E1"/>
    <w:rsid w:val="0024215B"/>
    <w:rsid w:val="002422CF"/>
    <w:rsid w:val="002422E3"/>
    <w:rsid w:val="0024236C"/>
    <w:rsid w:val="002423D9"/>
    <w:rsid w:val="00242480"/>
    <w:rsid w:val="0024248E"/>
    <w:rsid w:val="0024257C"/>
    <w:rsid w:val="00242593"/>
    <w:rsid w:val="002425A0"/>
    <w:rsid w:val="002425E7"/>
    <w:rsid w:val="0024261F"/>
    <w:rsid w:val="002426DA"/>
    <w:rsid w:val="002426E2"/>
    <w:rsid w:val="00242750"/>
    <w:rsid w:val="002428AD"/>
    <w:rsid w:val="002429D4"/>
    <w:rsid w:val="002429DD"/>
    <w:rsid w:val="00242A20"/>
    <w:rsid w:val="00242A8E"/>
    <w:rsid w:val="00242AA7"/>
    <w:rsid w:val="00242B1B"/>
    <w:rsid w:val="00242C00"/>
    <w:rsid w:val="00242C08"/>
    <w:rsid w:val="00242C0B"/>
    <w:rsid w:val="00242C54"/>
    <w:rsid w:val="00242CC0"/>
    <w:rsid w:val="00242D95"/>
    <w:rsid w:val="00242DFA"/>
    <w:rsid w:val="00242DFB"/>
    <w:rsid w:val="00242E39"/>
    <w:rsid w:val="00242E53"/>
    <w:rsid w:val="00242F4D"/>
    <w:rsid w:val="00242F4E"/>
    <w:rsid w:val="00242FF0"/>
    <w:rsid w:val="002430B9"/>
    <w:rsid w:val="002431F7"/>
    <w:rsid w:val="00243261"/>
    <w:rsid w:val="00243276"/>
    <w:rsid w:val="0024344B"/>
    <w:rsid w:val="0024346E"/>
    <w:rsid w:val="002434A6"/>
    <w:rsid w:val="0024357F"/>
    <w:rsid w:val="00243588"/>
    <w:rsid w:val="002435FB"/>
    <w:rsid w:val="00243612"/>
    <w:rsid w:val="0024389D"/>
    <w:rsid w:val="00243964"/>
    <w:rsid w:val="002439C1"/>
    <w:rsid w:val="00243AC4"/>
    <w:rsid w:val="00243BA5"/>
    <w:rsid w:val="00243D9C"/>
    <w:rsid w:val="00243E2C"/>
    <w:rsid w:val="00243E95"/>
    <w:rsid w:val="00243EBA"/>
    <w:rsid w:val="00243F06"/>
    <w:rsid w:val="00244024"/>
    <w:rsid w:val="00244057"/>
    <w:rsid w:val="00244070"/>
    <w:rsid w:val="002441A2"/>
    <w:rsid w:val="002441DD"/>
    <w:rsid w:val="00244203"/>
    <w:rsid w:val="00244212"/>
    <w:rsid w:val="00244338"/>
    <w:rsid w:val="0024436A"/>
    <w:rsid w:val="002443A7"/>
    <w:rsid w:val="00244412"/>
    <w:rsid w:val="00244487"/>
    <w:rsid w:val="002444C0"/>
    <w:rsid w:val="002445E7"/>
    <w:rsid w:val="00244675"/>
    <w:rsid w:val="00244766"/>
    <w:rsid w:val="00244834"/>
    <w:rsid w:val="0024493E"/>
    <w:rsid w:val="0024494C"/>
    <w:rsid w:val="002449C2"/>
    <w:rsid w:val="002449C6"/>
    <w:rsid w:val="00244A89"/>
    <w:rsid w:val="00244C7E"/>
    <w:rsid w:val="00244CB6"/>
    <w:rsid w:val="00244D51"/>
    <w:rsid w:val="00244D57"/>
    <w:rsid w:val="00244DB1"/>
    <w:rsid w:val="00244F4E"/>
    <w:rsid w:val="00244F7F"/>
    <w:rsid w:val="00244FA6"/>
    <w:rsid w:val="00244FDA"/>
    <w:rsid w:val="002451C7"/>
    <w:rsid w:val="002451D0"/>
    <w:rsid w:val="00245227"/>
    <w:rsid w:val="002452A0"/>
    <w:rsid w:val="002453AC"/>
    <w:rsid w:val="00245426"/>
    <w:rsid w:val="0024543A"/>
    <w:rsid w:val="00245466"/>
    <w:rsid w:val="0024550F"/>
    <w:rsid w:val="0024567F"/>
    <w:rsid w:val="00245814"/>
    <w:rsid w:val="002458C9"/>
    <w:rsid w:val="00245900"/>
    <w:rsid w:val="00245920"/>
    <w:rsid w:val="00245B22"/>
    <w:rsid w:val="00245B46"/>
    <w:rsid w:val="00245BA9"/>
    <w:rsid w:val="00245C1B"/>
    <w:rsid w:val="00245C35"/>
    <w:rsid w:val="00245C47"/>
    <w:rsid w:val="00245C51"/>
    <w:rsid w:val="00245CC0"/>
    <w:rsid w:val="00245DCB"/>
    <w:rsid w:val="00245E10"/>
    <w:rsid w:val="00245EF7"/>
    <w:rsid w:val="00245FE1"/>
    <w:rsid w:val="00246044"/>
    <w:rsid w:val="00246150"/>
    <w:rsid w:val="002461B7"/>
    <w:rsid w:val="00246220"/>
    <w:rsid w:val="0024627E"/>
    <w:rsid w:val="002462A6"/>
    <w:rsid w:val="0024630A"/>
    <w:rsid w:val="002463A6"/>
    <w:rsid w:val="00246459"/>
    <w:rsid w:val="0024645F"/>
    <w:rsid w:val="002464AD"/>
    <w:rsid w:val="00246635"/>
    <w:rsid w:val="00246667"/>
    <w:rsid w:val="00246670"/>
    <w:rsid w:val="0024672D"/>
    <w:rsid w:val="0024674F"/>
    <w:rsid w:val="002468EA"/>
    <w:rsid w:val="00246926"/>
    <w:rsid w:val="002469DD"/>
    <w:rsid w:val="00246A04"/>
    <w:rsid w:val="00246ADB"/>
    <w:rsid w:val="00246B27"/>
    <w:rsid w:val="00246C41"/>
    <w:rsid w:val="00246CC0"/>
    <w:rsid w:val="00246D07"/>
    <w:rsid w:val="00246DC3"/>
    <w:rsid w:val="00246E37"/>
    <w:rsid w:val="00246EE6"/>
    <w:rsid w:val="00246F27"/>
    <w:rsid w:val="00246F78"/>
    <w:rsid w:val="0024704E"/>
    <w:rsid w:val="00247062"/>
    <w:rsid w:val="0024713B"/>
    <w:rsid w:val="0024722C"/>
    <w:rsid w:val="00247282"/>
    <w:rsid w:val="0024731F"/>
    <w:rsid w:val="00247381"/>
    <w:rsid w:val="002473D5"/>
    <w:rsid w:val="002473DF"/>
    <w:rsid w:val="00247413"/>
    <w:rsid w:val="002474D0"/>
    <w:rsid w:val="00247629"/>
    <w:rsid w:val="00247638"/>
    <w:rsid w:val="002476C9"/>
    <w:rsid w:val="002477EF"/>
    <w:rsid w:val="00247881"/>
    <w:rsid w:val="0024798A"/>
    <w:rsid w:val="00247AEB"/>
    <w:rsid w:val="00247B81"/>
    <w:rsid w:val="00247B9A"/>
    <w:rsid w:val="00247BA7"/>
    <w:rsid w:val="00247BBE"/>
    <w:rsid w:val="00247C11"/>
    <w:rsid w:val="00247D85"/>
    <w:rsid w:val="00247DB0"/>
    <w:rsid w:val="00247DB2"/>
    <w:rsid w:val="00247E4D"/>
    <w:rsid w:val="00247FAE"/>
    <w:rsid w:val="0025001A"/>
    <w:rsid w:val="00250025"/>
    <w:rsid w:val="002501DE"/>
    <w:rsid w:val="0025020D"/>
    <w:rsid w:val="00250268"/>
    <w:rsid w:val="00250285"/>
    <w:rsid w:val="0025037B"/>
    <w:rsid w:val="0025057B"/>
    <w:rsid w:val="00250661"/>
    <w:rsid w:val="002506C4"/>
    <w:rsid w:val="002506D9"/>
    <w:rsid w:val="00250706"/>
    <w:rsid w:val="00250712"/>
    <w:rsid w:val="00250729"/>
    <w:rsid w:val="00250934"/>
    <w:rsid w:val="00250940"/>
    <w:rsid w:val="00250956"/>
    <w:rsid w:val="00250AFE"/>
    <w:rsid w:val="00250B83"/>
    <w:rsid w:val="00250C51"/>
    <w:rsid w:val="00250C8F"/>
    <w:rsid w:val="00250D16"/>
    <w:rsid w:val="00250EAD"/>
    <w:rsid w:val="00250F65"/>
    <w:rsid w:val="00250F8B"/>
    <w:rsid w:val="00250F9F"/>
    <w:rsid w:val="00250FAB"/>
    <w:rsid w:val="00250FED"/>
    <w:rsid w:val="00251072"/>
    <w:rsid w:val="00251154"/>
    <w:rsid w:val="00251220"/>
    <w:rsid w:val="00251275"/>
    <w:rsid w:val="002512B3"/>
    <w:rsid w:val="002512F0"/>
    <w:rsid w:val="00251335"/>
    <w:rsid w:val="00251351"/>
    <w:rsid w:val="0025137B"/>
    <w:rsid w:val="002513E2"/>
    <w:rsid w:val="002514ED"/>
    <w:rsid w:val="0025153E"/>
    <w:rsid w:val="00251612"/>
    <w:rsid w:val="0025162D"/>
    <w:rsid w:val="00251796"/>
    <w:rsid w:val="002517A5"/>
    <w:rsid w:val="0025189E"/>
    <w:rsid w:val="002518AB"/>
    <w:rsid w:val="0025198C"/>
    <w:rsid w:val="00251B20"/>
    <w:rsid w:val="00251BA6"/>
    <w:rsid w:val="00251C26"/>
    <w:rsid w:val="00251C77"/>
    <w:rsid w:val="00251C7C"/>
    <w:rsid w:val="00251C86"/>
    <w:rsid w:val="00251CA9"/>
    <w:rsid w:val="00251D3B"/>
    <w:rsid w:val="00251D61"/>
    <w:rsid w:val="00251E78"/>
    <w:rsid w:val="00251EE3"/>
    <w:rsid w:val="00251F07"/>
    <w:rsid w:val="00251F6C"/>
    <w:rsid w:val="002520A7"/>
    <w:rsid w:val="002520EB"/>
    <w:rsid w:val="002520EF"/>
    <w:rsid w:val="0025216F"/>
    <w:rsid w:val="00252191"/>
    <w:rsid w:val="00252288"/>
    <w:rsid w:val="002522C6"/>
    <w:rsid w:val="002522E1"/>
    <w:rsid w:val="002522EE"/>
    <w:rsid w:val="0025230E"/>
    <w:rsid w:val="00252377"/>
    <w:rsid w:val="0025239E"/>
    <w:rsid w:val="002523B7"/>
    <w:rsid w:val="002523CF"/>
    <w:rsid w:val="00252426"/>
    <w:rsid w:val="00252450"/>
    <w:rsid w:val="00252469"/>
    <w:rsid w:val="0025249C"/>
    <w:rsid w:val="0025260B"/>
    <w:rsid w:val="00252616"/>
    <w:rsid w:val="0025264B"/>
    <w:rsid w:val="002526C0"/>
    <w:rsid w:val="00252856"/>
    <w:rsid w:val="0025289B"/>
    <w:rsid w:val="00252925"/>
    <w:rsid w:val="00252942"/>
    <w:rsid w:val="00252953"/>
    <w:rsid w:val="002529EA"/>
    <w:rsid w:val="002529F3"/>
    <w:rsid w:val="00252B00"/>
    <w:rsid w:val="00252B21"/>
    <w:rsid w:val="00252B65"/>
    <w:rsid w:val="00252C42"/>
    <w:rsid w:val="00252CC5"/>
    <w:rsid w:val="00252DF1"/>
    <w:rsid w:val="00252E0B"/>
    <w:rsid w:val="00252F90"/>
    <w:rsid w:val="00252FDE"/>
    <w:rsid w:val="00253091"/>
    <w:rsid w:val="00253152"/>
    <w:rsid w:val="0025317D"/>
    <w:rsid w:val="002531F6"/>
    <w:rsid w:val="0025320A"/>
    <w:rsid w:val="0025329F"/>
    <w:rsid w:val="002532E4"/>
    <w:rsid w:val="0025337A"/>
    <w:rsid w:val="00253384"/>
    <w:rsid w:val="0025345D"/>
    <w:rsid w:val="0025349F"/>
    <w:rsid w:val="002534B5"/>
    <w:rsid w:val="002535E3"/>
    <w:rsid w:val="0025364E"/>
    <w:rsid w:val="00253708"/>
    <w:rsid w:val="002537BB"/>
    <w:rsid w:val="00253819"/>
    <w:rsid w:val="0025381D"/>
    <w:rsid w:val="002538B2"/>
    <w:rsid w:val="002538C5"/>
    <w:rsid w:val="002538D6"/>
    <w:rsid w:val="002538E8"/>
    <w:rsid w:val="00253961"/>
    <w:rsid w:val="002539ED"/>
    <w:rsid w:val="00253A05"/>
    <w:rsid w:val="00253A2B"/>
    <w:rsid w:val="00253AB0"/>
    <w:rsid w:val="00253B30"/>
    <w:rsid w:val="00253C51"/>
    <w:rsid w:val="00253CAC"/>
    <w:rsid w:val="00253CBE"/>
    <w:rsid w:val="00253EBE"/>
    <w:rsid w:val="00253F01"/>
    <w:rsid w:val="0025401D"/>
    <w:rsid w:val="00254023"/>
    <w:rsid w:val="00254121"/>
    <w:rsid w:val="0025414D"/>
    <w:rsid w:val="002541FE"/>
    <w:rsid w:val="002542BC"/>
    <w:rsid w:val="002542C2"/>
    <w:rsid w:val="0025431E"/>
    <w:rsid w:val="00254354"/>
    <w:rsid w:val="002543AC"/>
    <w:rsid w:val="002543E5"/>
    <w:rsid w:val="00254401"/>
    <w:rsid w:val="0025440D"/>
    <w:rsid w:val="0025449F"/>
    <w:rsid w:val="0025450D"/>
    <w:rsid w:val="0025450E"/>
    <w:rsid w:val="0025451F"/>
    <w:rsid w:val="00254594"/>
    <w:rsid w:val="002545D8"/>
    <w:rsid w:val="0025465F"/>
    <w:rsid w:val="002546DC"/>
    <w:rsid w:val="0025475E"/>
    <w:rsid w:val="002547A2"/>
    <w:rsid w:val="00254850"/>
    <w:rsid w:val="00254874"/>
    <w:rsid w:val="00254A40"/>
    <w:rsid w:val="00254A89"/>
    <w:rsid w:val="00254AF0"/>
    <w:rsid w:val="00254AFD"/>
    <w:rsid w:val="00254B18"/>
    <w:rsid w:val="00254C60"/>
    <w:rsid w:val="00254CCF"/>
    <w:rsid w:val="00254DBA"/>
    <w:rsid w:val="00254F59"/>
    <w:rsid w:val="00254FB3"/>
    <w:rsid w:val="00254FF6"/>
    <w:rsid w:val="0025505A"/>
    <w:rsid w:val="0025514A"/>
    <w:rsid w:val="00255152"/>
    <w:rsid w:val="002551DB"/>
    <w:rsid w:val="0025525D"/>
    <w:rsid w:val="002553AA"/>
    <w:rsid w:val="002553C6"/>
    <w:rsid w:val="002553E6"/>
    <w:rsid w:val="00255448"/>
    <w:rsid w:val="00255450"/>
    <w:rsid w:val="00255475"/>
    <w:rsid w:val="002554BA"/>
    <w:rsid w:val="0025551D"/>
    <w:rsid w:val="0025554E"/>
    <w:rsid w:val="0025575A"/>
    <w:rsid w:val="002557F0"/>
    <w:rsid w:val="0025593D"/>
    <w:rsid w:val="00255A7E"/>
    <w:rsid w:val="00255BC2"/>
    <w:rsid w:val="00255BCD"/>
    <w:rsid w:val="00255BF6"/>
    <w:rsid w:val="00255CFA"/>
    <w:rsid w:val="00255E24"/>
    <w:rsid w:val="00256062"/>
    <w:rsid w:val="002560A9"/>
    <w:rsid w:val="002560D7"/>
    <w:rsid w:val="00256122"/>
    <w:rsid w:val="00256287"/>
    <w:rsid w:val="0025640B"/>
    <w:rsid w:val="002564D6"/>
    <w:rsid w:val="0025650C"/>
    <w:rsid w:val="0025658D"/>
    <w:rsid w:val="002565BC"/>
    <w:rsid w:val="002565C3"/>
    <w:rsid w:val="002566A9"/>
    <w:rsid w:val="00256750"/>
    <w:rsid w:val="0025675E"/>
    <w:rsid w:val="002568E7"/>
    <w:rsid w:val="00256912"/>
    <w:rsid w:val="00256A11"/>
    <w:rsid w:val="00256A5A"/>
    <w:rsid w:val="00256A76"/>
    <w:rsid w:val="00256B82"/>
    <w:rsid w:val="00256B94"/>
    <w:rsid w:val="00256BCF"/>
    <w:rsid w:val="00256E2B"/>
    <w:rsid w:val="0025706C"/>
    <w:rsid w:val="002570D3"/>
    <w:rsid w:val="00257195"/>
    <w:rsid w:val="002571AC"/>
    <w:rsid w:val="002571DC"/>
    <w:rsid w:val="00257218"/>
    <w:rsid w:val="0025725F"/>
    <w:rsid w:val="0025740D"/>
    <w:rsid w:val="002575B1"/>
    <w:rsid w:val="0025767C"/>
    <w:rsid w:val="00257776"/>
    <w:rsid w:val="0025785F"/>
    <w:rsid w:val="0025788D"/>
    <w:rsid w:val="00257A13"/>
    <w:rsid w:val="00257AB5"/>
    <w:rsid w:val="00257E2B"/>
    <w:rsid w:val="00257F5A"/>
    <w:rsid w:val="00257F6E"/>
    <w:rsid w:val="00257F89"/>
    <w:rsid w:val="00257FE1"/>
    <w:rsid w:val="00260019"/>
    <w:rsid w:val="002600F5"/>
    <w:rsid w:val="002601F2"/>
    <w:rsid w:val="0026026E"/>
    <w:rsid w:val="00260362"/>
    <w:rsid w:val="002603AB"/>
    <w:rsid w:val="002603E1"/>
    <w:rsid w:val="002604F2"/>
    <w:rsid w:val="0026058F"/>
    <w:rsid w:val="002606A8"/>
    <w:rsid w:val="00260713"/>
    <w:rsid w:val="002607ED"/>
    <w:rsid w:val="002608A0"/>
    <w:rsid w:val="00260916"/>
    <w:rsid w:val="002609C4"/>
    <w:rsid w:val="00260A30"/>
    <w:rsid w:val="00260AC1"/>
    <w:rsid w:val="00260B17"/>
    <w:rsid w:val="00260B2E"/>
    <w:rsid w:val="00260BBE"/>
    <w:rsid w:val="00260BCC"/>
    <w:rsid w:val="00260C45"/>
    <w:rsid w:val="00260C8E"/>
    <w:rsid w:val="00260C9D"/>
    <w:rsid w:val="00260DE8"/>
    <w:rsid w:val="00260E12"/>
    <w:rsid w:val="00260E4B"/>
    <w:rsid w:val="00261001"/>
    <w:rsid w:val="002610DF"/>
    <w:rsid w:val="0026111C"/>
    <w:rsid w:val="00261327"/>
    <w:rsid w:val="002614B9"/>
    <w:rsid w:val="0026150D"/>
    <w:rsid w:val="00261523"/>
    <w:rsid w:val="0026157A"/>
    <w:rsid w:val="00261596"/>
    <w:rsid w:val="002615DD"/>
    <w:rsid w:val="0026172B"/>
    <w:rsid w:val="00261740"/>
    <w:rsid w:val="002617B2"/>
    <w:rsid w:val="002617CA"/>
    <w:rsid w:val="0026189C"/>
    <w:rsid w:val="002618E0"/>
    <w:rsid w:val="00261976"/>
    <w:rsid w:val="00261A32"/>
    <w:rsid w:val="00261ABC"/>
    <w:rsid w:val="00261C1E"/>
    <w:rsid w:val="00261C2A"/>
    <w:rsid w:val="00261E1B"/>
    <w:rsid w:val="00261F2E"/>
    <w:rsid w:val="00261F41"/>
    <w:rsid w:val="002620D1"/>
    <w:rsid w:val="0026214D"/>
    <w:rsid w:val="002621C0"/>
    <w:rsid w:val="002622E0"/>
    <w:rsid w:val="0026231C"/>
    <w:rsid w:val="002623BC"/>
    <w:rsid w:val="00262416"/>
    <w:rsid w:val="002624B8"/>
    <w:rsid w:val="002624D7"/>
    <w:rsid w:val="002624DD"/>
    <w:rsid w:val="002625AC"/>
    <w:rsid w:val="002625B6"/>
    <w:rsid w:val="002625DE"/>
    <w:rsid w:val="002625F1"/>
    <w:rsid w:val="002625F5"/>
    <w:rsid w:val="00262661"/>
    <w:rsid w:val="002626D0"/>
    <w:rsid w:val="00262770"/>
    <w:rsid w:val="002628BE"/>
    <w:rsid w:val="002628C2"/>
    <w:rsid w:val="00262901"/>
    <w:rsid w:val="00262981"/>
    <w:rsid w:val="002629A1"/>
    <w:rsid w:val="002629CC"/>
    <w:rsid w:val="00262AAC"/>
    <w:rsid w:val="00262B44"/>
    <w:rsid w:val="00262D60"/>
    <w:rsid w:val="00262DB0"/>
    <w:rsid w:val="00262F2B"/>
    <w:rsid w:val="002632A7"/>
    <w:rsid w:val="00263310"/>
    <w:rsid w:val="00263379"/>
    <w:rsid w:val="0026346D"/>
    <w:rsid w:val="002634DC"/>
    <w:rsid w:val="00263527"/>
    <w:rsid w:val="002635C0"/>
    <w:rsid w:val="002635DC"/>
    <w:rsid w:val="002635F5"/>
    <w:rsid w:val="0026360C"/>
    <w:rsid w:val="0026362C"/>
    <w:rsid w:val="00263670"/>
    <w:rsid w:val="002638F4"/>
    <w:rsid w:val="00263947"/>
    <w:rsid w:val="0026395C"/>
    <w:rsid w:val="00263964"/>
    <w:rsid w:val="00263A65"/>
    <w:rsid w:val="00263AA6"/>
    <w:rsid w:val="00263B04"/>
    <w:rsid w:val="00263B8C"/>
    <w:rsid w:val="00263BEC"/>
    <w:rsid w:val="00263C95"/>
    <w:rsid w:val="00263D15"/>
    <w:rsid w:val="00263D49"/>
    <w:rsid w:val="00263D5E"/>
    <w:rsid w:val="00263D63"/>
    <w:rsid w:val="00263D94"/>
    <w:rsid w:val="00264066"/>
    <w:rsid w:val="00264120"/>
    <w:rsid w:val="00264178"/>
    <w:rsid w:val="00264361"/>
    <w:rsid w:val="002643AB"/>
    <w:rsid w:val="0026443E"/>
    <w:rsid w:val="002644BC"/>
    <w:rsid w:val="00264514"/>
    <w:rsid w:val="0026456A"/>
    <w:rsid w:val="002645A0"/>
    <w:rsid w:val="002645CE"/>
    <w:rsid w:val="002645D7"/>
    <w:rsid w:val="00264632"/>
    <w:rsid w:val="002646EB"/>
    <w:rsid w:val="002646FA"/>
    <w:rsid w:val="0026471A"/>
    <w:rsid w:val="0026479C"/>
    <w:rsid w:val="00264ACA"/>
    <w:rsid w:val="00264BCD"/>
    <w:rsid w:val="00264C39"/>
    <w:rsid w:val="00264CEE"/>
    <w:rsid w:val="00264D66"/>
    <w:rsid w:val="00264DAF"/>
    <w:rsid w:val="00264F25"/>
    <w:rsid w:val="00264F61"/>
    <w:rsid w:val="00265099"/>
    <w:rsid w:val="0026559D"/>
    <w:rsid w:val="002655E0"/>
    <w:rsid w:val="0026560E"/>
    <w:rsid w:val="00265674"/>
    <w:rsid w:val="00265689"/>
    <w:rsid w:val="002656B5"/>
    <w:rsid w:val="0026571A"/>
    <w:rsid w:val="0026574C"/>
    <w:rsid w:val="002658D7"/>
    <w:rsid w:val="00265A72"/>
    <w:rsid w:val="00265AED"/>
    <w:rsid w:val="00265C8C"/>
    <w:rsid w:val="00265CF8"/>
    <w:rsid w:val="00265D4E"/>
    <w:rsid w:val="00265D70"/>
    <w:rsid w:val="00265EA4"/>
    <w:rsid w:val="00265EC7"/>
    <w:rsid w:val="00265EF9"/>
    <w:rsid w:val="00265F32"/>
    <w:rsid w:val="0026608A"/>
    <w:rsid w:val="002661D5"/>
    <w:rsid w:val="00266239"/>
    <w:rsid w:val="0026623B"/>
    <w:rsid w:val="00266409"/>
    <w:rsid w:val="00266543"/>
    <w:rsid w:val="0026655A"/>
    <w:rsid w:val="002665C1"/>
    <w:rsid w:val="0026666E"/>
    <w:rsid w:val="0026666F"/>
    <w:rsid w:val="0026668F"/>
    <w:rsid w:val="002666AE"/>
    <w:rsid w:val="00266794"/>
    <w:rsid w:val="002667A3"/>
    <w:rsid w:val="002667D5"/>
    <w:rsid w:val="002667E6"/>
    <w:rsid w:val="0026688E"/>
    <w:rsid w:val="002668AD"/>
    <w:rsid w:val="0026697F"/>
    <w:rsid w:val="002669DF"/>
    <w:rsid w:val="00266B62"/>
    <w:rsid w:val="00266D37"/>
    <w:rsid w:val="00266E0D"/>
    <w:rsid w:val="00266E51"/>
    <w:rsid w:val="00266EA2"/>
    <w:rsid w:val="00266EC2"/>
    <w:rsid w:val="00266F49"/>
    <w:rsid w:val="00266F6F"/>
    <w:rsid w:val="00266F9F"/>
    <w:rsid w:val="00266FFA"/>
    <w:rsid w:val="0026708D"/>
    <w:rsid w:val="00267198"/>
    <w:rsid w:val="002671EA"/>
    <w:rsid w:val="00267246"/>
    <w:rsid w:val="00267383"/>
    <w:rsid w:val="002673EC"/>
    <w:rsid w:val="002674D2"/>
    <w:rsid w:val="00267549"/>
    <w:rsid w:val="00267667"/>
    <w:rsid w:val="00267699"/>
    <w:rsid w:val="002676CA"/>
    <w:rsid w:val="002676D1"/>
    <w:rsid w:val="0026770C"/>
    <w:rsid w:val="0026771A"/>
    <w:rsid w:val="002677EB"/>
    <w:rsid w:val="0026782D"/>
    <w:rsid w:val="0026784B"/>
    <w:rsid w:val="00267855"/>
    <w:rsid w:val="00267897"/>
    <w:rsid w:val="00267944"/>
    <w:rsid w:val="00267EA8"/>
    <w:rsid w:val="00267F8C"/>
    <w:rsid w:val="002701B2"/>
    <w:rsid w:val="00270477"/>
    <w:rsid w:val="00270504"/>
    <w:rsid w:val="00270574"/>
    <w:rsid w:val="00270647"/>
    <w:rsid w:val="00270691"/>
    <w:rsid w:val="00270948"/>
    <w:rsid w:val="00270960"/>
    <w:rsid w:val="00270A3E"/>
    <w:rsid w:val="00270A64"/>
    <w:rsid w:val="00270A86"/>
    <w:rsid w:val="00270AA7"/>
    <w:rsid w:val="00270ABC"/>
    <w:rsid w:val="00270C6E"/>
    <w:rsid w:val="00270D69"/>
    <w:rsid w:val="00270DEC"/>
    <w:rsid w:val="00270E36"/>
    <w:rsid w:val="00270FA3"/>
    <w:rsid w:val="00271024"/>
    <w:rsid w:val="0027105C"/>
    <w:rsid w:val="002710B1"/>
    <w:rsid w:val="002710D3"/>
    <w:rsid w:val="00271216"/>
    <w:rsid w:val="002713A2"/>
    <w:rsid w:val="00271419"/>
    <w:rsid w:val="0027154B"/>
    <w:rsid w:val="002715E1"/>
    <w:rsid w:val="002715F8"/>
    <w:rsid w:val="0027160C"/>
    <w:rsid w:val="002716B4"/>
    <w:rsid w:val="0027171E"/>
    <w:rsid w:val="0027175E"/>
    <w:rsid w:val="002717FE"/>
    <w:rsid w:val="002719BD"/>
    <w:rsid w:val="00271A31"/>
    <w:rsid w:val="00271A53"/>
    <w:rsid w:val="00271A8A"/>
    <w:rsid w:val="00271A9B"/>
    <w:rsid w:val="00271B42"/>
    <w:rsid w:val="00271D8B"/>
    <w:rsid w:val="00271E6B"/>
    <w:rsid w:val="00271E86"/>
    <w:rsid w:val="00271EBA"/>
    <w:rsid w:val="00271EF7"/>
    <w:rsid w:val="00271FF9"/>
    <w:rsid w:val="00272041"/>
    <w:rsid w:val="00272043"/>
    <w:rsid w:val="00272184"/>
    <w:rsid w:val="002721B4"/>
    <w:rsid w:val="002722B6"/>
    <w:rsid w:val="00272314"/>
    <w:rsid w:val="00272529"/>
    <w:rsid w:val="002725EB"/>
    <w:rsid w:val="00272650"/>
    <w:rsid w:val="00272671"/>
    <w:rsid w:val="00272736"/>
    <w:rsid w:val="00272849"/>
    <w:rsid w:val="002728FF"/>
    <w:rsid w:val="00272900"/>
    <w:rsid w:val="00272912"/>
    <w:rsid w:val="00272922"/>
    <w:rsid w:val="00272960"/>
    <w:rsid w:val="00272A25"/>
    <w:rsid w:val="00272A35"/>
    <w:rsid w:val="00272A38"/>
    <w:rsid w:val="00272BE8"/>
    <w:rsid w:val="00272E59"/>
    <w:rsid w:val="00272E7B"/>
    <w:rsid w:val="0027319A"/>
    <w:rsid w:val="0027320D"/>
    <w:rsid w:val="00273215"/>
    <w:rsid w:val="00273236"/>
    <w:rsid w:val="00273347"/>
    <w:rsid w:val="0027354E"/>
    <w:rsid w:val="00273552"/>
    <w:rsid w:val="00273574"/>
    <w:rsid w:val="00273596"/>
    <w:rsid w:val="002735D1"/>
    <w:rsid w:val="00273710"/>
    <w:rsid w:val="0027379C"/>
    <w:rsid w:val="002739C3"/>
    <w:rsid w:val="002739C5"/>
    <w:rsid w:val="00273A7D"/>
    <w:rsid w:val="00273B38"/>
    <w:rsid w:val="00273B8B"/>
    <w:rsid w:val="00273CB2"/>
    <w:rsid w:val="00273D77"/>
    <w:rsid w:val="00274049"/>
    <w:rsid w:val="00274103"/>
    <w:rsid w:val="00274144"/>
    <w:rsid w:val="0027419A"/>
    <w:rsid w:val="002741EA"/>
    <w:rsid w:val="0027422A"/>
    <w:rsid w:val="002742B4"/>
    <w:rsid w:val="00274331"/>
    <w:rsid w:val="002743BF"/>
    <w:rsid w:val="00274460"/>
    <w:rsid w:val="00274648"/>
    <w:rsid w:val="00274661"/>
    <w:rsid w:val="00274711"/>
    <w:rsid w:val="00274895"/>
    <w:rsid w:val="002748B3"/>
    <w:rsid w:val="002748CC"/>
    <w:rsid w:val="0027496A"/>
    <w:rsid w:val="00274A4A"/>
    <w:rsid w:val="00274A8A"/>
    <w:rsid w:val="00274AFB"/>
    <w:rsid w:val="00274BD6"/>
    <w:rsid w:val="00274C4F"/>
    <w:rsid w:val="00274D16"/>
    <w:rsid w:val="00274DDE"/>
    <w:rsid w:val="00274FF4"/>
    <w:rsid w:val="0027507A"/>
    <w:rsid w:val="002750F2"/>
    <w:rsid w:val="002751D1"/>
    <w:rsid w:val="00275209"/>
    <w:rsid w:val="00275280"/>
    <w:rsid w:val="002752CB"/>
    <w:rsid w:val="002752DC"/>
    <w:rsid w:val="002753FB"/>
    <w:rsid w:val="002755B9"/>
    <w:rsid w:val="00275630"/>
    <w:rsid w:val="00275654"/>
    <w:rsid w:val="002756B2"/>
    <w:rsid w:val="00275705"/>
    <w:rsid w:val="0027571D"/>
    <w:rsid w:val="00275801"/>
    <w:rsid w:val="00275886"/>
    <w:rsid w:val="002758BF"/>
    <w:rsid w:val="002759E4"/>
    <w:rsid w:val="002759F7"/>
    <w:rsid w:val="00275AF5"/>
    <w:rsid w:val="00275DE5"/>
    <w:rsid w:val="00275ED0"/>
    <w:rsid w:val="00275EE2"/>
    <w:rsid w:val="00275EF2"/>
    <w:rsid w:val="0027605B"/>
    <w:rsid w:val="002760DF"/>
    <w:rsid w:val="002761C9"/>
    <w:rsid w:val="002762F1"/>
    <w:rsid w:val="00276324"/>
    <w:rsid w:val="00276492"/>
    <w:rsid w:val="002764DB"/>
    <w:rsid w:val="00276521"/>
    <w:rsid w:val="00276849"/>
    <w:rsid w:val="00276A59"/>
    <w:rsid w:val="00276A75"/>
    <w:rsid w:val="00276BAF"/>
    <w:rsid w:val="00276C30"/>
    <w:rsid w:val="00276CD6"/>
    <w:rsid w:val="00276D6D"/>
    <w:rsid w:val="00276D9F"/>
    <w:rsid w:val="00276DD4"/>
    <w:rsid w:val="00276E89"/>
    <w:rsid w:val="00276EF3"/>
    <w:rsid w:val="00277022"/>
    <w:rsid w:val="00277043"/>
    <w:rsid w:val="00277119"/>
    <w:rsid w:val="0027717A"/>
    <w:rsid w:val="00277262"/>
    <w:rsid w:val="00277455"/>
    <w:rsid w:val="002774C8"/>
    <w:rsid w:val="00277511"/>
    <w:rsid w:val="00277674"/>
    <w:rsid w:val="002776C1"/>
    <w:rsid w:val="002777DD"/>
    <w:rsid w:val="0027783D"/>
    <w:rsid w:val="00277A47"/>
    <w:rsid w:val="00277ACD"/>
    <w:rsid w:val="00277C9B"/>
    <w:rsid w:val="00277CBE"/>
    <w:rsid w:val="00277D13"/>
    <w:rsid w:val="00277D38"/>
    <w:rsid w:val="00277D5D"/>
    <w:rsid w:val="00277DCD"/>
    <w:rsid w:val="00277EC1"/>
    <w:rsid w:val="00277FD8"/>
    <w:rsid w:val="00280080"/>
    <w:rsid w:val="002800BD"/>
    <w:rsid w:val="00280260"/>
    <w:rsid w:val="0028046C"/>
    <w:rsid w:val="002804A5"/>
    <w:rsid w:val="002804EE"/>
    <w:rsid w:val="002805BC"/>
    <w:rsid w:val="002805F0"/>
    <w:rsid w:val="0028062D"/>
    <w:rsid w:val="00280703"/>
    <w:rsid w:val="0028070D"/>
    <w:rsid w:val="00280754"/>
    <w:rsid w:val="002808F6"/>
    <w:rsid w:val="002809DE"/>
    <w:rsid w:val="00280AFA"/>
    <w:rsid w:val="00280AFB"/>
    <w:rsid w:val="00280B84"/>
    <w:rsid w:val="00280BDD"/>
    <w:rsid w:val="00280C28"/>
    <w:rsid w:val="00280CB1"/>
    <w:rsid w:val="00280DD9"/>
    <w:rsid w:val="00280F7C"/>
    <w:rsid w:val="00280FB5"/>
    <w:rsid w:val="00281020"/>
    <w:rsid w:val="002810C2"/>
    <w:rsid w:val="0028113B"/>
    <w:rsid w:val="002812AC"/>
    <w:rsid w:val="002812CB"/>
    <w:rsid w:val="002812E5"/>
    <w:rsid w:val="002813C7"/>
    <w:rsid w:val="002813CE"/>
    <w:rsid w:val="002813F3"/>
    <w:rsid w:val="00281537"/>
    <w:rsid w:val="0028154D"/>
    <w:rsid w:val="0028157A"/>
    <w:rsid w:val="00281677"/>
    <w:rsid w:val="002816A6"/>
    <w:rsid w:val="002816DE"/>
    <w:rsid w:val="002818C4"/>
    <w:rsid w:val="0028197B"/>
    <w:rsid w:val="002819B7"/>
    <w:rsid w:val="00281AEA"/>
    <w:rsid w:val="00281B6E"/>
    <w:rsid w:val="00281E13"/>
    <w:rsid w:val="00281EF6"/>
    <w:rsid w:val="00281F84"/>
    <w:rsid w:val="00281F9E"/>
    <w:rsid w:val="0028203C"/>
    <w:rsid w:val="002820CA"/>
    <w:rsid w:val="00282149"/>
    <w:rsid w:val="002821E7"/>
    <w:rsid w:val="00282266"/>
    <w:rsid w:val="0028228F"/>
    <w:rsid w:val="002822D6"/>
    <w:rsid w:val="00282366"/>
    <w:rsid w:val="00282468"/>
    <w:rsid w:val="002824A4"/>
    <w:rsid w:val="002825DB"/>
    <w:rsid w:val="0028264F"/>
    <w:rsid w:val="0028268C"/>
    <w:rsid w:val="002827BE"/>
    <w:rsid w:val="002827C1"/>
    <w:rsid w:val="00282880"/>
    <w:rsid w:val="0028289A"/>
    <w:rsid w:val="0028292E"/>
    <w:rsid w:val="00282966"/>
    <w:rsid w:val="002829D7"/>
    <w:rsid w:val="00282ABA"/>
    <w:rsid w:val="00282AF8"/>
    <w:rsid w:val="00282B1F"/>
    <w:rsid w:val="00282BFD"/>
    <w:rsid w:val="00282C15"/>
    <w:rsid w:val="00282CEC"/>
    <w:rsid w:val="00282FA8"/>
    <w:rsid w:val="002830B7"/>
    <w:rsid w:val="00283132"/>
    <w:rsid w:val="0028323C"/>
    <w:rsid w:val="002832FB"/>
    <w:rsid w:val="00283406"/>
    <w:rsid w:val="00283422"/>
    <w:rsid w:val="0028342F"/>
    <w:rsid w:val="002834D3"/>
    <w:rsid w:val="0028350D"/>
    <w:rsid w:val="002835FD"/>
    <w:rsid w:val="00283872"/>
    <w:rsid w:val="002839C2"/>
    <w:rsid w:val="00283A9C"/>
    <w:rsid w:val="00283BB2"/>
    <w:rsid w:val="00283DAC"/>
    <w:rsid w:val="00283E94"/>
    <w:rsid w:val="00283EDC"/>
    <w:rsid w:val="00284040"/>
    <w:rsid w:val="00284087"/>
    <w:rsid w:val="00284242"/>
    <w:rsid w:val="00284340"/>
    <w:rsid w:val="0028439D"/>
    <w:rsid w:val="002844E9"/>
    <w:rsid w:val="00284651"/>
    <w:rsid w:val="0028468A"/>
    <w:rsid w:val="002846F9"/>
    <w:rsid w:val="00284700"/>
    <w:rsid w:val="00284997"/>
    <w:rsid w:val="002849DE"/>
    <w:rsid w:val="00284A0D"/>
    <w:rsid w:val="00284A8E"/>
    <w:rsid w:val="00284AC5"/>
    <w:rsid w:val="00284B14"/>
    <w:rsid w:val="00284B76"/>
    <w:rsid w:val="00284C0D"/>
    <w:rsid w:val="00284D57"/>
    <w:rsid w:val="00284ECB"/>
    <w:rsid w:val="00284F33"/>
    <w:rsid w:val="00284F49"/>
    <w:rsid w:val="00284FA9"/>
    <w:rsid w:val="002850F1"/>
    <w:rsid w:val="00285127"/>
    <w:rsid w:val="002851CF"/>
    <w:rsid w:val="00285216"/>
    <w:rsid w:val="002853C3"/>
    <w:rsid w:val="002853C4"/>
    <w:rsid w:val="002853C7"/>
    <w:rsid w:val="00285481"/>
    <w:rsid w:val="002854CA"/>
    <w:rsid w:val="002854E9"/>
    <w:rsid w:val="002855F5"/>
    <w:rsid w:val="00285665"/>
    <w:rsid w:val="002857E2"/>
    <w:rsid w:val="0028583A"/>
    <w:rsid w:val="00285891"/>
    <w:rsid w:val="002859F8"/>
    <w:rsid w:val="00285BC6"/>
    <w:rsid w:val="00285C60"/>
    <w:rsid w:val="00285CFF"/>
    <w:rsid w:val="00285D4C"/>
    <w:rsid w:val="00285D7E"/>
    <w:rsid w:val="00285E13"/>
    <w:rsid w:val="00285E16"/>
    <w:rsid w:val="00285EFB"/>
    <w:rsid w:val="00285FB8"/>
    <w:rsid w:val="0028605F"/>
    <w:rsid w:val="002860B5"/>
    <w:rsid w:val="0028611D"/>
    <w:rsid w:val="00286128"/>
    <w:rsid w:val="00286236"/>
    <w:rsid w:val="00286275"/>
    <w:rsid w:val="00286295"/>
    <w:rsid w:val="002862FA"/>
    <w:rsid w:val="002863D0"/>
    <w:rsid w:val="002864B3"/>
    <w:rsid w:val="00286509"/>
    <w:rsid w:val="002865B5"/>
    <w:rsid w:val="002865BC"/>
    <w:rsid w:val="002866AD"/>
    <w:rsid w:val="00286753"/>
    <w:rsid w:val="00286812"/>
    <w:rsid w:val="0028681F"/>
    <w:rsid w:val="00286862"/>
    <w:rsid w:val="0028694C"/>
    <w:rsid w:val="002869E8"/>
    <w:rsid w:val="00286AB9"/>
    <w:rsid w:val="00286AE2"/>
    <w:rsid w:val="00286B37"/>
    <w:rsid w:val="00286C6B"/>
    <w:rsid w:val="00286D85"/>
    <w:rsid w:val="00286E3D"/>
    <w:rsid w:val="00286E6C"/>
    <w:rsid w:val="00286FB2"/>
    <w:rsid w:val="002870CF"/>
    <w:rsid w:val="002870D9"/>
    <w:rsid w:val="002870F1"/>
    <w:rsid w:val="0028714A"/>
    <w:rsid w:val="00287158"/>
    <w:rsid w:val="002871A0"/>
    <w:rsid w:val="002871B7"/>
    <w:rsid w:val="00287219"/>
    <w:rsid w:val="002872D1"/>
    <w:rsid w:val="00287322"/>
    <w:rsid w:val="00287455"/>
    <w:rsid w:val="0028745C"/>
    <w:rsid w:val="00287482"/>
    <w:rsid w:val="00287507"/>
    <w:rsid w:val="0028755D"/>
    <w:rsid w:val="00287744"/>
    <w:rsid w:val="00287775"/>
    <w:rsid w:val="002877FE"/>
    <w:rsid w:val="002878C7"/>
    <w:rsid w:val="00287A07"/>
    <w:rsid w:val="00287AA0"/>
    <w:rsid w:val="00287AE0"/>
    <w:rsid w:val="00287B47"/>
    <w:rsid w:val="00287D68"/>
    <w:rsid w:val="00287D7F"/>
    <w:rsid w:val="00287E78"/>
    <w:rsid w:val="00287F3F"/>
    <w:rsid w:val="00287FC6"/>
    <w:rsid w:val="00290010"/>
    <w:rsid w:val="00290130"/>
    <w:rsid w:val="00290144"/>
    <w:rsid w:val="0029014E"/>
    <w:rsid w:val="0029016E"/>
    <w:rsid w:val="0029026A"/>
    <w:rsid w:val="002902CA"/>
    <w:rsid w:val="00290328"/>
    <w:rsid w:val="0029039D"/>
    <w:rsid w:val="0029042A"/>
    <w:rsid w:val="0029055E"/>
    <w:rsid w:val="0029062D"/>
    <w:rsid w:val="00290676"/>
    <w:rsid w:val="002907A3"/>
    <w:rsid w:val="002907BF"/>
    <w:rsid w:val="0029082D"/>
    <w:rsid w:val="0029086E"/>
    <w:rsid w:val="002908D2"/>
    <w:rsid w:val="00290AE6"/>
    <w:rsid w:val="00290BB9"/>
    <w:rsid w:val="00290F96"/>
    <w:rsid w:val="00290FAD"/>
    <w:rsid w:val="002910C7"/>
    <w:rsid w:val="00291176"/>
    <w:rsid w:val="0029119E"/>
    <w:rsid w:val="0029120D"/>
    <w:rsid w:val="0029125A"/>
    <w:rsid w:val="00291349"/>
    <w:rsid w:val="00291447"/>
    <w:rsid w:val="00291462"/>
    <w:rsid w:val="00291572"/>
    <w:rsid w:val="002915E9"/>
    <w:rsid w:val="00291690"/>
    <w:rsid w:val="002916BE"/>
    <w:rsid w:val="00291767"/>
    <w:rsid w:val="002917EC"/>
    <w:rsid w:val="00291A18"/>
    <w:rsid w:val="00291A68"/>
    <w:rsid w:val="00291AE4"/>
    <w:rsid w:val="00291B16"/>
    <w:rsid w:val="00291B77"/>
    <w:rsid w:val="00291BE1"/>
    <w:rsid w:val="00291C2F"/>
    <w:rsid w:val="00291D3C"/>
    <w:rsid w:val="00291D69"/>
    <w:rsid w:val="00291D97"/>
    <w:rsid w:val="00291F10"/>
    <w:rsid w:val="00291FA1"/>
    <w:rsid w:val="00292001"/>
    <w:rsid w:val="00292013"/>
    <w:rsid w:val="0029211B"/>
    <w:rsid w:val="00292136"/>
    <w:rsid w:val="00292187"/>
    <w:rsid w:val="002921A7"/>
    <w:rsid w:val="0029224D"/>
    <w:rsid w:val="0029225C"/>
    <w:rsid w:val="002922AE"/>
    <w:rsid w:val="0029233C"/>
    <w:rsid w:val="002923A7"/>
    <w:rsid w:val="002923B6"/>
    <w:rsid w:val="00292490"/>
    <w:rsid w:val="0029254F"/>
    <w:rsid w:val="00292573"/>
    <w:rsid w:val="002925F9"/>
    <w:rsid w:val="00292657"/>
    <w:rsid w:val="00292689"/>
    <w:rsid w:val="0029278D"/>
    <w:rsid w:val="002927E3"/>
    <w:rsid w:val="0029291D"/>
    <w:rsid w:val="002929A5"/>
    <w:rsid w:val="002929D1"/>
    <w:rsid w:val="00292A3C"/>
    <w:rsid w:val="00292B0C"/>
    <w:rsid w:val="00292B81"/>
    <w:rsid w:val="00292C01"/>
    <w:rsid w:val="00292C02"/>
    <w:rsid w:val="00292CB4"/>
    <w:rsid w:val="00292E6F"/>
    <w:rsid w:val="00292F29"/>
    <w:rsid w:val="00292F87"/>
    <w:rsid w:val="00293001"/>
    <w:rsid w:val="00293146"/>
    <w:rsid w:val="00293268"/>
    <w:rsid w:val="002932A9"/>
    <w:rsid w:val="002933EE"/>
    <w:rsid w:val="00293402"/>
    <w:rsid w:val="00293432"/>
    <w:rsid w:val="0029350B"/>
    <w:rsid w:val="00293598"/>
    <w:rsid w:val="0029362C"/>
    <w:rsid w:val="00293662"/>
    <w:rsid w:val="0029370F"/>
    <w:rsid w:val="0029379A"/>
    <w:rsid w:val="002937BE"/>
    <w:rsid w:val="00293826"/>
    <w:rsid w:val="002939D3"/>
    <w:rsid w:val="00293A1A"/>
    <w:rsid w:val="00293A7B"/>
    <w:rsid w:val="00293AD1"/>
    <w:rsid w:val="00293B43"/>
    <w:rsid w:val="00293CEB"/>
    <w:rsid w:val="00293DF9"/>
    <w:rsid w:val="00293F5D"/>
    <w:rsid w:val="00294119"/>
    <w:rsid w:val="00294231"/>
    <w:rsid w:val="002942A7"/>
    <w:rsid w:val="002942DB"/>
    <w:rsid w:val="00294317"/>
    <w:rsid w:val="0029433D"/>
    <w:rsid w:val="002943A0"/>
    <w:rsid w:val="00294533"/>
    <w:rsid w:val="00294534"/>
    <w:rsid w:val="00294575"/>
    <w:rsid w:val="00294591"/>
    <w:rsid w:val="00294639"/>
    <w:rsid w:val="002946AB"/>
    <w:rsid w:val="002946E4"/>
    <w:rsid w:val="00294859"/>
    <w:rsid w:val="00294882"/>
    <w:rsid w:val="002948D5"/>
    <w:rsid w:val="002949F7"/>
    <w:rsid w:val="00294AAD"/>
    <w:rsid w:val="00294B34"/>
    <w:rsid w:val="00294B47"/>
    <w:rsid w:val="00294C2A"/>
    <w:rsid w:val="00294C3D"/>
    <w:rsid w:val="00294C49"/>
    <w:rsid w:val="00294D5E"/>
    <w:rsid w:val="00294DA0"/>
    <w:rsid w:val="00294E41"/>
    <w:rsid w:val="00294F28"/>
    <w:rsid w:val="00294FA3"/>
    <w:rsid w:val="00294FB3"/>
    <w:rsid w:val="0029505A"/>
    <w:rsid w:val="0029508A"/>
    <w:rsid w:val="00295170"/>
    <w:rsid w:val="002952ED"/>
    <w:rsid w:val="002953B3"/>
    <w:rsid w:val="00295403"/>
    <w:rsid w:val="002954CE"/>
    <w:rsid w:val="0029550C"/>
    <w:rsid w:val="002956F6"/>
    <w:rsid w:val="00295828"/>
    <w:rsid w:val="00295924"/>
    <w:rsid w:val="00295ABB"/>
    <w:rsid w:val="00295AC4"/>
    <w:rsid w:val="00295AC7"/>
    <w:rsid w:val="00295AD0"/>
    <w:rsid w:val="00295AF2"/>
    <w:rsid w:val="00295BEC"/>
    <w:rsid w:val="00295C42"/>
    <w:rsid w:val="00295D10"/>
    <w:rsid w:val="00295EC3"/>
    <w:rsid w:val="00295EC7"/>
    <w:rsid w:val="00295F61"/>
    <w:rsid w:val="0029604B"/>
    <w:rsid w:val="002960A4"/>
    <w:rsid w:val="00296158"/>
    <w:rsid w:val="00296163"/>
    <w:rsid w:val="0029618F"/>
    <w:rsid w:val="00296225"/>
    <w:rsid w:val="00296230"/>
    <w:rsid w:val="0029630D"/>
    <w:rsid w:val="00296354"/>
    <w:rsid w:val="002963A1"/>
    <w:rsid w:val="00296422"/>
    <w:rsid w:val="00296423"/>
    <w:rsid w:val="0029647E"/>
    <w:rsid w:val="002964AE"/>
    <w:rsid w:val="002964FD"/>
    <w:rsid w:val="00296512"/>
    <w:rsid w:val="00296519"/>
    <w:rsid w:val="00296575"/>
    <w:rsid w:val="002965BC"/>
    <w:rsid w:val="002967F4"/>
    <w:rsid w:val="002968BB"/>
    <w:rsid w:val="0029692C"/>
    <w:rsid w:val="00296A62"/>
    <w:rsid w:val="00296C2C"/>
    <w:rsid w:val="00296CC6"/>
    <w:rsid w:val="00296CF2"/>
    <w:rsid w:val="00296DBF"/>
    <w:rsid w:val="00296F73"/>
    <w:rsid w:val="00296FB2"/>
    <w:rsid w:val="00296FCC"/>
    <w:rsid w:val="002970CB"/>
    <w:rsid w:val="00297188"/>
    <w:rsid w:val="002971FD"/>
    <w:rsid w:val="00297238"/>
    <w:rsid w:val="0029723A"/>
    <w:rsid w:val="002972D6"/>
    <w:rsid w:val="00297381"/>
    <w:rsid w:val="00297469"/>
    <w:rsid w:val="0029747D"/>
    <w:rsid w:val="0029749C"/>
    <w:rsid w:val="002975B0"/>
    <w:rsid w:val="002975BD"/>
    <w:rsid w:val="002977B2"/>
    <w:rsid w:val="002977DA"/>
    <w:rsid w:val="00297876"/>
    <w:rsid w:val="0029797E"/>
    <w:rsid w:val="00297999"/>
    <w:rsid w:val="002979DB"/>
    <w:rsid w:val="00297A14"/>
    <w:rsid w:val="00297A1C"/>
    <w:rsid w:val="00297A28"/>
    <w:rsid w:val="00297AA4"/>
    <w:rsid w:val="00297AAA"/>
    <w:rsid w:val="00297B09"/>
    <w:rsid w:val="00297C19"/>
    <w:rsid w:val="00297C1A"/>
    <w:rsid w:val="00297C64"/>
    <w:rsid w:val="00297D38"/>
    <w:rsid w:val="00297DE9"/>
    <w:rsid w:val="00297DF1"/>
    <w:rsid w:val="00297EA4"/>
    <w:rsid w:val="00297F01"/>
    <w:rsid w:val="00297F13"/>
    <w:rsid w:val="002A0011"/>
    <w:rsid w:val="002A001C"/>
    <w:rsid w:val="002A00D8"/>
    <w:rsid w:val="002A0105"/>
    <w:rsid w:val="002A0195"/>
    <w:rsid w:val="002A01CB"/>
    <w:rsid w:val="002A01E7"/>
    <w:rsid w:val="002A0208"/>
    <w:rsid w:val="002A020F"/>
    <w:rsid w:val="002A04B4"/>
    <w:rsid w:val="002A04D1"/>
    <w:rsid w:val="002A069E"/>
    <w:rsid w:val="002A06B8"/>
    <w:rsid w:val="002A06CD"/>
    <w:rsid w:val="002A0720"/>
    <w:rsid w:val="002A07B0"/>
    <w:rsid w:val="002A0873"/>
    <w:rsid w:val="002A0880"/>
    <w:rsid w:val="002A097D"/>
    <w:rsid w:val="002A0AF6"/>
    <w:rsid w:val="002A0B2E"/>
    <w:rsid w:val="002A0B8B"/>
    <w:rsid w:val="002A0B92"/>
    <w:rsid w:val="002A0D45"/>
    <w:rsid w:val="002A0D52"/>
    <w:rsid w:val="002A0D53"/>
    <w:rsid w:val="002A0DDB"/>
    <w:rsid w:val="002A0E20"/>
    <w:rsid w:val="002A0E36"/>
    <w:rsid w:val="002A10F7"/>
    <w:rsid w:val="002A11B8"/>
    <w:rsid w:val="002A120B"/>
    <w:rsid w:val="002A13AF"/>
    <w:rsid w:val="002A13E8"/>
    <w:rsid w:val="002A145B"/>
    <w:rsid w:val="002A147B"/>
    <w:rsid w:val="002A151C"/>
    <w:rsid w:val="002A1527"/>
    <w:rsid w:val="002A156D"/>
    <w:rsid w:val="002A1687"/>
    <w:rsid w:val="002A1827"/>
    <w:rsid w:val="002A1897"/>
    <w:rsid w:val="002A18BE"/>
    <w:rsid w:val="002A1A6C"/>
    <w:rsid w:val="002A1B61"/>
    <w:rsid w:val="002A1CB2"/>
    <w:rsid w:val="002A1D2C"/>
    <w:rsid w:val="002A1D5C"/>
    <w:rsid w:val="002A1D8E"/>
    <w:rsid w:val="002A1DA5"/>
    <w:rsid w:val="002A1DCD"/>
    <w:rsid w:val="002A1DD5"/>
    <w:rsid w:val="002A1E51"/>
    <w:rsid w:val="002A1EB1"/>
    <w:rsid w:val="002A1FB5"/>
    <w:rsid w:val="002A1FE9"/>
    <w:rsid w:val="002A2017"/>
    <w:rsid w:val="002A2024"/>
    <w:rsid w:val="002A2070"/>
    <w:rsid w:val="002A209F"/>
    <w:rsid w:val="002A20B9"/>
    <w:rsid w:val="002A20EE"/>
    <w:rsid w:val="002A2137"/>
    <w:rsid w:val="002A2187"/>
    <w:rsid w:val="002A224C"/>
    <w:rsid w:val="002A225A"/>
    <w:rsid w:val="002A22AC"/>
    <w:rsid w:val="002A2399"/>
    <w:rsid w:val="002A23E8"/>
    <w:rsid w:val="002A2472"/>
    <w:rsid w:val="002A250E"/>
    <w:rsid w:val="002A2539"/>
    <w:rsid w:val="002A25D8"/>
    <w:rsid w:val="002A25DF"/>
    <w:rsid w:val="002A264E"/>
    <w:rsid w:val="002A26F0"/>
    <w:rsid w:val="002A27EE"/>
    <w:rsid w:val="002A29E6"/>
    <w:rsid w:val="002A29EC"/>
    <w:rsid w:val="002A2AB3"/>
    <w:rsid w:val="002A2B1A"/>
    <w:rsid w:val="002A2B47"/>
    <w:rsid w:val="002A2B5F"/>
    <w:rsid w:val="002A2BDE"/>
    <w:rsid w:val="002A2CDD"/>
    <w:rsid w:val="002A2D51"/>
    <w:rsid w:val="002A2D90"/>
    <w:rsid w:val="002A2EA4"/>
    <w:rsid w:val="002A2EAD"/>
    <w:rsid w:val="002A2EBE"/>
    <w:rsid w:val="002A2FBB"/>
    <w:rsid w:val="002A302B"/>
    <w:rsid w:val="002A304F"/>
    <w:rsid w:val="002A3051"/>
    <w:rsid w:val="002A30CF"/>
    <w:rsid w:val="002A314E"/>
    <w:rsid w:val="002A3153"/>
    <w:rsid w:val="002A3331"/>
    <w:rsid w:val="002A3408"/>
    <w:rsid w:val="002A343A"/>
    <w:rsid w:val="002A344A"/>
    <w:rsid w:val="002A345E"/>
    <w:rsid w:val="002A3614"/>
    <w:rsid w:val="002A362A"/>
    <w:rsid w:val="002A366B"/>
    <w:rsid w:val="002A36F6"/>
    <w:rsid w:val="002A3758"/>
    <w:rsid w:val="002A3853"/>
    <w:rsid w:val="002A38ED"/>
    <w:rsid w:val="002A38F6"/>
    <w:rsid w:val="002A3926"/>
    <w:rsid w:val="002A392A"/>
    <w:rsid w:val="002A393D"/>
    <w:rsid w:val="002A39B7"/>
    <w:rsid w:val="002A3A12"/>
    <w:rsid w:val="002A3BEC"/>
    <w:rsid w:val="002A3C3F"/>
    <w:rsid w:val="002A3CE0"/>
    <w:rsid w:val="002A3DED"/>
    <w:rsid w:val="002A3E69"/>
    <w:rsid w:val="002A3EB8"/>
    <w:rsid w:val="002A3F53"/>
    <w:rsid w:val="002A4013"/>
    <w:rsid w:val="002A401E"/>
    <w:rsid w:val="002A4052"/>
    <w:rsid w:val="002A406E"/>
    <w:rsid w:val="002A4084"/>
    <w:rsid w:val="002A4117"/>
    <w:rsid w:val="002A41B9"/>
    <w:rsid w:val="002A4280"/>
    <w:rsid w:val="002A42A9"/>
    <w:rsid w:val="002A42C4"/>
    <w:rsid w:val="002A4302"/>
    <w:rsid w:val="002A442D"/>
    <w:rsid w:val="002A445A"/>
    <w:rsid w:val="002A44EF"/>
    <w:rsid w:val="002A4503"/>
    <w:rsid w:val="002A4514"/>
    <w:rsid w:val="002A4630"/>
    <w:rsid w:val="002A4802"/>
    <w:rsid w:val="002A48BB"/>
    <w:rsid w:val="002A4998"/>
    <w:rsid w:val="002A49E5"/>
    <w:rsid w:val="002A4A43"/>
    <w:rsid w:val="002A4A63"/>
    <w:rsid w:val="002A4AD6"/>
    <w:rsid w:val="002A4D08"/>
    <w:rsid w:val="002A4D2C"/>
    <w:rsid w:val="002A4D46"/>
    <w:rsid w:val="002A4ED0"/>
    <w:rsid w:val="002A4F0A"/>
    <w:rsid w:val="002A4F45"/>
    <w:rsid w:val="002A50AC"/>
    <w:rsid w:val="002A51C3"/>
    <w:rsid w:val="002A5263"/>
    <w:rsid w:val="002A528F"/>
    <w:rsid w:val="002A539C"/>
    <w:rsid w:val="002A53B8"/>
    <w:rsid w:val="002A547E"/>
    <w:rsid w:val="002A552A"/>
    <w:rsid w:val="002A557E"/>
    <w:rsid w:val="002A56E8"/>
    <w:rsid w:val="002A5857"/>
    <w:rsid w:val="002A58C5"/>
    <w:rsid w:val="002A590A"/>
    <w:rsid w:val="002A5924"/>
    <w:rsid w:val="002A5936"/>
    <w:rsid w:val="002A59CB"/>
    <w:rsid w:val="002A59F8"/>
    <w:rsid w:val="002A5A00"/>
    <w:rsid w:val="002A5A28"/>
    <w:rsid w:val="002A5C93"/>
    <w:rsid w:val="002A5D22"/>
    <w:rsid w:val="002A5E79"/>
    <w:rsid w:val="002A5EFA"/>
    <w:rsid w:val="002A5FB4"/>
    <w:rsid w:val="002A5FEB"/>
    <w:rsid w:val="002A60AB"/>
    <w:rsid w:val="002A6146"/>
    <w:rsid w:val="002A617E"/>
    <w:rsid w:val="002A61A0"/>
    <w:rsid w:val="002A6221"/>
    <w:rsid w:val="002A6310"/>
    <w:rsid w:val="002A632B"/>
    <w:rsid w:val="002A63E8"/>
    <w:rsid w:val="002A6466"/>
    <w:rsid w:val="002A648A"/>
    <w:rsid w:val="002A652C"/>
    <w:rsid w:val="002A6572"/>
    <w:rsid w:val="002A65B0"/>
    <w:rsid w:val="002A65FB"/>
    <w:rsid w:val="002A6655"/>
    <w:rsid w:val="002A671C"/>
    <w:rsid w:val="002A67A0"/>
    <w:rsid w:val="002A68B6"/>
    <w:rsid w:val="002A68DE"/>
    <w:rsid w:val="002A6914"/>
    <w:rsid w:val="002A6921"/>
    <w:rsid w:val="002A6942"/>
    <w:rsid w:val="002A698B"/>
    <w:rsid w:val="002A69F0"/>
    <w:rsid w:val="002A6A1D"/>
    <w:rsid w:val="002A6A78"/>
    <w:rsid w:val="002A6B31"/>
    <w:rsid w:val="002A6B73"/>
    <w:rsid w:val="002A6C17"/>
    <w:rsid w:val="002A6CA9"/>
    <w:rsid w:val="002A6CD8"/>
    <w:rsid w:val="002A6D7E"/>
    <w:rsid w:val="002A6DAE"/>
    <w:rsid w:val="002A6DC4"/>
    <w:rsid w:val="002A6DDF"/>
    <w:rsid w:val="002A6DE0"/>
    <w:rsid w:val="002A6E7E"/>
    <w:rsid w:val="002A6F82"/>
    <w:rsid w:val="002A6FE0"/>
    <w:rsid w:val="002A7006"/>
    <w:rsid w:val="002A715B"/>
    <w:rsid w:val="002A7196"/>
    <w:rsid w:val="002A7253"/>
    <w:rsid w:val="002A746E"/>
    <w:rsid w:val="002A74DE"/>
    <w:rsid w:val="002A74F2"/>
    <w:rsid w:val="002A7607"/>
    <w:rsid w:val="002A76AE"/>
    <w:rsid w:val="002A76E0"/>
    <w:rsid w:val="002A770A"/>
    <w:rsid w:val="002A7A0B"/>
    <w:rsid w:val="002A7A15"/>
    <w:rsid w:val="002A7C52"/>
    <w:rsid w:val="002A7D45"/>
    <w:rsid w:val="002A7DDB"/>
    <w:rsid w:val="002A7E25"/>
    <w:rsid w:val="002A7E2A"/>
    <w:rsid w:val="002A7F04"/>
    <w:rsid w:val="002A7F06"/>
    <w:rsid w:val="002A7FD3"/>
    <w:rsid w:val="002B00FC"/>
    <w:rsid w:val="002B0104"/>
    <w:rsid w:val="002B014F"/>
    <w:rsid w:val="002B020D"/>
    <w:rsid w:val="002B030D"/>
    <w:rsid w:val="002B0489"/>
    <w:rsid w:val="002B051B"/>
    <w:rsid w:val="002B055E"/>
    <w:rsid w:val="002B0576"/>
    <w:rsid w:val="002B05E5"/>
    <w:rsid w:val="002B060C"/>
    <w:rsid w:val="002B061E"/>
    <w:rsid w:val="002B0679"/>
    <w:rsid w:val="002B079E"/>
    <w:rsid w:val="002B0850"/>
    <w:rsid w:val="002B0880"/>
    <w:rsid w:val="002B0A5A"/>
    <w:rsid w:val="002B0ABD"/>
    <w:rsid w:val="002B0B7F"/>
    <w:rsid w:val="002B0BB9"/>
    <w:rsid w:val="002B0C07"/>
    <w:rsid w:val="002B0CAC"/>
    <w:rsid w:val="002B0D59"/>
    <w:rsid w:val="002B0EB5"/>
    <w:rsid w:val="002B0F80"/>
    <w:rsid w:val="002B1027"/>
    <w:rsid w:val="002B102F"/>
    <w:rsid w:val="002B1153"/>
    <w:rsid w:val="002B1224"/>
    <w:rsid w:val="002B1279"/>
    <w:rsid w:val="002B1384"/>
    <w:rsid w:val="002B13B7"/>
    <w:rsid w:val="002B156D"/>
    <w:rsid w:val="002B1608"/>
    <w:rsid w:val="002B16A4"/>
    <w:rsid w:val="002B1799"/>
    <w:rsid w:val="002B17A2"/>
    <w:rsid w:val="002B17CB"/>
    <w:rsid w:val="002B18AA"/>
    <w:rsid w:val="002B18AC"/>
    <w:rsid w:val="002B18C5"/>
    <w:rsid w:val="002B1906"/>
    <w:rsid w:val="002B19D1"/>
    <w:rsid w:val="002B19F9"/>
    <w:rsid w:val="002B1A4A"/>
    <w:rsid w:val="002B1A93"/>
    <w:rsid w:val="002B1AC4"/>
    <w:rsid w:val="002B1C20"/>
    <w:rsid w:val="002B1C56"/>
    <w:rsid w:val="002B1D19"/>
    <w:rsid w:val="002B1D2D"/>
    <w:rsid w:val="002B1DEC"/>
    <w:rsid w:val="002B1E8B"/>
    <w:rsid w:val="002B2001"/>
    <w:rsid w:val="002B2011"/>
    <w:rsid w:val="002B22E6"/>
    <w:rsid w:val="002B2371"/>
    <w:rsid w:val="002B2485"/>
    <w:rsid w:val="002B2507"/>
    <w:rsid w:val="002B2566"/>
    <w:rsid w:val="002B25F1"/>
    <w:rsid w:val="002B2606"/>
    <w:rsid w:val="002B286A"/>
    <w:rsid w:val="002B2977"/>
    <w:rsid w:val="002B2A4C"/>
    <w:rsid w:val="002B2B12"/>
    <w:rsid w:val="002B2E3D"/>
    <w:rsid w:val="002B2E94"/>
    <w:rsid w:val="002B2EAB"/>
    <w:rsid w:val="002B2EE8"/>
    <w:rsid w:val="002B2EE9"/>
    <w:rsid w:val="002B2F64"/>
    <w:rsid w:val="002B2FCB"/>
    <w:rsid w:val="002B2FD1"/>
    <w:rsid w:val="002B303C"/>
    <w:rsid w:val="002B3051"/>
    <w:rsid w:val="002B30A6"/>
    <w:rsid w:val="002B313D"/>
    <w:rsid w:val="002B314D"/>
    <w:rsid w:val="002B3236"/>
    <w:rsid w:val="002B3311"/>
    <w:rsid w:val="002B3351"/>
    <w:rsid w:val="002B3451"/>
    <w:rsid w:val="002B353B"/>
    <w:rsid w:val="002B35C8"/>
    <w:rsid w:val="002B363B"/>
    <w:rsid w:val="002B365B"/>
    <w:rsid w:val="002B3681"/>
    <w:rsid w:val="002B3689"/>
    <w:rsid w:val="002B36CC"/>
    <w:rsid w:val="002B383B"/>
    <w:rsid w:val="002B385F"/>
    <w:rsid w:val="002B3880"/>
    <w:rsid w:val="002B3886"/>
    <w:rsid w:val="002B388C"/>
    <w:rsid w:val="002B3A7D"/>
    <w:rsid w:val="002B3A8E"/>
    <w:rsid w:val="002B3C0F"/>
    <w:rsid w:val="002B3CFA"/>
    <w:rsid w:val="002B3D44"/>
    <w:rsid w:val="002B3F72"/>
    <w:rsid w:val="002B3F85"/>
    <w:rsid w:val="002B3FD0"/>
    <w:rsid w:val="002B3FD4"/>
    <w:rsid w:val="002B4003"/>
    <w:rsid w:val="002B4044"/>
    <w:rsid w:val="002B41EC"/>
    <w:rsid w:val="002B42D5"/>
    <w:rsid w:val="002B4473"/>
    <w:rsid w:val="002B448B"/>
    <w:rsid w:val="002B44D5"/>
    <w:rsid w:val="002B45D4"/>
    <w:rsid w:val="002B46D5"/>
    <w:rsid w:val="002B4708"/>
    <w:rsid w:val="002B47E0"/>
    <w:rsid w:val="002B480E"/>
    <w:rsid w:val="002B4830"/>
    <w:rsid w:val="002B4862"/>
    <w:rsid w:val="002B48DA"/>
    <w:rsid w:val="002B4981"/>
    <w:rsid w:val="002B4A4E"/>
    <w:rsid w:val="002B4A89"/>
    <w:rsid w:val="002B4AE3"/>
    <w:rsid w:val="002B4B45"/>
    <w:rsid w:val="002B4C6D"/>
    <w:rsid w:val="002B4CA5"/>
    <w:rsid w:val="002B4F25"/>
    <w:rsid w:val="002B4F9B"/>
    <w:rsid w:val="002B5085"/>
    <w:rsid w:val="002B5179"/>
    <w:rsid w:val="002B5239"/>
    <w:rsid w:val="002B53EE"/>
    <w:rsid w:val="002B53F4"/>
    <w:rsid w:val="002B5497"/>
    <w:rsid w:val="002B54A3"/>
    <w:rsid w:val="002B5527"/>
    <w:rsid w:val="002B554B"/>
    <w:rsid w:val="002B56AC"/>
    <w:rsid w:val="002B56F3"/>
    <w:rsid w:val="002B579B"/>
    <w:rsid w:val="002B580D"/>
    <w:rsid w:val="002B584D"/>
    <w:rsid w:val="002B58A0"/>
    <w:rsid w:val="002B58F0"/>
    <w:rsid w:val="002B593D"/>
    <w:rsid w:val="002B596A"/>
    <w:rsid w:val="002B598A"/>
    <w:rsid w:val="002B5A43"/>
    <w:rsid w:val="002B5A63"/>
    <w:rsid w:val="002B5ABE"/>
    <w:rsid w:val="002B5AD8"/>
    <w:rsid w:val="002B5AFB"/>
    <w:rsid w:val="002B5C81"/>
    <w:rsid w:val="002B5CC5"/>
    <w:rsid w:val="002B5CDE"/>
    <w:rsid w:val="002B5D68"/>
    <w:rsid w:val="002B5D6D"/>
    <w:rsid w:val="002B5E19"/>
    <w:rsid w:val="002B5F05"/>
    <w:rsid w:val="002B600E"/>
    <w:rsid w:val="002B6029"/>
    <w:rsid w:val="002B6062"/>
    <w:rsid w:val="002B6075"/>
    <w:rsid w:val="002B60EC"/>
    <w:rsid w:val="002B61ED"/>
    <w:rsid w:val="002B6228"/>
    <w:rsid w:val="002B63FD"/>
    <w:rsid w:val="002B6517"/>
    <w:rsid w:val="002B651B"/>
    <w:rsid w:val="002B6522"/>
    <w:rsid w:val="002B6527"/>
    <w:rsid w:val="002B667C"/>
    <w:rsid w:val="002B6687"/>
    <w:rsid w:val="002B6843"/>
    <w:rsid w:val="002B6993"/>
    <w:rsid w:val="002B6ACF"/>
    <w:rsid w:val="002B6B62"/>
    <w:rsid w:val="002B6C93"/>
    <w:rsid w:val="002B707B"/>
    <w:rsid w:val="002B70C1"/>
    <w:rsid w:val="002B7141"/>
    <w:rsid w:val="002B715D"/>
    <w:rsid w:val="002B71C0"/>
    <w:rsid w:val="002B720F"/>
    <w:rsid w:val="002B7317"/>
    <w:rsid w:val="002B74E9"/>
    <w:rsid w:val="002B75FC"/>
    <w:rsid w:val="002B765E"/>
    <w:rsid w:val="002B76C3"/>
    <w:rsid w:val="002B76E0"/>
    <w:rsid w:val="002B7753"/>
    <w:rsid w:val="002B775F"/>
    <w:rsid w:val="002B77C8"/>
    <w:rsid w:val="002B7818"/>
    <w:rsid w:val="002B782D"/>
    <w:rsid w:val="002B7871"/>
    <w:rsid w:val="002B7872"/>
    <w:rsid w:val="002B78F5"/>
    <w:rsid w:val="002B7B49"/>
    <w:rsid w:val="002B7B56"/>
    <w:rsid w:val="002B7B8D"/>
    <w:rsid w:val="002B7C00"/>
    <w:rsid w:val="002B7C9E"/>
    <w:rsid w:val="002B7D78"/>
    <w:rsid w:val="002B7E85"/>
    <w:rsid w:val="002B7F42"/>
    <w:rsid w:val="002B7F88"/>
    <w:rsid w:val="002C0094"/>
    <w:rsid w:val="002C016D"/>
    <w:rsid w:val="002C01D4"/>
    <w:rsid w:val="002C02D9"/>
    <w:rsid w:val="002C0313"/>
    <w:rsid w:val="002C046D"/>
    <w:rsid w:val="002C0571"/>
    <w:rsid w:val="002C05C7"/>
    <w:rsid w:val="002C07BB"/>
    <w:rsid w:val="002C0869"/>
    <w:rsid w:val="002C08A3"/>
    <w:rsid w:val="002C092D"/>
    <w:rsid w:val="002C0982"/>
    <w:rsid w:val="002C0C98"/>
    <w:rsid w:val="002C0CB1"/>
    <w:rsid w:val="002C0D64"/>
    <w:rsid w:val="002C0D98"/>
    <w:rsid w:val="002C0E2F"/>
    <w:rsid w:val="002C0F84"/>
    <w:rsid w:val="002C115D"/>
    <w:rsid w:val="002C117F"/>
    <w:rsid w:val="002C11CA"/>
    <w:rsid w:val="002C1269"/>
    <w:rsid w:val="002C12BD"/>
    <w:rsid w:val="002C12FB"/>
    <w:rsid w:val="002C134A"/>
    <w:rsid w:val="002C155C"/>
    <w:rsid w:val="002C161E"/>
    <w:rsid w:val="002C167A"/>
    <w:rsid w:val="002C17B1"/>
    <w:rsid w:val="002C1846"/>
    <w:rsid w:val="002C1875"/>
    <w:rsid w:val="002C18CF"/>
    <w:rsid w:val="002C19BB"/>
    <w:rsid w:val="002C1A96"/>
    <w:rsid w:val="002C1B6A"/>
    <w:rsid w:val="002C1BA9"/>
    <w:rsid w:val="002C1C41"/>
    <w:rsid w:val="002C1CBC"/>
    <w:rsid w:val="002C1CFB"/>
    <w:rsid w:val="002C1DFC"/>
    <w:rsid w:val="002C1E19"/>
    <w:rsid w:val="002C1F3C"/>
    <w:rsid w:val="002C1FE1"/>
    <w:rsid w:val="002C200C"/>
    <w:rsid w:val="002C212C"/>
    <w:rsid w:val="002C21BC"/>
    <w:rsid w:val="002C21F5"/>
    <w:rsid w:val="002C2246"/>
    <w:rsid w:val="002C2271"/>
    <w:rsid w:val="002C23CA"/>
    <w:rsid w:val="002C2404"/>
    <w:rsid w:val="002C2437"/>
    <w:rsid w:val="002C2491"/>
    <w:rsid w:val="002C253A"/>
    <w:rsid w:val="002C2545"/>
    <w:rsid w:val="002C25C3"/>
    <w:rsid w:val="002C2650"/>
    <w:rsid w:val="002C27B4"/>
    <w:rsid w:val="002C27C0"/>
    <w:rsid w:val="002C2863"/>
    <w:rsid w:val="002C28E6"/>
    <w:rsid w:val="002C290E"/>
    <w:rsid w:val="002C2913"/>
    <w:rsid w:val="002C2A34"/>
    <w:rsid w:val="002C2AF8"/>
    <w:rsid w:val="002C2BBD"/>
    <w:rsid w:val="002C2D87"/>
    <w:rsid w:val="002C2E39"/>
    <w:rsid w:val="002C2EB8"/>
    <w:rsid w:val="002C3117"/>
    <w:rsid w:val="002C3135"/>
    <w:rsid w:val="002C3146"/>
    <w:rsid w:val="002C31A7"/>
    <w:rsid w:val="002C3480"/>
    <w:rsid w:val="002C350F"/>
    <w:rsid w:val="002C353B"/>
    <w:rsid w:val="002C3716"/>
    <w:rsid w:val="002C3778"/>
    <w:rsid w:val="002C3796"/>
    <w:rsid w:val="002C3859"/>
    <w:rsid w:val="002C3879"/>
    <w:rsid w:val="002C3891"/>
    <w:rsid w:val="002C3990"/>
    <w:rsid w:val="002C3A84"/>
    <w:rsid w:val="002C3BFE"/>
    <w:rsid w:val="002C3DB7"/>
    <w:rsid w:val="002C3E26"/>
    <w:rsid w:val="002C3F2F"/>
    <w:rsid w:val="002C3F57"/>
    <w:rsid w:val="002C4006"/>
    <w:rsid w:val="002C40B7"/>
    <w:rsid w:val="002C40E3"/>
    <w:rsid w:val="002C412B"/>
    <w:rsid w:val="002C4193"/>
    <w:rsid w:val="002C421E"/>
    <w:rsid w:val="002C43A2"/>
    <w:rsid w:val="002C45E8"/>
    <w:rsid w:val="002C4674"/>
    <w:rsid w:val="002C46FB"/>
    <w:rsid w:val="002C4892"/>
    <w:rsid w:val="002C49B1"/>
    <w:rsid w:val="002C49B3"/>
    <w:rsid w:val="002C4B81"/>
    <w:rsid w:val="002C4C94"/>
    <w:rsid w:val="002C4CB1"/>
    <w:rsid w:val="002C4D5B"/>
    <w:rsid w:val="002C4DD5"/>
    <w:rsid w:val="002C4ECD"/>
    <w:rsid w:val="002C4FEB"/>
    <w:rsid w:val="002C5048"/>
    <w:rsid w:val="002C5198"/>
    <w:rsid w:val="002C53D8"/>
    <w:rsid w:val="002C546F"/>
    <w:rsid w:val="002C57AA"/>
    <w:rsid w:val="002C5802"/>
    <w:rsid w:val="002C596E"/>
    <w:rsid w:val="002C59D9"/>
    <w:rsid w:val="002C5A43"/>
    <w:rsid w:val="002C5C38"/>
    <w:rsid w:val="002C5C5C"/>
    <w:rsid w:val="002C5CDF"/>
    <w:rsid w:val="002C5CEC"/>
    <w:rsid w:val="002C5DE8"/>
    <w:rsid w:val="002C5FC6"/>
    <w:rsid w:val="002C5FCF"/>
    <w:rsid w:val="002C6097"/>
    <w:rsid w:val="002C611E"/>
    <w:rsid w:val="002C6209"/>
    <w:rsid w:val="002C62A9"/>
    <w:rsid w:val="002C62D2"/>
    <w:rsid w:val="002C62E5"/>
    <w:rsid w:val="002C631E"/>
    <w:rsid w:val="002C6339"/>
    <w:rsid w:val="002C6417"/>
    <w:rsid w:val="002C65BB"/>
    <w:rsid w:val="002C67CD"/>
    <w:rsid w:val="002C6866"/>
    <w:rsid w:val="002C687E"/>
    <w:rsid w:val="002C695C"/>
    <w:rsid w:val="002C6A06"/>
    <w:rsid w:val="002C6A6C"/>
    <w:rsid w:val="002C6B63"/>
    <w:rsid w:val="002C6BF9"/>
    <w:rsid w:val="002C6C72"/>
    <w:rsid w:val="002C6C7C"/>
    <w:rsid w:val="002C6E1F"/>
    <w:rsid w:val="002C6ED6"/>
    <w:rsid w:val="002C6F24"/>
    <w:rsid w:val="002C6FA3"/>
    <w:rsid w:val="002C6FC5"/>
    <w:rsid w:val="002C70CE"/>
    <w:rsid w:val="002C70DA"/>
    <w:rsid w:val="002C70F4"/>
    <w:rsid w:val="002C7215"/>
    <w:rsid w:val="002C7317"/>
    <w:rsid w:val="002C7646"/>
    <w:rsid w:val="002C7667"/>
    <w:rsid w:val="002C7680"/>
    <w:rsid w:val="002C76A2"/>
    <w:rsid w:val="002C7732"/>
    <w:rsid w:val="002C77B6"/>
    <w:rsid w:val="002C77B8"/>
    <w:rsid w:val="002C77F8"/>
    <w:rsid w:val="002C781F"/>
    <w:rsid w:val="002C7908"/>
    <w:rsid w:val="002C7991"/>
    <w:rsid w:val="002C79FE"/>
    <w:rsid w:val="002C7A3D"/>
    <w:rsid w:val="002C7B2E"/>
    <w:rsid w:val="002C7BF8"/>
    <w:rsid w:val="002C7C84"/>
    <w:rsid w:val="002C7D64"/>
    <w:rsid w:val="002C7E36"/>
    <w:rsid w:val="002C7E74"/>
    <w:rsid w:val="002C7EC0"/>
    <w:rsid w:val="002C7FB9"/>
    <w:rsid w:val="002D0060"/>
    <w:rsid w:val="002D0125"/>
    <w:rsid w:val="002D02A2"/>
    <w:rsid w:val="002D02E7"/>
    <w:rsid w:val="002D033A"/>
    <w:rsid w:val="002D034D"/>
    <w:rsid w:val="002D0444"/>
    <w:rsid w:val="002D0448"/>
    <w:rsid w:val="002D0468"/>
    <w:rsid w:val="002D04E9"/>
    <w:rsid w:val="002D0611"/>
    <w:rsid w:val="002D07B3"/>
    <w:rsid w:val="002D08C5"/>
    <w:rsid w:val="002D08EE"/>
    <w:rsid w:val="002D0957"/>
    <w:rsid w:val="002D09A8"/>
    <w:rsid w:val="002D09D1"/>
    <w:rsid w:val="002D0B23"/>
    <w:rsid w:val="002D0B88"/>
    <w:rsid w:val="002D0CCE"/>
    <w:rsid w:val="002D0D9A"/>
    <w:rsid w:val="002D100E"/>
    <w:rsid w:val="002D1090"/>
    <w:rsid w:val="002D113D"/>
    <w:rsid w:val="002D137B"/>
    <w:rsid w:val="002D138F"/>
    <w:rsid w:val="002D13C5"/>
    <w:rsid w:val="002D1478"/>
    <w:rsid w:val="002D1484"/>
    <w:rsid w:val="002D1485"/>
    <w:rsid w:val="002D14A6"/>
    <w:rsid w:val="002D14C6"/>
    <w:rsid w:val="002D15D6"/>
    <w:rsid w:val="002D1633"/>
    <w:rsid w:val="002D1660"/>
    <w:rsid w:val="002D16B7"/>
    <w:rsid w:val="002D16E2"/>
    <w:rsid w:val="002D16EE"/>
    <w:rsid w:val="002D18F5"/>
    <w:rsid w:val="002D1903"/>
    <w:rsid w:val="002D1969"/>
    <w:rsid w:val="002D19C1"/>
    <w:rsid w:val="002D1A3D"/>
    <w:rsid w:val="002D1A7A"/>
    <w:rsid w:val="002D1BF3"/>
    <w:rsid w:val="002D1CB4"/>
    <w:rsid w:val="002D1E22"/>
    <w:rsid w:val="002D1F52"/>
    <w:rsid w:val="002D20FD"/>
    <w:rsid w:val="002D21B4"/>
    <w:rsid w:val="002D21DB"/>
    <w:rsid w:val="002D21E3"/>
    <w:rsid w:val="002D226D"/>
    <w:rsid w:val="002D2278"/>
    <w:rsid w:val="002D228C"/>
    <w:rsid w:val="002D2296"/>
    <w:rsid w:val="002D22C7"/>
    <w:rsid w:val="002D2311"/>
    <w:rsid w:val="002D257F"/>
    <w:rsid w:val="002D26C3"/>
    <w:rsid w:val="002D279A"/>
    <w:rsid w:val="002D27B1"/>
    <w:rsid w:val="002D2850"/>
    <w:rsid w:val="002D28B2"/>
    <w:rsid w:val="002D28BB"/>
    <w:rsid w:val="002D2A24"/>
    <w:rsid w:val="002D2A31"/>
    <w:rsid w:val="002D2BC4"/>
    <w:rsid w:val="002D2BCB"/>
    <w:rsid w:val="002D2DD9"/>
    <w:rsid w:val="002D2E39"/>
    <w:rsid w:val="002D2FA9"/>
    <w:rsid w:val="002D3066"/>
    <w:rsid w:val="002D30A7"/>
    <w:rsid w:val="002D3171"/>
    <w:rsid w:val="002D3458"/>
    <w:rsid w:val="002D34EA"/>
    <w:rsid w:val="002D356D"/>
    <w:rsid w:val="002D3661"/>
    <w:rsid w:val="002D370C"/>
    <w:rsid w:val="002D37D7"/>
    <w:rsid w:val="002D39D6"/>
    <w:rsid w:val="002D3A83"/>
    <w:rsid w:val="002D3A85"/>
    <w:rsid w:val="002D3B69"/>
    <w:rsid w:val="002D3B7F"/>
    <w:rsid w:val="002D3CAA"/>
    <w:rsid w:val="002D3CF3"/>
    <w:rsid w:val="002D3D41"/>
    <w:rsid w:val="002D3DBB"/>
    <w:rsid w:val="002D3E9F"/>
    <w:rsid w:val="002D3F78"/>
    <w:rsid w:val="002D3F82"/>
    <w:rsid w:val="002D3FA1"/>
    <w:rsid w:val="002D3FDD"/>
    <w:rsid w:val="002D418A"/>
    <w:rsid w:val="002D4261"/>
    <w:rsid w:val="002D43F2"/>
    <w:rsid w:val="002D443A"/>
    <w:rsid w:val="002D4565"/>
    <w:rsid w:val="002D4672"/>
    <w:rsid w:val="002D4727"/>
    <w:rsid w:val="002D4887"/>
    <w:rsid w:val="002D4904"/>
    <w:rsid w:val="002D4BE9"/>
    <w:rsid w:val="002D4DC7"/>
    <w:rsid w:val="002D4E60"/>
    <w:rsid w:val="002D4E7F"/>
    <w:rsid w:val="002D4F5E"/>
    <w:rsid w:val="002D503D"/>
    <w:rsid w:val="002D5097"/>
    <w:rsid w:val="002D50C8"/>
    <w:rsid w:val="002D50FF"/>
    <w:rsid w:val="002D5141"/>
    <w:rsid w:val="002D514E"/>
    <w:rsid w:val="002D5155"/>
    <w:rsid w:val="002D51BE"/>
    <w:rsid w:val="002D5492"/>
    <w:rsid w:val="002D54AD"/>
    <w:rsid w:val="002D55E4"/>
    <w:rsid w:val="002D56E2"/>
    <w:rsid w:val="002D5843"/>
    <w:rsid w:val="002D5875"/>
    <w:rsid w:val="002D599C"/>
    <w:rsid w:val="002D5A96"/>
    <w:rsid w:val="002D5B2D"/>
    <w:rsid w:val="002D5BC9"/>
    <w:rsid w:val="002D5C3A"/>
    <w:rsid w:val="002D5CAD"/>
    <w:rsid w:val="002D5CC0"/>
    <w:rsid w:val="002D5CFB"/>
    <w:rsid w:val="002D5E39"/>
    <w:rsid w:val="002D5EC5"/>
    <w:rsid w:val="002D5F02"/>
    <w:rsid w:val="002D5F0C"/>
    <w:rsid w:val="002D5F16"/>
    <w:rsid w:val="002D6081"/>
    <w:rsid w:val="002D60E5"/>
    <w:rsid w:val="002D61A1"/>
    <w:rsid w:val="002D61C2"/>
    <w:rsid w:val="002D6235"/>
    <w:rsid w:val="002D62E6"/>
    <w:rsid w:val="002D6356"/>
    <w:rsid w:val="002D6367"/>
    <w:rsid w:val="002D6382"/>
    <w:rsid w:val="002D63BA"/>
    <w:rsid w:val="002D63E3"/>
    <w:rsid w:val="002D63F3"/>
    <w:rsid w:val="002D6488"/>
    <w:rsid w:val="002D64B7"/>
    <w:rsid w:val="002D65FC"/>
    <w:rsid w:val="002D66C3"/>
    <w:rsid w:val="002D678F"/>
    <w:rsid w:val="002D6822"/>
    <w:rsid w:val="002D684C"/>
    <w:rsid w:val="002D684D"/>
    <w:rsid w:val="002D6859"/>
    <w:rsid w:val="002D6860"/>
    <w:rsid w:val="002D6862"/>
    <w:rsid w:val="002D6864"/>
    <w:rsid w:val="002D690D"/>
    <w:rsid w:val="002D693E"/>
    <w:rsid w:val="002D6AA3"/>
    <w:rsid w:val="002D6B52"/>
    <w:rsid w:val="002D6CBE"/>
    <w:rsid w:val="002D6DB4"/>
    <w:rsid w:val="002D6E14"/>
    <w:rsid w:val="002D6ECD"/>
    <w:rsid w:val="002D6EDE"/>
    <w:rsid w:val="002D6EF1"/>
    <w:rsid w:val="002D7009"/>
    <w:rsid w:val="002D7058"/>
    <w:rsid w:val="002D7143"/>
    <w:rsid w:val="002D7246"/>
    <w:rsid w:val="002D7293"/>
    <w:rsid w:val="002D72EF"/>
    <w:rsid w:val="002D7310"/>
    <w:rsid w:val="002D743E"/>
    <w:rsid w:val="002D74DD"/>
    <w:rsid w:val="002D74EE"/>
    <w:rsid w:val="002D7509"/>
    <w:rsid w:val="002D7591"/>
    <w:rsid w:val="002D764B"/>
    <w:rsid w:val="002D7654"/>
    <w:rsid w:val="002D7669"/>
    <w:rsid w:val="002D7726"/>
    <w:rsid w:val="002D778A"/>
    <w:rsid w:val="002D7806"/>
    <w:rsid w:val="002D781E"/>
    <w:rsid w:val="002D7929"/>
    <w:rsid w:val="002D79F9"/>
    <w:rsid w:val="002D7A44"/>
    <w:rsid w:val="002D7A92"/>
    <w:rsid w:val="002D7C5C"/>
    <w:rsid w:val="002D7C9D"/>
    <w:rsid w:val="002D7D7F"/>
    <w:rsid w:val="002D7DE1"/>
    <w:rsid w:val="002D7FFB"/>
    <w:rsid w:val="002E030A"/>
    <w:rsid w:val="002E031A"/>
    <w:rsid w:val="002E0359"/>
    <w:rsid w:val="002E039C"/>
    <w:rsid w:val="002E03A3"/>
    <w:rsid w:val="002E04A5"/>
    <w:rsid w:val="002E04C2"/>
    <w:rsid w:val="002E04E8"/>
    <w:rsid w:val="002E0519"/>
    <w:rsid w:val="002E0621"/>
    <w:rsid w:val="002E066B"/>
    <w:rsid w:val="002E0856"/>
    <w:rsid w:val="002E0876"/>
    <w:rsid w:val="002E09B7"/>
    <w:rsid w:val="002E09F7"/>
    <w:rsid w:val="002E0B4F"/>
    <w:rsid w:val="002E0B93"/>
    <w:rsid w:val="002E0B96"/>
    <w:rsid w:val="002E0BD1"/>
    <w:rsid w:val="002E0C1F"/>
    <w:rsid w:val="002E0C53"/>
    <w:rsid w:val="002E0C68"/>
    <w:rsid w:val="002E0E00"/>
    <w:rsid w:val="002E0E0A"/>
    <w:rsid w:val="002E0E8F"/>
    <w:rsid w:val="002E0F31"/>
    <w:rsid w:val="002E0F7A"/>
    <w:rsid w:val="002E0FD7"/>
    <w:rsid w:val="002E109D"/>
    <w:rsid w:val="002E128F"/>
    <w:rsid w:val="002E12A0"/>
    <w:rsid w:val="002E1334"/>
    <w:rsid w:val="002E13D8"/>
    <w:rsid w:val="002E145F"/>
    <w:rsid w:val="002E1594"/>
    <w:rsid w:val="002E15F0"/>
    <w:rsid w:val="002E15F1"/>
    <w:rsid w:val="002E1623"/>
    <w:rsid w:val="002E17D9"/>
    <w:rsid w:val="002E1814"/>
    <w:rsid w:val="002E199B"/>
    <w:rsid w:val="002E19BA"/>
    <w:rsid w:val="002E1B2E"/>
    <w:rsid w:val="002E1C48"/>
    <w:rsid w:val="002E1C55"/>
    <w:rsid w:val="002E1C7F"/>
    <w:rsid w:val="002E1E2B"/>
    <w:rsid w:val="002E1E93"/>
    <w:rsid w:val="002E1F42"/>
    <w:rsid w:val="002E1F56"/>
    <w:rsid w:val="002E1F95"/>
    <w:rsid w:val="002E1F9D"/>
    <w:rsid w:val="002E1FC5"/>
    <w:rsid w:val="002E20CD"/>
    <w:rsid w:val="002E21C2"/>
    <w:rsid w:val="002E222F"/>
    <w:rsid w:val="002E225D"/>
    <w:rsid w:val="002E22A9"/>
    <w:rsid w:val="002E232D"/>
    <w:rsid w:val="002E236B"/>
    <w:rsid w:val="002E240A"/>
    <w:rsid w:val="002E2442"/>
    <w:rsid w:val="002E24BB"/>
    <w:rsid w:val="002E24E9"/>
    <w:rsid w:val="002E2560"/>
    <w:rsid w:val="002E2578"/>
    <w:rsid w:val="002E26ED"/>
    <w:rsid w:val="002E270C"/>
    <w:rsid w:val="002E28A4"/>
    <w:rsid w:val="002E28B1"/>
    <w:rsid w:val="002E29B6"/>
    <w:rsid w:val="002E2B33"/>
    <w:rsid w:val="002E2B72"/>
    <w:rsid w:val="002E2BF3"/>
    <w:rsid w:val="002E2D12"/>
    <w:rsid w:val="002E2DB3"/>
    <w:rsid w:val="002E2DD0"/>
    <w:rsid w:val="002E2F8A"/>
    <w:rsid w:val="002E2F92"/>
    <w:rsid w:val="002E3024"/>
    <w:rsid w:val="002E303B"/>
    <w:rsid w:val="002E306E"/>
    <w:rsid w:val="002E3264"/>
    <w:rsid w:val="002E3287"/>
    <w:rsid w:val="002E3357"/>
    <w:rsid w:val="002E336F"/>
    <w:rsid w:val="002E33D9"/>
    <w:rsid w:val="002E33F1"/>
    <w:rsid w:val="002E34F7"/>
    <w:rsid w:val="002E37A7"/>
    <w:rsid w:val="002E3811"/>
    <w:rsid w:val="002E3B20"/>
    <w:rsid w:val="002E3B78"/>
    <w:rsid w:val="002E3BF4"/>
    <w:rsid w:val="002E3C2D"/>
    <w:rsid w:val="002E3C34"/>
    <w:rsid w:val="002E3D1F"/>
    <w:rsid w:val="002E3D38"/>
    <w:rsid w:val="002E3D52"/>
    <w:rsid w:val="002E3DF6"/>
    <w:rsid w:val="002E3EFB"/>
    <w:rsid w:val="002E3F64"/>
    <w:rsid w:val="002E408F"/>
    <w:rsid w:val="002E4092"/>
    <w:rsid w:val="002E41F3"/>
    <w:rsid w:val="002E42A5"/>
    <w:rsid w:val="002E44A9"/>
    <w:rsid w:val="002E4520"/>
    <w:rsid w:val="002E45C5"/>
    <w:rsid w:val="002E4693"/>
    <w:rsid w:val="002E475A"/>
    <w:rsid w:val="002E4785"/>
    <w:rsid w:val="002E47BB"/>
    <w:rsid w:val="002E47FE"/>
    <w:rsid w:val="002E486E"/>
    <w:rsid w:val="002E4916"/>
    <w:rsid w:val="002E492A"/>
    <w:rsid w:val="002E4944"/>
    <w:rsid w:val="002E4955"/>
    <w:rsid w:val="002E49B0"/>
    <w:rsid w:val="002E49DC"/>
    <w:rsid w:val="002E4A4A"/>
    <w:rsid w:val="002E4A94"/>
    <w:rsid w:val="002E4AFC"/>
    <w:rsid w:val="002E4B5D"/>
    <w:rsid w:val="002E4D44"/>
    <w:rsid w:val="002E4F45"/>
    <w:rsid w:val="002E5046"/>
    <w:rsid w:val="002E50C7"/>
    <w:rsid w:val="002E535E"/>
    <w:rsid w:val="002E549A"/>
    <w:rsid w:val="002E54BA"/>
    <w:rsid w:val="002E5642"/>
    <w:rsid w:val="002E565B"/>
    <w:rsid w:val="002E56A1"/>
    <w:rsid w:val="002E5715"/>
    <w:rsid w:val="002E58C3"/>
    <w:rsid w:val="002E58FB"/>
    <w:rsid w:val="002E59FD"/>
    <w:rsid w:val="002E5A4C"/>
    <w:rsid w:val="002E5A55"/>
    <w:rsid w:val="002E5AC2"/>
    <w:rsid w:val="002E5B70"/>
    <w:rsid w:val="002E5BD0"/>
    <w:rsid w:val="002E5BE4"/>
    <w:rsid w:val="002E5C6C"/>
    <w:rsid w:val="002E5CA4"/>
    <w:rsid w:val="002E5D76"/>
    <w:rsid w:val="002E5E22"/>
    <w:rsid w:val="002E5E81"/>
    <w:rsid w:val="002E5ECE"/>
    <w:rsid w:val="002E5ED7"/>
    <w:rsid w:val="002E6025"/>
    <w:rsid w:val="002E6138"/>
    <w:rsid w:val="002E621B"/>
    <w:rsid w:val="002E6238"/>
    <w:rsid w:val="002E6245"/>
    <w:rsid w:val="002E629D"/>
    <w:rsid w:val="002E6379"/>
    <w:rsid w:val="002E6395"/>
    <w:rsid w:val="002E63E4"/>
    <w:rsid w:val="002E64BC"/>
    <w:rsid w:val="002E654D"/>
    <w:rsid w:val="002E657F"/>
    <w:rsid w:val="002E65DA"/>
    <w:rsid w:val="002E673A"/>
    <w:rsid w:val="002E678F"/>
    <w:rsid w:val="002E67F9"/>
    <w:rsid w:val="002E6820"/>
    <w:rsid w:val="002E691B"/>
    <w:rsid w:val="002E69DB"/>
    <w:rsid w:val="002E6B93"/>
    <w:rsid w:val="002E6BCB"/>
    <w:rsid w:val="002E6C32"/>
    <w:rsid w:val="002E6CC3"/>
    <w:rsid w:val="002E6CC5"/>
    <w:rsid w:val="002E6DE2"/>
    <w:rsid w:val="002E6DE5"/>
    <w:rsid w:val="002E6E75"/>
    <w:rsid w:val="002E6EE3"/>
    <w:rsid w:val="002E6FE0"/>
    <w:rsid w:val="002E7003"/>
    <w:rsid w:val="002E70E7"/>
    <w:rsid w:val="002E728A"/>
    <w:rsid w:val="002E72CF"/>
    <w:rsid w:val="002E72E7"/>
    <w:rsid w:val="002E7306"/>
    <w:rsid w:val="002E73E8"/>
    <w:rsid w:val="002E73F2"/>
    <w:rsid w:val="002E7408"/>
    <w:rsid w:val="002E74A7"/>
    <w:rsid w:val="002E74F7"/>
    <w:rsid w:val="002E7517"/>
    <w:rsid w:val="002E754B"/>
    <w:rsid w:val="002E767D"/>
    <w:rsid w:val="002E7754"/>
    <w:rsid w:val="002E7775"/>
    <w:rsid w:val="002E7856"/>
    <w:rsid w:val="002E78BA"/>
    <w:rsid w:val="002E78C0"/>
    <w:rsid w:val="002E7923"/>
    <w:rsid w:val="002E794B"/>
    <w:rsid w:val="002E79B6"/>
    <w:rsid w:val="002E7A6A"/>
    <w:rsid w:val="002E7AD2"/>
    <w:rsid w:val="002E7AD5"/>
    <w:rsid w:val="002E7BC4"/>
    <w:rsid w:val="002E7C37"/>
    <w:rsid w:val="002E7CA6"/>
    <w:rsid w:val="002E7D3E"/>
    <w:rsid w:val="002E7D47"/>
    <w:rsid w:val="002E7E46"/>
    <w:rsid w:val="002E7E5C"/>
    <w:rsid w:val="002E7E9F"/>
    <w:rsid w:val="002E7F52"/>
    <w:rsid w:val="002E7F8D"/>
    <w:rsid w:val="002F00B2"/>
    <w:rsid w:val="002F03AF"/>
    <w:rsid w:val="002F046A"/>
    <w:rsid w:val="002F0527"/>
    <w:rsid w:val="002F05B3"/>
    <w:rsid w:val="002F06D6"/>
    <w:rsid w:val="002F07B7"/>
    <w:rsid w:val="002F080E"/>
    <w:rsid w:val="002F08C8"/>
    <w:rsid w:val="002F08CC"/>
    <w:rsid w:val="002F08F9"/>
    <w:rsid w:val="002F093B"/>
    <w:rsid w:val="002F0B32"/>
    <w:rsid w:val="002F0CDC"/>
    <w:rsid w:val="002F0D73"/>
    <w:rsid w:val="002F0DB1"/>
    <w:rsid w:val="002F0E81"/>
    <w:rsid w:val="002F0F57"/>
    <w:rsid w:val="002F105A"/>
    <w:rsid w:val="002F10B2"/>
    <w:rsid w:val="002F1108"/>
    <w:rsid w:val="002F1132"/>
    <w:rsid w:val="002F1286"/>
    <w:rsid w:val="002F1399"/>
    <w:rsid w:val="002F1410"/>
    <w:rsid w:val="002F1463"/>
    <w:rsid w:val="002F149B"/>
    <w:rsid w:val="002F157A"/>
    <w:rsid w:val="002F1707"/>
    <w:rsid w:val="002F17F0"/>
    <w:rsid w:val="002F182A"/>
    <w:rsid w:val="002F18AD"/>
    <w:rsid w:val="002F18E4"/>
    <w:rsid w:val="002F18FA"/>
    <w:rsid w:val="002F18FE"/>
    <w:rsid w:val="002F1A00"/>
    <w:rsid w:val="002F1A44"/>
    <w:rsid w:val="002F1A4D"/>
    <w:rsid w:val="002F1A52"/>
    <w:rsid w:val="002F1ADB"/>
    <w:rsid w:val="002F1B4C"/>
    <w:rsid w:val="002F1C13"/>
    <w:rsid w:val="002F1D5A"/>
    <w:rsid w:val="002F1E57"/>
    <w:rsid w:val="002F1EC7"/>
    <w:rsid w:val="002F1EDF"/>
    <w:rsid w:val="002F2014"/>
    <w:rsid w:val="002F2044"/>
    <w:rsid w:val="002F20A7"/>
    <w:rsid w:val="002F2200"/>
    <w:rsid w:val="002F2233"/>
    <w:rsid w:val="002F2250"/>
    <w:rsid w:val="002F22AD"/>
    <w:rsid w:val="002F22B9"/>
    <w:rsid w:val="002F22D1"/>
    <w:rsid w:val="002F2304"/>
    <w:rsid w:val="002F2376"/>
    <w:rsid w:val="002F2464"/>
    <w:rsid w:val="002F2530"/>
    <w:rsid w:val="002F25A1"/>
    <w:rsid w:val="002F25B8"/>
    <w:rsid w:val="002F26F3"/>
    <w:rsid w:val="002F270B"/>
    <w:rsid w:val="002F2852"/>
    <w:rsid w:val="002F28CC"/>
    <w:rsid w:val="002F29BD"/>
    <w:rsid w:val="002F29DA"/>
    <w:rsid w:val="002F29DF"/>
    <w:rsid w:val="002F2A56"/>
    <w:rsid w:val="002F2A93"/>
    <w:rsid w:val="002F2AD1"/>
    <w:rsid w:val="002F2AD5"/>
    <w:rsid w:val="002F2B47"/>
    <w:rsid w:val="002F2B64"/>
    <w:rsid w:val="002F2B93"/>
    <w:rsid w:val="002F2C63"/>
    <w:rsid w:val="002F2CDD"/>
    <w:rsid w:val="002F2D2D"/>
    <w:rsid w:val="002F2E26"/>
    <w:rsid w:val="002F2FCA"/>
    <w:rsid w:val="002F308C"/>
    <w:rsid w:val="002F30D1"/>
    <w:rsid w:val="002F30E4"/>
    <w:rsid w:val="002F3138"/>
    <w:rsid w:val="002F3168"/>
    <w:rsid w:val="002F3240"/>
    <w:rsid w:val="002F326E"/>
    <w:rsid w:val="002F32FB"/>
    <w:rsid w:val="002F332A"/>
    <w:rsid w:val="002F3364"/>
    <w:rsid w:val="002F337A"/>
    <w:rsid w:val="002F3670"/>
    <w:rsid w:val="002F36AB"/>
    <w:rsid w:val="002F371B"/>
    <w:rsid w:val="002F37AC"/>
    <w:rsid w:val="002F39CC"/>
    <w:rsid w:val="002F3B82"/>
    <w:rsid w:val="002F3C36"/>
    <w:rsid w:val="002F3D23"/>
    <w:rsid w:val="002F3DDD"/>
    <w:rsid w:val="002F40E1"/>
    <w:rsid w:val="002F4161"/>
    <w:rsid w:val="002F4221"/>
    <w:rsid w:val="002F425B"/>
    <w:rsid w:val="002F42F5"/>
    <w:rsid w:val="002F4310"/>
    <w:rsid w:val="002F432E"/>
    <w:rsid w:val="002F4412"/>
    <w:rsid w:val="002F4616"/>
    <w:rsid w:val="002F466C"/>
    <w:rsid w:val="002F47B9"/>
    <w:rsid w:val="002F4801"/>
    <w:rsid w:val="002F4869"/>
    <w:rsid w:val="002F4913"/>
    <w:rsid w:val="002F49C5"/>
    <w:rsid w:val="002F4A07"/>
    <w:rsid w:val="002F4AFC"/>
    <w:rsid w:val="002F4B5C"/>
    <w:rsid w:val="002F4C99"/>
    <w:rsid w:val="002F4CEA"/>
    <w:rsid w:val="002F4D0E"/>
    <w:rsid w:val="002F4D17"/>
    <w:rsid w:val="002F4D1C"/>
    <w:rsid w:val="002F4E21"/>
    <w:rsid w:val="002F4E65"/>
    <w:rsid w:val="002F4F9F"/>
    <w:rsid w:val="002F500A"/>
    <w:rsid w:val="002F508E"/>
    <w:rsid w:val="002F50A9"/>
    <w:rsid w:val="002F50EA"/>
    <w:rsid w:val="002F5105"/>
    <w:rsid w:val="002F5236"/>
    <w:rsid w:val="002F5260"/>
    <w:rsid w:val="002F5281"/>
    <w:rsid w:val="002F52D7"/>
    <w:rsid w:val="002F52F4"/>
    <w:rsid w:val="002F5320"/>
    <w:rsid w:val="002F53AB"/>
    <w:rsid w:val="002F5471"/>
    <w:rsid w:val="002F549F"/>
    <w:rsid w:val="002F54A7"/>
    <w:rsid w:val="002F5512"/>
    <w:rsid w:val="002F5527"/>
    <w:rsid w:val="002F5537"/>
    <w:rsid w:val="002F556B"/>
    <w:rsid w:val="002F5578"/>
    <w:rsid w:val="002F5611"/>
    <w:rsid w:val="002F5749"/>
    <w:rsid w:val="002F5764"/>
    <w:rsid w:val="002F57D8"/>
    <w:rsid w:val="002F5806"/>
    <w:rsid w:val="002F581E"/>
    <w:rsid w:val="002F5917"/>
    <w:rsid w:val="002F59FF"/>
    <w:rsid w:val="002F5A97"/>
    <w:rsid w:val="002F5AA7"/>
    <w:rsid w:val="002F5AF2"/>
    <w:rsid w:val="002F5B0B"/>
    <w:rsid w:val="002F5BF1"/>
    <w:rsid w:val="002F5E43"/>
    <w:rsid w:val="002F5E6B"/>
    <w:rsid w:val="002F5F5E"/>
    <w:rsid w:val="002F5F85"/>
    <w:rsid w:val="002F6066"/>
    <w:rsid w:val="002F6096"/>
    <w:rsid w:val="002F60AB"/>
    <w:rsid w:val="002F613D"/>
    <w:rsid w:val="002F61C4"/>
    <w:rsid w:val="002F62A2"/>
    <w:rsid w:val="002F62A9"/>
    <w:rsid w:val="002F62CC"/>
    <w:rsid w:val="002F630B"/>
    <w:rsid w:val="002F638D"/>
    <w:rsid w:val="002F63F7"/>
    <w:rsid w:val="002F6516"/>
    <w:rsid w:val="002F6548"/>
    <w:rsid w:val="002F6563"/>
    <w:rsid w:val="002F6789"/>
    <w:rsid w:val="002F67DE"/>
    <w:rsid w:val="002F693F"/>
    <w:rsid w:val="002F6A47"/>
    <w:rsid w:val="002F6B02"/>
    <w:rsid w:val="002F6B87"/>
    <w:rsid w:val="002F6B95"/>
    <w:rsid w:val="002F6CB7"/>
    <w:rsid w:val="002F6D17"/>
    <w:rsid w:val="002F6D75"/>
    <w:rsid w:val="002F6D81"/>
    <w:rsid w:val="002F6DB6"/>
    <w:rsid w:val="002F6DE4"/>
    <w:rsid w:val="002F6F62"/>
    <w:rsid w:val="002F6F7D"/>
    <w:rsid w:val="002F6F9D"/>
    <w:rsid w:val="002F6FDE"/>
    <w:rsid w:val="002F6FE1"/>
    <w:rsid w:val="002F6FF1"/>
    <w:rsid w:val="002F7074"/>
    <w:rsid w:val="002F707F"/>
    <w:rsid w:val="002F70B0"/>
    <w:rsid w:val="002F70C2"/>
    <w:rsid w:val="002F716C"/>
    <w:rsid w:val="002F7233"/>
    <w:rsid w:val="002F73D5"/>
    <w:rsid w:val="002F73FE"/>
    <w:rsid w:val="002F7420"/>
    <w:rsid w:val="002F756B"/>
    <w:rsid w:val="002F75EE"/>
    <w:rsid w:val="002F76F9"/>
    <w:rsid w:val="002F786F"/>
    <w:rsid w:val="002F7A0D"/>
    <w:rsid w:val="002F7A6C"/>
    <w:rsid w:val="002F7AEC"/>
    <w:rsid w:val="002F7B6C"/>
    <w:rsid w:val="002F7C5A"/>
    <w:rsid w:val="002F7D31"/>
    <w:rsid w:val="002F7D6E"/>
    <w:rsid w:val="002F7D8D"/>
    <w:rsid w:val="002F7E16"/>
    <w:rsid w:val="002F7F21"/>
    <w:rsid w:val="0030000B"/>
    <w:rsid w:val="0030008C"/>
    <w:rsid w:val="0030018E"/>
    <w:rsid w:val="00300192"/>
    <w:rsid w:val="00300301"/>
    <w:rsid w:val="0030066C"/>
    <w:rsid w:val="003008CC"/>
    <w:rsid w:val="00300972"/>
    <w:rsid w:val="0030097A"/>
    <w:rsid w:val="00300A02"/>
    <w:rsid w:val="00300A71"/>
    <w:rsid w:val="00300A94"/>
    <w:rsid w:val="00300ABB"/>
    <w:rsid w:val="00300BD6"/>
    <w:rsid w:val="00300CB9"/>
    <w:rsid w:val="00300DEE"/>
    <w:rsid w:val="00300E9C"/>
    <w:rsid w:val="00300EFA"/>
    <w:rsid w:val="00300F7E"/>
    <w:rsid w:val="00300FAF"/>
    <w:rsid w:val="00300FC4"/>
    <w:rsid w:val="00301091"/>
    <w:rsid w:val="0030133B"/>
    <w:rsid w:val="00301392"/>
    <w:rsid w:val="00301569"/>
    <w:rsid w:val="00301571"/>
    <w:rsid w:val="00301614"/>
    <w:rsid w:val="00301763"/>
    <w:rsid w:val="0030179B"/>
    <w:rsid w:val="0030186F"/>
    <w:rsid w:val="00301921"/>
    <w:rsid w:val="0030192C"/>
    <w:rsid w:val="003019D8"/>
    <w:rsid w:val="00301CA1"/>
    <w:rsid w:val="00301CB2"/>
    <w:rsid w:val="00301D4D"/>
    <w:rsid w:val="00301D81"/>
    <w:rsid w:val="00301E4B"/>
    <w:rsid w:val="00301E8D"/>
    <w:rsid w:val="00301EE9"/>
    <w:rsid w:val="00301EEB"/>
    <w:rsid w:val="00301F02"/>
    <w:rsid w:val="00301F04"/>
    <w:rsid w:val="00301F93"/>
    <w:rsid w:val="00301FAD"/>
    <w:rsid w:val="00301FEF"/>
    <w:rsid w:val="0030211F"/>
    <w:rsid w:val="00302142"/>
    <w:rsid w:val="003021A5"/>
    <w:rsid w:val="003021EB"/>
    <w:rsid w:val="00302252"/>
    <w:rsid w:val="0030228F"/>
    <w:rsid w:val="0030263E"/>
    <w:rsid w:val="00302660"/>
    <w:rsid w:val="00302726"/>
    <w:rsid w:val="00302749"/>
    <w:rsid w:val="0030274F"/>
    <w:rsid w:val="00302759"/>
    <w:rsid w:val="003028EF"/>
    <w:rsid w:val="00302985"/>
    <w:rsid w:val="00302A91"/>
    <w:rsid w:val="00302AAD"/>
    <w:rsid w:val="00302C8E"/>
    <w:rsid w:val="00302C90"/>
    <w:rsid w:val="00302CE2"/>
    <w:rsid w:val="00302E73"/>
    <w:rsid w:val="00302F89"/>
    <w:rsid w:val="00302FAB"/>
    <w:rsid w:val="003030AA"/>
    <w:rsid w:val="0030323C"/>
    <w:rsid w:val="00303294"/>
    <w:rsid w:val="003032DA"/>
    <w:rsid w:val="003032DE"/>
    <w:rsid w:val="00303313"/>
    <w:rsid w:val="003034A7"/>
    <w:rsid w:val="003034B2"/>
    <w:rsid w:val="003035FE"/>
    <w:rsid w:val="003036C8"/>
    <w:rsid w:val="0030380F"/>
    <w:rsid w:val="00303895"/>
    <w:rsid w:val="00303937"/>
    <w:rsid w:val="00303943"/>
    <w:rsid w:val="003039A2"/>
    <w:rsid w:val="003039F9"/>
    <w:rsid w:val="00303A39"/>
    <w:rsid w:val="00303A59"/>
    <w:rsid w:val="00303AB9"/>
    <w:rsid w:val="00303B30"/>
    <w:rsid w:val="00303C60"/>
    <w:rsid w:val="00303CB6"/>
    <w:rsid w:val="00303D91"/>
    <w:rsid w:val="00303DE0"/>
    <w:rsid w:val="00303E39"/>
    <w:rsid w:val="00303E8A"/>
    <w:rsid w:val="00303EDD"/>
    <w:rsid w:val="00303F16"/>
    <w:rsid w:val="00303F74"/>
    <w:rsid w:val="00303FC6"/>
    <w:rsid w:val="0030403D"/>
    <w:rsid w:val="003040F8"/>
    <w:rsid w:val="00304100"/>
    <w:rsid w:val="00304299"/>
    <w:rsid w:val="003042B8"/>
    <w:rsid w:val="00304332"/>
    <w:rsid w:val="0030446A"/>
    <w:rsid w:val="003044BF"/>
    <w:rsid w:val="00304551"/>
    <w:rsid w:val="0030456E"/>
    <w:rsid w:val="003045D3"/>
    <w:rsid w:val="0030460A"/>
    <w:rsid w:val="00304791"/>
    <w:rsid w:val="0030482A"/>
    <w:rsid w:val="00304863"/>
    <w:rsid w:val="00304A0D"/>
    <w:rsid w:val="00304A5F"/>
    <w:rsid w:val="00304AE8"/>
    <w:rsid w:val="00304B3D"/>
    <w:rsid w:val="00304B44"/>
    <w:rsid w:val="00304C07"/>
    <w:rsid w:val="00304CCB"/>
    <w:rsid w:val="00304D2B"/>
    <w:rsid w:val="00304E1A"/>
    <w:rsid w:val="00304E51"/>
    <w:rsid w:val="00304FB8"/>
    <w:rsid w:val="00305021"/>
    <w:rsid w:val="00305048"/>
    <w:rsid w:val="00305056"/>
    <w:rsid w:val="00305083"/>
    <w:rsid w:val="00305099"/>
    <w:rsid w:val="003050DD"/>
    <w:rsid w:val="003051AD"/>
    <w:rsid w:val="00305284"/>
    <w:rsid w:val="003052C0"/>
    <w:rsid w:val="003052FB"/>
    <w:rsid w:val="003053DA"/>
    <w:rsid w:val="00305573"/>
    <w:rsid w:val="003055DC"/>
    <w:rsid w:val="003055FE"/>
    <w:rsid w:val="00305661"/>
    <w:rsid w:val="003056CE"/>
    <w:rsid w:val="00305758"/>
    <w:rsid w:val="00305789"/>
    <w:rsid w:val="003057DA"/>
    <w:rsid w:val="003059C8"/>
    <w:rsid w:val="00305AE8"/>
    <w:rsid w:val="00305B5F"/>
    <w:rsid w:val="00305BAA"/>
    <w:rsid w:val="00305C3F"/>
    <w:rsid w:val="00305C59"/>
    <w:rsid w:val="00305EC2"/>
    <w:rsid w:val="00305F2B"/>
    <w:rsid w:val="00305F62"/>
    <w:rsid w:val="00306060"/>
    <w:rsid w:val="0030624A"/>
    <w:rsid w:val="003064A6"/>
    <w:rsid w:val="00306580"/>
    <w:rsid w:val="00306716"/>
    <w:rsid w:val="00306730"/>
    <w:rsid w:val="0030680D"/>
    <w:rsid w:val="003069B8"/>
    <w:rsid w:val="003069E6"/>
    <w:rsid w:val="00306B96"/>
    <w:rsid w:val="00306C4A"/>
    <w:rsid w:val="00306C5A"/>
    <w:rsid w:val="00306C71"/>
    <w:rsid w:val="00306CBB"/>
    <w:rsid w:val="00306D2C"/>
    <w:rsid w:val="00306DF3"/>
    <w:rsid w:val="00306E4D"/>
    <w:rsid w:val="00306EBA"/>
    <w:rsid w:val="00306F47"/>
    <w:rsid w:val="00306FEF"/>
    <w:rsid w:val="0030701E"/>
    <w:rsid w:val="003070AE"/>
    <w:rsid w:val="00307110"/>
    <w:rsid w:val="0030715E"/>
    <w:rsid w:val="00307276"/>
    <w:rsid w:val="00307299"/>
    <w:rsid w:val="0030731E"/>
    <w:rsid w:val="00307323"/>
    <w:rsid w:val="0030740D"/>
    <w:rsid w:val="00307486"/>
    <w:rsid w:val="0030748A"/>
    <w:rsid w:val="00307664"/>
    <w:rsid w:val="003076F1"/>
    <w:rsid w:val="00307747"/>
    <w:rsid w:val="00307749"/>
    <w:rsid w:val="0030778C"/>
    <w:rsid w:val="00307827"/>
    <w:rsid w:val="0030785B"/>
    <w:rsid w:val="0030785F"/>
    <w:rsid w:val="00307911"/>
    <w:rsid w:val="0030792A"/>
    <w:rsid w:val="003079E2"/>
    <w:rsid w:val="003079F3"/>
    <w:rsid w:val="00307C0F"/>
    <w:rsid w:val="00307D15"/>
    <w:rsid w:val="00307D28"/>
    <w:rsid w:val="00307DB4"/>
    <w:rsid w:val="00307DBF"/>
    <w:rsid w:val="00307ECE"/>
    <w:rsid w:val="00307FB9"/>
    <w:rsid w:val="00310011"/>
    <w:rsid w:val="003100B2"/>
    <w:rsid w:val="003101B4"/>
    <w:rsid w:val="00310247"/>
    <w:rsid w:val="0031029F"/>
    <w:rsid w:val="0031032C"/>
    <w:rsid w:val="00310390"/>
    <w:rsid w:val="003103D3"/>
    <w:rsid w:val="0031044A"/>
    <w:rsid w:val="003105B9"/>
    <w:rsid w:val="003105ED"/>
    <w:rsid w:val="0031063F"/>
    <w:rsid w:val="0031069B"/>
    <w:rsid w:val="00310799"/>
    <w:rsid w:val="0031095C"/>
    <w:rsid w:val="003109BB"/>
    <w:rsid w:val="00310A1F"/>
    <w:rsid w:val="00310A3E"/>
    <w:rsid w:val="00310A9B"/>
    <w:rsid w:val="00310B9B"/>
    <w:rsid w:val="00310C03"/>
    <w:rsid w:val="00310C3F"/>
    <w:rsid w:val="00310E2C"/>
    <w:rsid w:val="00310E5B"/>
    <w:rsid w:val="00310F0C"/>
    <w:rsid w:val="00310F11"/>
    <w:rsid w:val="00310F3A"/>
    <w:rsid w:val="00310FA8"/>
    <w:rsid w:val="003110A7"/>
    <w:rsid w:val="003110F5"/>
    <w:rsid w:val="00311171"/>
    <w:rsid w:val="0031131E"/>
    <w:rsid w:val="003113E2"/>
    <w:rsid w:val="0031146D"/>
    <w:rsid w:val="00311583"/>
    <w:rsid w:val="00311627"/>
    <w:rsid w:val="003116AD"/>
    <w:rsid w:val="00311778"/>
    <w:rsid w:val="0031179F"/>
    <w:rsid w:val="003118B7"/>
    <w:rsid w:val="0031197F"/>
    <w:rsid w:val="00311A01"/>
    <w:rsid w:val="00311A02"/>
    <w:rsid w:val="00311B25"/>
    <w:rsid w:val="00311BDF"/>
    <w:rsid w:val="00311C1E"/>
    <w:rsid w:val="00311C31"/>
    <w:rsid w:val="00311C6F"/>
    <w:rsid w:val="00311D25"/>
    <w:rsid w:val="00311D42"/>
    <w:rsid w:val="00311D70"/>
    <w:rsid w:val="00311D9C"/>
    <w:rsid w:val="00311F1F"/>
    <w:rsid w:val="00311F6E"/>
    <w:rsid w:val="00311FAB"/>
    <w:rsid w:val="00311FB9"/>
    <w:rsid w:val="00311FCF"/>
    <w:rsid w:val="00312098"/>
    <w:rsid w:val="003120AA"/>
    <w:rsid w:val="003120DF"/>
    <w:rsid w:val="003120EA"/>
    <w:rsid w:val="003121E9"/>
    <w:rsid w:val="0031222D"/>
    <w:rsid w:val="0031233F"/>
    <w:rsid w:val="0031246A"/>
    <w:rsid w:val="00312544"/>
    <w:rsid w:val="003125A2"/>
    <w:rsid w:val="003125B1"/>
    <w:rsid w:val="00312652"/>
    <w:rsid w:val="0031275A"/>
    <w:rsid w:val="00312800"/>
    <w:rsid w:val="00312805"/>
    <w:rsid w:val="00312870"/>
    <w:rsid w:val="003128A4"/>
    <w:rsid w:val="003128BB"/>
    <w:rsid w:val="00312955"/>
    <w:rsid w:val="0031298D"/>
    <w:rsid w:val="00312A6C"/>
    <w:rsid w:val="00312C52"/>
    <w:rsid w:val="00312D2C"/>
    <w:rsid w:val="00312DEA"/>
    <w:rsid w:val="00312E77"/>
    <w:rsid w:val="00312F19"/>
    <w:rsid w:val="00312F21"/>
    <w:rsid w:val="00312F9C"/>
    <w:rsid w:val="00312FB1"/>
    <w:rsid w:val="00313097"/>
    <w:rsid w:val="003130F5"/>
    <w:rsid w:val="00313191"/>
    <w:rsid w:val="003134B5"/>
    <w:rsid w:val="003134E1"/>
    <w:rsid w:val="00313543"/>
    <w:rsid w:val="00313593"/>
    <w:rsid w:val="00313689"/>
    <w:rsid w:val="0031370A"/>
    <w:rsid w:val="00313885"/>
    <w:rsid w:val="003138AE"/>
    <w:rsid w:val="003138BD"/>
    <w:rsid w:val="00313CD7"/>
    <w:rsid w:val="00313E59"/>
    <w:rsid w:val="00313F2F"/>
    <w:rsid w:val="00313F6E"/>
    <w:rsid w:val="00313F70"/>
    <w:rsid w:val="003140D2"/>
    <w:rsid w:val="00314179"/>
    <w:rsid w:val="0031422F"/>
    <w:rsid w:val="003142AE"/>
    <w:rsid w:val="00314415"/>
    <w:rsid w:val="00314452"/>
    <w:rsid w:val="00314481"/>
    <w:rsid w:val="00314590"/>
    <w:rsid w:val="003145D1"/>
    <w:rsid w:val="003145E5"/>
    <w:rsid w:val="003146E6"/>
    <w:rsid w:val="003146F6"/>
    <w:rsid w:val="003146FC"/>
    <w:rsid w:val="003147A1"/>
    <w:rsid w:val="003147C7"/>
    <w:rsid w:val="00314821"/>
    <w:rsid w:val="0031482C"/>
    <w:rsid w:val="0031487A"/>
    <w:rsid w:val="00314956"/>
    <w:rsid w:val="00314982"/>
    <w:rsid w:val="003149C4"/>
    <w:rsid w:val="00314A64"/>
    <w:rsid w:val="00314B57"/>
    <w:rsid w:val="00314BF3"/>
    <w:rsid w:val="00314C78"/>
    <w:rsid w:val="00314CC6"/>
    <w:rsid w:val="00314D00"/>
    <w:rsid w:val="00314D24"/>
    <w:rsid w:val="00314D27"/>
    <w:rsid w:val="00314D64"/>
    <w:rsid w:val="00314E07"/>
    <w:rsid w:val="00314FE5"/>
    <w:rsid w:val="003150E4"/>
    <w:rsid w:val="0031512E"/>
    <w:rsid w:val="0031522D"/>
    <w:rsid w:val="0031522F"/>
    <w:rsid w:val="00315293"/>
    <w:rsid w:val="003152A3"/>
    <w:rsid w:val="00315445"/>
    <w:rsid w:val="0031553C"/>
    <w:rsid w:val="00315555"/>
    <w:rsid w:val="003155F4"/>
    <w:rsid w:val="003156DC"/>
    <w:rsid w:val="00315770"/>
    <w:rsid w:val="00315811"/>
    <w:rsid w:val="003158F1"/>
    <w:rsid w:val="003159AE"/>
    <w:rsid w:val="003159DB"/>
    <w:rsid w:val="003159E1"/>
    <w:rsid w:val="00315A87"/>
    <w:rsid w:val="00315AA9"/>
    <w:rsid w:val="00315ACF"/>
    <w:rsid w:val="00315BCA"/>
    <w:rsid w:val="00315BF2"/>
    <w:rsid w:val="00315CF7"/>
    <w:rsid w:val="00315DD5"/>
    <w:rsid w:val="00315DDC"/>
    <w:rsid w:val="00315E2E"/>
    <w:rsid w:val="00315EB0"/>
    <w:rsid w:val="00315FCB"/>
    <w:rsid w:val="00315FE0"/>
    <w:rsid w:val="003160A8"/>
    <w:rsid w:val="003160C1"/>
    <w:rsid w:val="003161AC"/>
    <w:rsid w:val="0031620E"/>
    <w:rsid w:val="0031628B"/>
    <w:rsid w:val="003163A2"/>
    <w:rsid w:val="003163FE"/>
    <w:rsid w:val="00316557"/>
    <w:rsid w:val="00316738"/>
    <w:rsid w:val="003167F2"/>
    <w:rsid w:val="0031686F"/>
    <w:rsid w:val="00316924"/>
    <w:rsid w:val="00316B74"/>
    <w:rsid w:val="00316BEF"/>
    <w:rsid w:val="00316C1F"/>
    <w:rsid w:val="00316CB3"/>
    <w:rsid w:val="00316CF6"/>
    <w:rsid w:val="00316D19"/>
    <w:rsid w:val="00316F03"/>
    <w:rsid w:val="00317009"/>
    <w:rsid w:val="00317014"/>
    <w:rsid w:val="00317049"/>
    <w:rsid w:val="00317141"/>
    <w:rsid w:val="00317146"/>
    <w:rsid w:val="0031722E"/>
    <w:rsid w:val="00317248"/>
    <w:rsid w:val="0031728F"/>
    <w:rsid w:val="003172ED"/>
    <w:rsid w:val="003173BF"/>
    <w:rsid w:val="003173CD"/>
    <w:rsid w:val="003173F7"/>
    <w:rsid w:val="00317427"/>
    <w:rsid w:val="00317523"/>
    <w:rsid w:val="003175BC"/>
    <w:rsid w:val="00317706"/>
    <w:rsid w:val="00317714"/>
    <w:rsid w:val="0031786F"/>
    <w:rsid w:val="003178A7"/>
    <w:rsid w:val="003178AA"/>
    <w:rsid w:val="0031792B"/>
    <w:rsid w:val="00317A6B"/>
    <w:rsid w:val="00317A88"/>
    <w:rsid w:val="00317C2E"/>
    <w:rsid w:val="00317CF1"/>
    <w:rsid w:val="00317DDC"/>
    <w:rsid w:val="00317E2E"/>
    <w:rsid w:val="00317EAE"/>
    <w:rsid w:val="00317F12"/>
    <w:rsid w:val="00317FB1"/>
    <w:rsid w:val="00317FBF"/>
    <w:rsid w:val="00317FD8"/>
    <w:rsid w:val="00317FEF"/>
    <w:rsid w:val="0032007F"/>
    <w:rsid w:val="003201E7"/>
    <w:rsid w:val="003203D2"/>
    <w:rsid w:val="003204B5"/>
    <w:rsid w:val="003204D8"/>
    <w:rsid w:val="00320589"/>
    <w:rsid w:val="0032069B"/>
    <w:rsid w:val="003207C2"/>
    <w:rsid w:val="003207F1"/>
    <w:rsid w:val="00320861"/>
    <w:rsid w:val="00320939"/>
    <w:rsid w:val="00320A17"/>
    <w:rsid w:val="00320A33"/>
    <w:rsid w:val="00320AA4"/>
    <w:rsid w:val="00320DF8"/>
    <w:rsid w:val="00320F3E"/>
    <w:rsid w:val="00321037"/>
    <w:rsid w:val="003211E3"/>
    <w:rsid w:val="003211F5"/>
    <w:rsid w:val="0032132D"/>
    <w:rsid w:val="0032135A"/>
    <w:rsid w:val="003214C6"/>
    <w:rsid w:val="0032150A"/>
    <w:rsid w:val="00321555"/>
    <w:rsid w:val="003215C4"/>
    <w:rsid w:val="0032164C"/>
    <w:rsid w:val="003216DB"/>
    <w:rsid w:val="003217C1"/>
    <w:rsid w:val="003217C7"/>
    <w:rsid w:val="00321830"/>
    <w:rsid w:val="00321909"/>
    <w:rsid w:val="00321920"/>
    <w:rsid w:val="0032197B"/>
    <w:rsid w:val="0032199E"/>
    <w:rsid w:val="003219D2"/>
    <w:rsid w:val="00321A50"/>
    <w:rsid w:val="00321A56"/>
    <w:rsid w:val="00321A65"/>
    <w:rsid w:val="00321B4D"/>
    <w:rsid w:val="00321B73"/>
    <w:rsid w:val="00321BB2"/>
    <w:rsid w:val="00321C33"/>
    <w:rsid w:val="00321D1D"/>
    <w:rsid w:val="00321D9A"/>
    <w:rsid w:val="003220BD"/>
    <w:rsid w:val="003220F3"/>
    <w:rsid w:val="00322198"/>
    <w:rsid w:val="003221EE"/>
    <w:rsid w:val="00322345"/>
    <w:rsid w:val="003223B4"/>
    <w:rsid w:val="003224CE"/>
    <w:rsid w:val="00322590"/>
    <w:rsid w:val="003225F4"/>
    <w:rsid w:val="0032265C"/>
    <w:rsid w:val="0032273F"/>
    <w:rsid w:val="003227A0"/>
    <w:rsid w:val="00322833"/>
    <w:rsid w:val="00322871"/>
    <w:rsid w:val="003229D9"/>
    <w:rsid w:val="00322B78"/>
    <w:rsid w:val="00322BD5"/>
    <w:rsid w:val="00322C51"/>
    <w:rsid w:val="00322C84"/>
    <w:rsid w:val="00322CF9"/>
    <w:rsid w:val="00322D13"/>
    <w:rsid w:val="00322D75"/>
    <w:rsid w:val="00322DA9"/>
    <w:rsid w:val="00322DAD"/>
    <w:rsid w:val="00322DE6"/>
    <w:rsid w:val="00322DF5"/>
    <w:rsid w:val="00322EA3"/>
    <w:rsid w:val="00322FCD"/>
    <w:rsid w:val="00323074"/>
    <w:rsid w:val="003230B5"/>
    <w:rsid w:val="003230F3"/>
    <w:rsid w:val="00323255"/>
    <w:rsid w:val="0032325A"/>
    <w:rsid w:val="0032327D"/>
    <w:rsid w:val="003232A3"/>
    <w:rsid w:val="003232CF"/>
    <w:rsid w:val="003232E6"/>
    <w:rsid w:val="00323363"/>
    <w:rsid w:val="00323403"/>
    <w:rsid w:val="0032357F"/>
    <w:rsid w:val="0032376C"/>
    <w:rsid w:val="00323838"/>
    <w:rsid w:val="003239C9"/>
    <w:rsid w:val="00323A12"/>
    <w:rsid w:val="00323AD6"/>
    <w:rsid w:val="00323AF6"/>
    <w:rsid w:val="00323BFA"/>
    <w:rsid w:val="00323C82"/>
    <w:rsid w:val="00323CA3"/>
    <w:rsid w:val="00323CBE"/>
    <w:rsid w:val="00323D71"/>
    <w:rsid w:val="00323D79"/>
    <w:rsid w:val="00323D85"/>
    <w:rsid w:val="00323EFC"/>
    <w:rsid w:val="00323F91"/>
    <w:rsid w:val="00324036"/>
    <w:rsid w:val="0032414D"/>
    <w:rsid w:val="0032431E"/>
    <w:rsid w:val="00324390"/>
    <w:rsid w:val="003243A8"/>
    <w:rsid w:val="00324458"/>
    <w:rsid w:val="003244A2"/>
    <w:rsid w:val="00324611"/>
    <w:rsid w:val="003248BC"/>
    <w:rsid w:val="00324A40"/>
    <w:rsid w:val="00324A85"/>
    <w:rsid w:val="00324B11"/>
    <w:rsid w:val="00324B1F"/>
    <w:rsid w:val="00324C2A"/>
    <w:rsid w:val="00324C31"/>
    <w:rsid w:val="00324CED"/>
    <w:rsid w:val="00324D1F"/>
    <w:rsid w:val="00324D52"/>
    <w:rsid w:val="00324E3C"/>
    <w:rsid w:val="00324F05"/>
    <w:rsid w:val="003250AF"/>
    <w:rsid w:val="003250B0"/>
    <w:rsid w:val="003250B7"/>
    <w:rsid w:val="00325160"/>
    <w:rsid w:val="003251C2"/>
    <w:rsid w:val="0032523D"/>
    <w:rsid w:val="00325386"/>
    <w:rsid w:val="003253D2"/>
    <w:rsid w:val="00325485"/>
    <w:rsid w:val="003254E2"/>
    <w:rsid w:val="0032558D"/>
    <w:rsid w:val="00325672"/>
    <w:rsid w:val="00325688"/>
    <w:rsid w:val="003256BD"/>
    <w:rsid w:val="0032578A"/>
    <w:rsid w:val="003258C9"/>
    <w:rsid w:val="00325917"/>
    <w:rsid w:val="00325A17"/>
    <w:rsid w:val="00325A8E"/>
    <w:rsid w:val="00325B3F"/>
    <w:rsid w:val="00325C85"/>
    <w:rsid w:val="00325D32"/>
    <w:rsid w:val="00325EEA"/>
    <w:rsid w:val="00325FA0"/>
    <w:rsid w:val="00326009"/>
    <w:rsid w:val="0032610C"/>
    <w:rsid w:val="00326138"/>
    <w:rsid w:val="00326160"/>
    <w:rsid w:val="00326227"/>
    <w:rsid w:val="003262CE"/>
    <w:rsid w:val="00326360"/>
    <w:rsid w:val="003263D3"/>
    <w:rsid w:val="00326421"/>
    <w:rsid w:val="003264DB"/>
    <w:rsid w:val="00326529"/>
    <w:rsid w:val="0032677B"/>
    <w:rsid w:val="003267C6"/>
    <w:rsid w:val="00326812"/>
    <w:rsid w:val="00326831"/>
    <w:rsid w:val="003268B3"/>
    <w:rsid w:val="00326949"/>
    <w:rsid w:val="0032697A"/>
    <w:rsid w:val="00326A2C"/>
    <w:rsid w:val="00326AE5"/>
    <w:rsid w:val="00326B19"/>
    <w:rsid w:val="00326BB0"/>
    <w:rsid w:val="00326C09"/>
    <w:rsid w:val="00326C6B"/>
    <w:rsid w:val="00326C9F"/>
    <w:rsid w:val="00326D17"/>
    <w:rsid w:val="00326D57"/>
    <w:rsid w:val="00326E1D"/>
    <w:rsid w:val="00326E6D"/>
    <w:rsid w:val="00326F1C"/>
    <w:rsid w:val="00326F3C"/>
    <w:rsid w:val="00326F7F"/>
    <w:rsid w:val="00326FD1"/>
    <w:rsid w:val="00327162"/>
    <w:rsid w:val="003271A6"/>
    <w:rsid w:val="0032726D"/>
    <w:rsid w:val="00327353"/>
    <w:rsid w:val="0032738F"/>
    <w:rsid w:val="003274E8"/>
    <w:rsid w:val="0032751C"/>
    <w:rsid w:val="003275B8"/>
    <w:rsid w:val="0032792A"/>
    <w:rsid w:val="00327952"/>
    <w:rsid w:val="003279DF"/>
    <w:rsid w:val="00327A7A"/>
    <w:rsid w:val="00327AF7"/>
    <w:rsid w:val="00327BD9"/>
    <w:rsid w:val="00327BE0"/>
    <w:rsid w:val="00327CEE"/>
    <w:rsid w:val="00327D33"/>
    <w:rsid w:val="00327D36"/>
    <w:rsid w:val="00327D54"/>
    <w:rsid w:val="00327DD1"/>
    <w:rsid w:val="00327E9E"/>
    <w:rsid w:val="00327EA9"/>
    <w:rsid w:val="00330096"/>
    <w:rsid w:val="0033009D"/>
    <w:rsid w:val="003301F2"/>
    <w:rsid w:val="003301FC"/>
    <w:rsid w:val="003302A5"/>
    <w:rsid w:val="00330359"/>
    <w:rsid w:val="003303E7"/>
    <w:rsid w:val="003304E6"/>
    <w:rsid w:val="00330533"/>
    <w:rsid w:val="00330554"/>
    <w:rsid w:val="0033061E"/>
    <w:rsid w:val="00330733"/>
    <w:rsid w:val="00330746"/>
    <w:rsid w:val="00330801"/>
    <w:rsid w:val="0033087F"/>
    <w:rsid w:val="003308D7"/>
    <w:rsid w:val="00330974"/>
    <w:rsid w:val="003309BC"/>
    <w:rsid w:val="00330A0A"/>
    <w:rsid w:val="00330A46"/>
    <w:rsid w:val="00330A63"/>
    <w:rsid w:val="00330AAA"/>
    <w:rsid w:val="00330AE8"/>
    <w:rsid w:val="00330BB2"/>
    <w:rsid w:val="00330D98"/>
    <w:rsid w:val="00330E4D"/>
    <w:rsid w:val="00330F2F"/>
    <w:rsid w:val="00330F31"/>
    <w:rsid w:val="00330F7F"/>
    <w:rsid w:val="0033107E"/>
    <w:rsid w:val="003310D4"/>
    <w:rsid w:val="0033116A"/>
    <w:rsid w:val="003311A6"/>
    <w:rsid w:val="003311FA"/>
    <w:rsid w:val="003315CC"/>
    <w:rsid w:val="0033174B"/>
    <w:rsid w:val="00331762"/>
    <w:rsid w:val="0033186D"/>
    <w:rsid w:val="00331A43"/>
    <w:rsid w:val="00331A72"/>
    <w:rsid w:val="00331C95"/>
    <w:rsid w:val="00331CE0"/>
    <w:rsid w:val="00331F60"/>
    <w:rsid w:val="00332047"/>
    <w:rsid w:val="003320AE"/>
    <w:rsid w:val="003320FC"/>
    <w:rsid w:val="0033210F"/>
    <w:rsid w:val="003321DB"/>
    <w:rsid w:val="003321E2"/>
    <w:rsid w:val="00332225"/>
    <w:rsid w:val="003323B6"/>
    <w:rsid w:val="003323DC"/>
    <w:rsid w:val="0033242D"/>
    <w:rsid w:val="00332443"/>
    <w:rsid w:val="0033248D"/>
    <w:rsid w:val="00332543"/>
    <w:rsid w:val="003326AC"/>
    <w:rsid w:val="00332753"/>
    <w:rsid w:val="003327B2"/>
    <w:rsid w:val="003327D6"/>
    <w:rsid w:val="00332837"/>
    <w:rsid w:val="003328A9"/>
    <w:rsid w:val="003328E6"/>
    <w:rsid w:val="0033293C"/>
    <w:rsid w:val="00332963"/>
    <w:rsid w:val="0033299D"/>
    <w:rsid w:val="00332BFC"/>
    <w:rsid w:val="00332C2C"/>
    <w:rsid w:val="00332C65"/>
    <w:rsid w:val="00332FAB"/>
    <w:rsid w:val="00332FDA"/>
    <w:rsid w:val="0033303A"/>
    <w:rsid w:val="00333108"/>
    <w:rsid w:val="00333218"/>
    <w:rsid w:val="00333254"/>
    <w:rsid w:val="003335DD"/>
    <w:rsid w:val="00333686"/>
    <w:rsid w:val="0033372A"/>
    <w:rsid w:val="003337DB"/>
    <w:rsid w:val="003338F4"/>
    <w:rsid w:val="00333916"/>
    <w:rsid w:val="00333BF4"/>
    <w:rsid w:val="00333C8E"/>
    <w:rsid w:val="00333D2E"/>
    <w:rsid w:val="00333D4C"/>
    <w:rsid w:val="00333E2E"/>
    <w:rsid w:val="00333F45"/>
    <w:rsid w:val="00333FE8"/>
    <w:rsid w:val="00334105"/>
    <w:rsid w:val="003341F2"/>
    <w:rsid w:val="003342C9"/>
    <w:rsid w:val="003342EE"/>
    <w:rsid w:val="003344C0"/>
    <w:rsid w:val="003344D5"/>
    <w:rsid w:val="0033451F"/>
    <w:rsid w:val="0033457F"/>
    <w:rsid w:val="003345B1"/>
    <w:rsid w:val="003345F1"/>
    <w:rsid w:val="003346CB"/>
    <w:rsid w:val="003346EA"/>
    <w:rsid w:val="00334755"/>
    <w:rsid w:val="0033476C"/>
    <w:rsid w:val="003347FD"/>
    <w:rsid w:val="00334823"/>
    <w:rsid w:val="00334841"/>
    <w:rsid w:val="0033487B"/>
    <w:rsid w:val="003348C0"/>
    <w:rsid w:val="00334931"/>
    <w:rsid w:val="00334963"/>
    <w:rsid w:val="00334983"/>
    <w:rsid w:val="00334ABB"/>
    <w:rsid w:val="00334AD6"/>
    <w:rsid w:val="00334B73"/>
    <w:rsid w:val="00334C85"/>
    <w:rsid w:val="00334CA2"/>
    <w:rsid w:val="00334CEE"/>
    <w:rsid w:val="00334D61"/>
    <w:rsid w:val="00334D6F"/>
    <w:rsid w:val="00334D96"/>
    <w:rsid w:val="00334E2A"/>
    <w:rsid w:val="00334F8A"/>
    <w:rsid w:val="0033502F"/>
    <w:rsid w:val="00335120"/>
    <w:rsid w:val="00335365"/>
    <w:rsid w:val="003353CB"/>
    <w:rsid w:val="00335496"/>
    <w:rsid w:val="0033549B"/>
    <w:rsid w:val="0033557D"/>
    <w:rsid w:val="0033570A"/>
    <w:rsid w:val="00335768"/>
    <w:rsid w:val="00335798"/>
    <w:rsid w:val="003357C7"/>
    <w:rsid w:val="003358E0"/>
    <w:rsid w:val="0033593C"/>
    <w:rsid w:val="003359B1"/>
    <w:rsid w:val="003359B3"/>
    <w:rsid w:val="00335A04"/>
    <w:rsid w:val="00335AF7"/>
    <w:rsid w:val="00335C3B"/>
    <w:rsid w:val="00335C57"/>
    <w:rsid w:val="00335D0D"/>
    <w:rsid w:val="00335EB3"/>
    <w:rsid w:val="00335EC0"/>
    <w:rsid w:val="00335F84"/>
    <w:rsid w:val="00335FA2"/>
    <w:rsid w:val="00335FD6"/>
    <w:rsid w:val="0033602A"/>
    <w:rsid w:val="00336060"/>
    <w:rsid w:val="0033611B"/>
    <w:rsid w:val="003361B0"/>
    <w:rsid w:val="003361EE"/>
    <w:rsid w:val="00336223"/>
    <w:rsid w:val="0033623D"/>
    <w:rsid w:val="00336248"/>
    <w:rsid w:val="0033633B"/>
    <w:rsid w:val="003363A5"/>
    <w:rsid w:val="003363AB"/>
    <w:rsid w:val="00336472"/>
    <w:rsid w:val="003364DA"/>
    <w:rsid w:val="0033651E"/>
    <w:rsid w:val="0033652A"/>
    <w:rsid w:val="00336572"/>
    <w:rsid w:val="00336600"/>
    <w:rsid w:val="003367B9"/>
    <w:rsid w:val="00336804"/>
    <w:rsid w:val="00336862"/>
    <w:rsid w:val="0033697A"/>
    <w:rsid w:val="003369EB"/>
    <w:rsid w:val="00336A23"/>
    <w:rsid w:val="00336ADF"/>
    <w:rsid w:val="00336AEF"/>
    <w:rsid w:val="00336AFA"/>
    <w:rsid w:val="00336BD3"/>
    <w:rsid w:val="00336BE6"/>
    <w:rsid w:val="00336C23"/>
    <w:rsid w:val="00336C3F"/>
    <w:rsid w:val="00336C57"/>
    <w:rsid w:val="00336C8E"/>
    <w:rsid w:val="00336E83"/>
    <w:rsid w:val="00336EAE"/>
    <w:rsid w:val="00336EE6"/>
    <w:rsid w:val="00336F7A"/>
    <w:rsid w:val="003371B5"/>
    <w:rsid w:val="00337233"/>
    <w:rsid w:val="00337240"/>
    <w:rsid w:val="00337280"/>
    <w:rsid w:val="003372CC"/>
    <w:rsid w:val="00337364"/>
    <w:rsid w:val="00337365"/>
    <w:rsid w:val="003373C5"/>
    <w:rsid w:val="0033740E"/>
    <w:rsid w:val="003374A9"/>
    <w:rsid w:val="00337644"/>
    <w:rsid w:val="0033781C"/>
    <w:rsid w:val="0033782C"/>
    <w:rsid w:val="0033790C"/>
    <w:rsid w:val="003379CC"/>
    <w:rsid w:val="003379CE"/>
    <w:rsid w:val="00337A15"/>
    <w:rsid w:val="00337A1E"/>
    <w:rsid w:val="00337AA1"/>
    <w:rsid w:val="00337AB7"/>
    <w:rsid w:val="00337B2F"/>
    <w:rsid w:val="00337B79"/>
    <w:rsid w:val="00337BAF"/>
    <w:rsid w:val="00337C29"/>
    <w:rsid w:val="00337C6E"/>
    <w:rsid w:val="00337C89"/>
    <w:rsid w:val="00337D48"/>
    <w:rsid w:val="00337D8D"/>
    <w:rsid w:val="00337D9D"/>
    <w:rsid w:val="00337DF3"/>
    <w:rsid w:val="00337E4E"/>
    <w:rsid w:val="00337E67"/>
    <w:rsid w:val="00337E6F"/>
    <w:rsid w:val="00340092"/>
    <w:rsid w:val="00340157"/>
    <w:rsid w:val="00340230"/>
    <w:rsid w:val="003402DB"/>
    <w:rsid w:val="00340341"/>
    <w:rsid w:val="00340427"/>
    <w:rsid w:val="0034054E"/>
    <w:rsid w:val="00340596"/>
    <w:rsid w:val="0034059E"/>
    <w:rsid w:val="003406EA"/>
    <w:rsid w:val="0034079F"/>
    <w:rsid w:val="003407B8"/>
    <w:rsid w:val="003407C7"/>
    <w:rsid w:val="00340878"/>
    <w:rsid w:val="003408A0"/>
    <w:rsid w:val="00340937"/>
    <w:rsid w:val="003409A9"/>
    <w:rsid w:val="003409D4"/>
    <w:rsid w:val="00340A8F"/>
    <w:rsid w:val="00340AA2"/>
    <w:rsid w:val="00340B08"/>
    <w:rsid w:val="00340B64"/>
    <w:rsid w:val="00340C00"/>
    <w:rsid w:val="00340C43"/>
    <w:rsid w:val="00340CDC"/>
    <w:rsid w:val="00340D10"/>
    <w:rsid w:val="00340D4E"/>
    <w:rsid w:val="00340FC0"/>
    <w:rsid w:val="00340FDD"/>
    <w:rsid w:val="00341005"/>
    <w:rsid w:val="0034120A"/>
    <w:rsid w:val="00341303"/>
    <w:rsid w:val="00341383"/>
    <w:rsid w:val="00341462"/>
    <w:rsid w:val="00341478"/>
    <w:rsid w:val="003414D0"/>
    <w:rsid w:val="00341703"/>
    <w:rsid w:val="0034172F"/>
    <w:rsid w:val="00341798"/>
    <w:rsid w:val="003417CB"/>
    <w:rsid w:val="003418EF"/>
    <w:rsid w:val="00341A09"/>
    <w:rsid w:val="00341A74"/>
    <w:rsid w:val="00341BA9"/>
    <w:rsid w:val="00341D9E"/>
    <w:rsid w:val="00341E50"/>
    <w:rsid w:val="00341E56"/>
    <w:rsid w:val="00341EAB"/>
    <w:rsid w:val="00341FA3"/>
    <w:rsid w:val="00341FB1"/>
    <w:rsid w:val="0034202C"/>
    <w:rsid w:val="0034214D"/>
    <w:rsid w:val="003421A1"/>
    <w:rsid w:val="00342207"/>
    <w:rsid w:val="003422CA"/>
    <w:rsid w:val="0034241E"/>
    <w:rsid w:val="003424DF"/>
    <w:rsid w:val="0034259F"/>
    <w:rsid w:val="003425F4"/>
    <w:rsid w:val="00342667"/>
    <w:rsid w:val="003426BC"/>
    <w:rsid w:val="0034278E"/>
    <w:rsid w:val="00342817"/>
    <w:rsid w:val="00342818"/>
    <w:rsid w:val="00342850"/>
    <w:rsid w:val="00342881"/>
    <w:rsid w:val="00342C6E"/>
    <w:rsid w:val="00342E0A"/>
    <w:rsid w:val="00342E0E"/>
    <w:rsid w:val="00342E7F"/>
    <w:rsid w:val="00342F1A"/>
    <w:rsid w:val="00342F6D"/>
    <w:rsid w:val="00343063"/>
    <w:rsid w:val="00343114"/>
    <w:rsid w:val="003431E1"/>
    <w:rsid w:val="00343233"/>
    <w:rsid w:val="0034335C"/>
    <w:rsid w:val="0034339F"/>
    <w:rsid w:val="003433EA"/>
    <w:rsid w:val="00343443"/>
    <w:rsid w:val="00343511"/>
    <w:rsid w:val="00343599"/>
    <w:rsid w:val="003435A9"/>
    <w:rsid w:val="0034368A"/>
    <w:rsid w:val="003436C6"/>
    <w:rsid w:val="0034378D"/>
    <w:rsid w:val="003437EE"/>
    <w:rsid w:val="0034380C"/>
    <w:rsid w:val="003438EC"/>
    <w:rsid w:val="00343971"/>
    <w:rsid w:val="003439FA"/>
    <w:rsid w:val="00343A3E"/>
    <w:rsid w:val="00343A7F"/>
    <w:rsid w:val="00343A8F"/>
    <w:rsid w:val="00343B4C"/>
    <w:rsid w:val="00343BBD"/>
    <w:rsid w:val="00343C83"/>
    <w:rsid w:val="00343CD3"/>
    <w:rsid w:val="00343E0B"/>
    <w:rsid w:val="00343EAD"/>
    <w:rsid w:val="00343F8A"/>
    <w:rsid w:val="00343FBF"/>
    <w:rsid w:val="00344021"/>
    <w:rsid w:val="0034411C"/>
    <w:rsid w:val="0034425A"/>
    <w:rsid w:val="003442C2"/>
    <w:rsid w:val="00344431"/>
    <w:rsid w:val="00344457"/>
    <w:rsid w:val="0034450E"/>
    <w:rsid w:val="00344535"/>
    <w:rsid w:val="00344541"/>
    <w:rsid w:val="003445B7"/>
    <w:rsid w:val="00344602"/>
    <w:rsid w:val="00344649"/>
    <w:rsid w:val="003447A0"/>
    <w:rsid w:val="003447AA"/>
    <w:rsid w:val="003447FB"/>
    <w:rsid w:val="0034493F"/>
    <w:rsid w:val="00344AF5"/>
    <w:rsid w:val="00344B3D"/>
    <w:rsid w:val="00344CE0"/>
    <w:rsid w:val="00344D5B"/>
    <w:rsid w:val="00344E4E"/>
    <w:rsid w:val="00344ED1"/>
    <w:rsid w:val="00344EFF"/>
    <w:rsid w:val="00344F37"/>
    <w:rsid w:val="00344F6C"/>
    <w:rsid w:val="00344FEF"/>
    <w:rsid w:val="00345087"/>
    <w:rsid w:val="003450DB"/>
    <w:rsid w:val="00345127"/>
    <w:rsid w:val="003451BF"/>
    <w:rsid w:val="00345211"/>
    <w:rsid w:val="003453D5"/>
    <w:rsid w:val="0034543A"/>
    <w:rsid w:val="00345496"/>
    <w:rsid w:val="003454F8"/>
    <w:rsid w:val="00345525"/>
    <w:rsid w:val="00345540"/>
    <w:rsid w:val="003456DB"/>
    <w:rsid w:val="00345730"/>
    <w:rsid w:val="00345828"/>
    <w:rsid w:val="00345831"/>
    <w:rsid w:val="003458A5"/>
    <w:rsid w:val="00345946"/>
    <w:rsid w:val="00345963"/>
    <w:rsid w:val="003459DF"/>
    <w:rsid w:val="00345A1A"/>
    <w:rsid w:val="00345AA7"/>
    <w:rsid w:val="00345AB9"/>
    <w:rsid w:val="00345AF2"/>
    <w:rsid w:val="00345BCF"/>
    <w:rsid w:val="00345BDF"/>
    <w:rsid w:val="00345C9F"/>
    <w:rsid w:val="00345D2B"/>
    <w:rsid w:val="00345DCA"/>
    <w:rsid w:val="00345DE3"/>
    <w:rsid w:val="00345E93"/>
    <w:rsid w:val="00345EAA"/>
    <w:rsid w:val="00345F08"/>
    <w:rsid w:val="00345F8A"/>
    <w:rsid w:val="00345FE3"/>
    <w:rsid w:val="00346052"/>
    <w:rsid w:val="0034611A"/>
    <w:rsid w:val="00346120"/>
    <w:rsid w:val="00346170"/>
    <w:rsid w:val="00346242"/>
    <w:rsid w:val="0034624A"/>
    <w:rsid w:val="00346273"/>
    <w:rsid w:val="00346296"/>
    <w:rsid w:val="003462EF"/>
    <w:rsid w:val="00346412"/>
    <w:rsid w:val="0034649C"/>
    <w:rsid w:val="003464EF"/>
    <w:rsid w:val="00346633"/>
    <w:rsid w:val="0034667C"/>
    <w:rsid w:val="00346696"/>
    <w:rsid w:val="003466F9"/>
    <w:rsid w:val="0034674B"/>
    <w:rsid w:val="0034687D"/>
    <w:rsid w:val="0034699D"/>
    <w:rsid w:val="003469AB"/>
    <w:rsid w:val="00346A08"/>
    <w:rsid w:val="00346AA9"/>
    <w:rsid w:val="00346B05"/>
    <w:rsid w:val="00346B3A"/>
    <w:rsid w:val="00346B74"/>
    <w:rsid w:val="00346B89"/>
    <w:rsid w:val="00346B9B"/>
    <w:rsid w:val="00346C80"/>
    <w:rsid w:val="00346C81"/>
    <w:rsid w:val="00346C91"/>
    <w:rsid w:val="00346DEB"/>
    <w:rsid w:val="00346E40"/>
    <w:rsid w:val="00346F34"/>
    <w:rsid w:val="00346F5B"/>
    <w:rsid w:val="00346F8D"/>
    <w:rsid w:val="00347138"/>
    <w:rsid w:val="003471BC"/>
    <w:rsid w:val="0034734E"/>
    <w:rsid w:val="00347411"/>
    <w:rsid w:val="0034751F"/>
    <w:rsid w:val="00347618"/>
    <w:rsid w:val="00347628"/>
    <w:rsid w:val="003476CC"/>
    <w:rsid w:val="0034770B"/>
    <w:rsid w:val="00347A1F"/>
    <w:rsid w:val="00347A32"/>
    <w:rsid w:val="00347A88"/>
    <w:rsid w:val="00347B6D"/>
    <w:rsid w:val="00347BD5"/>
    <w:rsid w:val="00347C47"/>
    <w:rsid w:val="00347CB7"/>
    <w:rsid w:val="00347E86"/>
    <w:rsid w:val="00347EA5"/>
    <w:rsid w:val="00347FA5"/>
    <w:rsid w:val="00347FE1"/>
    <w:rsid w:val="00350002"/>
    <w:rsid w:val="00350071"/>
    <w:rsid w:val="00350092"/>
    <w:rsid w:val="0035013A"/>
    <w:rsid w:val="003502D9"/>
    <w:rsid w:val="0035041C"/>
    <w:rsid w:val="00350479"/>
    <w:rsid w:val="003504D7"/>
    <w:rsid w:val="0035054C"/>
    <w:rsid w:val="003505B8"/>
    <w:rsid w:val="0035069A"/>
    <w:rsid w:val="00350700"/>
    <w:rsid w:val="00350775"/>
    <w:rsid w:val="003507DB"/>
    <w:rsid w:val="00350866"/>
    <w:rsid w:val="00350897"/>
    <w:rsid w:val="003508B8"/>
    <w:rsid w:val="003508C2"/>
    <w:rsid w:val="00350995"/>
    <w:rsid w:val="003509AE"/>
    <w:rsid w:val="00350B23"/>
    <w:rsid w:val="00350BCB"/>
    <w:rsid w:val="00350BF9"/>
    <w:rsid w:val="00350C35"/>
    <w:rsid w:val="00350CC0"/>
    <w:rsid w:val="00350D6C"/>
    <w:rsid w:val="00350D95"/>
    <w:rsid w:val="00350DD8"/>
    <w:rsid w:val="00350E61"/>
    <w:rsid w:val="00350FBE"/>
    <w:rsid w:val="00350FC2"/>
    <w:rsid w:val="0035100F"/>
    <w:rsid w:val="00351042"/>
    <w:rsid w:val="00351287"/>
    <w:rsid w:val="0035130F"/>
    <w:rsid w:val="00351373"/>
    <w:rsid w:val="00351440"/>
    <w:rsid w:val="00351533"/>
    <w:rsid w:val="00351574"/>
    <w:rsid w:val="0035158F"/>
    <w:rsid w:val="003519AD"/>
    <w:rsid w:val="003519C6"/>
    <w:rsid w:val="003519EB"/>
    <w:rsid w:val="00351A47"/>
    <w:rsid w:val="00351AEB"/>
    <w:rsid w:val="00351BE2"/>
    <w:rsid w:val="00351BF8"/>
    <w:rsid w:val="00351BF9"/>
    <w:rsid w:val="00351C07"/>
    <w:rsid w:val="00351C30"/>
    <w:rsid w:val="00351D8A"/>
    <w:rsid w:val="00351D94"/>
    <w:rsid w:val="00351D99"/>
    <w:rsid w:val="00351E0E"/>
    <w:rsid w:val="00351E13"/>
    <w:rsid w:val="00351E66"/>
    <w:rsid w:val="00351FAB"/>
    <w:rsid w:val="00352179"/>
    <w:rsid w:val="003521DB"/>
    <w:rsid w:val="003521F8"/>
    <w:rsid w:val="0035222D"/>
    <w:rsid w:val="00352249"/>
    <w:rsid w:val="00352297"/>
    <w:rsid w:val="003522B2"/>
    <w:rsid w:val="00352332"/>
    <w:rsid w:val="00352333"/>
    <w:rsid w:val="0035234C"/>
    <w:rsid w:val="0035246F"/>
    <w:rsid w:val="003525FE"/>
    <w:rsid w:val="00352681"/>
    <w:rsid w:val="00352895"/>
    <w:rsid w:val="003529C5"/>
    <w:rsid w:val="00352A38"/>
    <w:rsid w:val="00352A77"/>
    <w:rsid w:val="00352B73"/>
    <w:rsid w:val="00352C13"/>
    <w:rsid w:val="00352C5C"/>
    <w:rsid w:val="00352CC2"/>
    <w:rsid w:val="00352CEF"/>
    <w:rsid w:val="00352CFD"/>
    <w:rsid w:val="00352D0C"/>
    <w:rsid w:val="00352D56"/>
    <w:rsid w:val="00352E7A"/>
    <w:rsid w:val="00352EE6"/>
    <w:rsid w:val="00352F72"/>
    <w:rsid w:val="00352FD9"/>
    <w:rsid w:val="003530A9"/>
    <w:rsid w:val="003530B2"/>
    <w:rsid w:val="00353184"/>
    <w:rsid w:val="003531CB"/>
    <w:rsid w:val="003531CF"/>
    <w:rsid w:val="003531EC"/>
    <w:rsid w:val="0035321E"/>
    <w:rsid w:val="0035322E"/>
    <w:rsid w:val="0035329F"/>
    <w:rsid w:val="003532D5"/>
    <w:rsid w:val="003533AB"/>
    <w:rsid w:val="0035342D"/>
    <w:rsid w:val="003535DE"/>
    <w:rsid w:val="00353671"/>
    <w:rsid w:val="003536C1"/>
    <w:rsid w:val="00353781"/>
    <w:rsid w:val="00353794"/>
    <w:rsid w:val="003537CA"/>
    <w:rsid w:val="00353867"/>
    <w:rsid w:val="0035392F"/>
    <w:rsid w:val="00353A7E"/>
    <w:rsid w:val="00353A82"/>
    <w:rsid w:val="00353B12"/>
    <w:rsid w:val="00353D1F"/>
    <w:rsid w:val="00353D6F"/>
    <w:rsid w:val="00353D96"/>
    <w:rsid w:val="00353DC2"/>
    <w:rsid w:val="00353DDE"/>
    <w:rsid w:val="00353E2A"/>
    <w:rsid w:val="00353F13"/>
    <w:rsid w:val="00353F24"/>
    <w:rsid w:val="00353F2B"/>
    <w:rsid w:val="00353F7B"/>
    <w:rsid w:val="00354065"/>
    <w:rsid w:val="00354081"/>
    <w:rsid w:val="0035413D"/>
    <w:rsid w:val="00354319"/>
    <w:rsid w:val="0035449C"/>
    <w:rsid w:val="003544B5"/>
    <w:rsid w:val="003544BF"/>
    <w:rsid w:val="00354505"/>
    <w:rsid w:val="0035463F"/>
    <w:rsid w:val="00354709"/>
    <w:rsid w:val="00354901"/>
    <w:rsid w:val="00354B0B"/>
    <w:rsid w:val="00354B6E"/>
    <w:rsid w:val="00354BCB"/>
    <w:rsid w:val="00354BD7"/>
    <w:rsid w:val="00354C42"/>
    <w:rsid w:val="00354CF3"/>
    <w:rsid w:val="00354EB4"/>
    <w:rsid w:val="00354F44"/>
    <w:rsid w:val="00354F93"/>
    <w:rsid w:val="003551F3"/>
    <w:rsid w:val="0035534A"/>
    <w:rsid w:val="00355496"/>
    <w:rsid w:val="00355681"/>
    <w:rsid w:val="00355784"/>
    <w:rsid w:val="003558B8"/>
    <w:rsid w:val="003558C2"/>
    <w:rsid w:val="00355A04"/>
    <w:rsid w:val="00355A2C"/>
    <w:rsid w:val="00355A32"/>
    <w:rsid w:val="00355A3B"/>
    <w:rsid w:val="00355AAF"/>
    <w:rsid w:val="00355AC9"/>
    <w:rsid w:val="00355ACC"/>
    <w:rsid w:val="00355B43"/>
    <w:rsid w:val="00355BCB"/>
    <w:rsid w:val="00355C1E"/>
    <w:rsid w:val="00355C38"/>
    <w:rsid w:val="00355C64"/>
    <w:rsid w:val="00355D85"/>
    <w:rsid w:val="00355DA0"/>
    <w:rsid w:val="00355F6B"/>
    <w:rsid w:val="00356006"/>
    <w:rsid w:val="003561CE"/>
    <w:rsid w:val="003562A2"/>
    <w:rsid w:val="00356334"/>
    <w:rsid w:val="003563B3"/>
    <w:rsid w:val="003564F2"/>
    <w:rsid w:val="003564F5"/>
    <w:rsid w:val="00356572"/>
    <w:rsid w:val="003565B7"/>
    <w:rsid w:val="00356707"/>
    <w:rsid w:val="00356750"/>
    <w:rsid w:val="0035683F"/>
    <w:rsid w:val="00356935"/>
    <w:rsid w:val="00356977"/>
    <w:rsid w:val="00356B10"/>
    <w:rsid w:val="00356B56"/>
    <w:rsid w:val="00356BB7"/>
    <w:rsid w:val="00356CCB"/>
    <w:rsid w:val="00356CE1"/>
    <w:rsid w:val="00356D03"/>
    <w:rsid w:val="00356D29"/>
    <w:rsid w:val="00356D50"/>
    <w:rsid w:val="00356D78"/>
    <w:rsid w:val="00356EF5"/>
    <w:rsid w:val="00356F58"/>
    <w:rsid w:val="00356FB2"/>
    <w:rsid w:val="0035714B"/>
    <w:rsid w:val="0035717C"/>
    <w:rsid w:val="003571C2"/>
    <w:rsid w:val="003571F4"/>
    <w:rsid w:val="00357223"/>
    <w:rsid w:val="00357336"/>
    <w:rsid w:val="00357429"/>
    <w:rsid w:val="0035745F"/>
    <w:rsid w:val="00357478"/>
    <w:rsid w:val="00357522"/>
    <w:rsid w:val="003576DC"/>
    <w:rsid w:val="00357709"/>
    <w:rsid w:val="0035771D"/>
    <w:rsid w:val="0035780E"/>
    <w:rsid w:val="0035787B"/>
    <w:rsid w:val="003578F1"/>
    <w:rsid w:val="0035793A"/>
    <w:rsid w:val="003579EE"/>
    <w:rsid w:val="00357A81"/>
    <w:rsid w:val="00357AFE"/>
    <w:rsid w:val="00357B71"/>
    <w:rsid w:val="00357BE8"/>
    <w:rsid w:val="00357C1E"/>
    <w:rsid w:val="00357E97"/>
    <w:rsid w:val="00357F12"/>
    <w:rsid w:val="00357F47"/>
    <w:rsid w:val="00360193"/>
    <w:rsid w:val="003601AF"/>
    <w:rsid w:val="00360243"/>
    <w:rsid w:val="0036029F"/>
    <w:rsid w:val="003602C4"/>
    <w:rsid w:val="003602C9"/>
    <w:rsid w:val="00360385"/>
    <w:rsid w:val="0036046E"/>
    <w:rsid w:val="00360489"/>
    <w:rsid w:val="003604B9"/>
    <w:rsid w:val="003605E6"/>
    <w:rsid w:val="003606E6"/>
    <w:rsid w:val="00360714"/>
    <w:rsid w:val="00360812"/>
    <w:rsid w:val="00360874"/>
    <w:rsid w:val="00360909"/>
    <w:rsid w:val="0036090C"/>
    <w:rsid w:val="00360970"/>
    <w:rsid w:val="003609A4"/>
    <w:rsid w:val="00360AE1"/>
    <w:rsid w:val="00360C7D"/>
    <w:rsid w:val="00360CD6"/>
    <w:rsid w:val="00360DB6"/>
    <w:rsid w:val="00360DC2"/>
    <w:rsid w:val="00360DD7"/>
    <w:rsid w:val="00360F53"/>
    <w:rsid w:val="00360F8E"/>
    <w:rsid w:val="00360FF6"/>
    <w:rsid w:val="0036105F"/>
    <w:rsid w:val="00361182"/>
    <w:rsid w:val="00361190"/>
    <w:rsid w:val="0036123D"/>
    <w:rsid w:val="00361247"/>
    <w:rsid w:val="003612D7"/>
    <w:rsid w:val="003613A3"/>
    <w:rsid w:val="003613FC"/>
    <w:rsid w:val="0036148E"/>
    <w:rsid w:val="00361532"/>
    <w:rsid w:val="003615D7"/>
    <w:rsid w:val="003615DA"/>
    <w:rsid w:val="00361629"/>
    <w:rsid w:val="0036164A"/>
    <w:rsid w:val="00361675"/>
    <w:rsid w:val="00361696"/>
    <w:rsid w:val="003619B8"/>
    <w:rsid w:val="00361A2C"/>
    <w:rsid w:val="00361AFC"/>
    <w:rsid w:val="00361C88"/>
    <w:rsid w:val="00361CD4"/>
    <w:rsid w:val="00361E4A"/>
    <w:rsid w:val="00361EB4"/>
    <w:rsid w:val="00361FAF"/>
    <w:rsid w:val="00362079"/>
    <w:rsid w:val="00362143"/>
    <w:rsid w:val="00362157"/>
    <w:rsid w:val="00362196"/>
    <w:rsid w:val="003621BE"/>
    <w:rsid w:val="0036238F"/>
    <w:rsid w:val="00362459"/>
    <w:rsid w:val="00362474"/>
    <w:rsid w:val="003624FE"/>
    <w:rsid w:val="00362538"/>
    <w:rsid w:val="00362676"/>
    <w:rsid w:val="0036272D"/>
    <w:rsid w:val="00362750"/>
    <w:rsid w:val="003627AE"/>
    <w:rsid w:val="003627F6"/>
    <w:rsid w:val="003628AA"/>
    <w:rsid w:val="00362B28"/>
    <w:rsid w:val="00362B3C"/>
    <w:rsid w:val="00362B3D"/>
    <w:rsid w:val="00362C14"/>
    <w:rsid w:val="00362C17"/>
    <w:rsid w:val="00362C65"/>
    <w:rsid w:val="00362CEB"/>
    <w:rsid w:val="00362D3D"/>
    <w:rsid w:val="00362E1F"/>
    <w:rsid w:val="00362EC3"/>
    <w:rsid w:val="00362F0B"/>
    <w:rsid w:val="00362F2A"/>
    <w:rsid w:val="00362FB6"/>
    <w:rsid w:val="00362FE7"/>
    <w:rsid w:val="00363088"/>
    <w:rsid w:val="0036308D"/>
    <w:rsid w:val="0036314F"/>
    <w:rsid w:val="00363170"/>
    <w:rsid w:val="003631D8"/>
    <w:rsid w:val="003632D6"/>
    <w:rsid w:val="0036347D"/>
    <w:rsid w:val="00363493"/>
    <w:rsid w:val="003634C1"/>
    <w:rsid w:val="003634C7"/>
    <w:rsid w:val="00363512"/>
    <w:rsid w:val="003635BA"/>
    <w:rsid w:val="00363663"/>
    <w:rsid w:val="0036375C"/>
    <w:rsid w:val="00363763"/>
    <w:rsid w:val="003637AA"/>
    <w:rsid w:val="00363862"/>
    <w:rsid w:val="0036398F"/>
    <w:rsid w:val="00363AAD"/>
    <w:rsid w:val="00363AC0"/>
    <w:rsid w:val="00363B3B"/>
    <w:rsid w:val="00363B5F"/>
    <w:rsid w:val="00363BC6"/>
    <w:rsid w:val="00363BFE"/>
    <w:rsid w:val="00363C91"/>
    <w:rsid w:val="00363DC4"/>
    <w:rsid w:val="00363DD4"/>
    <w:rsid w:val="00363DD5"/>
    <w:rsid w:val="00363E4D"/>
    <w:rsid w:val="00363EA2"/>
    <w:rsid w:val="00363F04"/>
    <w:rsid w:val="00363F83"/>
    <w:rsid w:val="00363FB9"/>
    <w:rsid w:val="00363FFE"/>
    <w:rsid w:val="003640A7"/>
    <w:rsid w:val="00364189"/>
    <w:rsid w:val="00364364"/>
    <w:rsid w:val="0036441A"/>
    <w:rsid w:val="003644B2"/>
    <w:rsid w:val="00364553"/>
    <w:rsid w:val="00364696"/>
    <w:rsid w:val="00364717"/>
    <w:rsid w:val="00364745"/>
    <w:rsid w:val="00364792"/>
    <w:rsid w:val="0036493F"/>
    <w:rsid w:val="00364B11"/>
    <w:rsid w:val="00364BA7"/>
    <w:rsid w:val="00364BB5"/>
    <w:rsid w:val="00364C33"/>
    <w:rsid w:val="00364D4A"/>
    <w:rsid w:val="00364E41"/>
    <w:rsid w:val="00364EAD"/>
    <w:rsid w:val="00364F32"/>
    <w:rsid w:val="00364F5E"/>
    <w:rsid w:val="0036500C"/>
    <w:rsid w:val="00365020"/>
    <w:rsid w:val="0036503D"/>
    <w:rsid w:val="003650B6"/>
    <w:rsid w:val="00365108"/>
    <w:rsid w:val="00365245"/>
    <w:rsid w:val="003652AA"/>
    <w:rsid w:val="0036530B"/>
    <w:rsid w:val="003653C5"/>
    <w:rsid w:val="00365447"/>
    <w:rsid w:val="0036554F"/>
    <w:rsid w:val="003655F3"/>
    <w:rsid w:val="0036566A"/>
    <w:rsid w:val="003656AA"/>
    <w:rsid w:val="00365773"/>
    <w:rsid w:val="00365795"/>
    <w:rsid w:val="003657B6"/>
    <w:rsid w:val="0036586E"/>
    <w:rsid w:val="00365895"/>
    <w:rsid w:val="00365A98"/>
    <w:rsid w:val="00365B76"/>
    <w:rsid w:val="00365B89"/>
    <w:rsid w:val="00365D0B"/>
    <w:rsid w:val="00365D23"/>
    <w:rsid w:val="00365D39"/>
    <w:rsid w:val="00365D7A"/>
    <w:rsid w:val="00365DFF"/>
    <w:rsid w:val="00365F4C"/>
    <w:rsid w:val="00365F7C"/>
    <w:rsid w:val="003660D0"/>
    <w:rsid w:val="003661C7"/>
    <w:rsid w:val="003661F5"/>
    <w:rsid w:val="003661F8"/>
    <w:rsid w:val="00366249"/>
    <w:rsid w:val="00366281"/>
    <w:rsid w:val="00366491"/>
    <w:rsid w:val="00366540"/>
    <w:rsid w:val="003665F3"/>
    <w:rsid w:val="00366721"/>
    <w:rsid w:val="003668BB"/>
    <w:rsid w:val="003668C1"/>
    <w:rsid w:val="00366985"/>
    <w:rsid w:val="003669F1"/>
    <w:rsid w:val="00366A73"/>
    <w:rsid w:val="00366A87"/>
    <w:rsid w:val="00366A8F"/>
    <w:rsid w:val="00366B36"/>
    <w:rsid w:val="00366BB3"/>
    <w:rsid w:val="00366BC7"/>
    <w:rsid w:val="00366C48"/>
    <w:rsid w:val="00366E48"/>
    <w:rsid w:val="00366EF2"/>
    <w:rsid w:val="00366FCF"/>
    <w:rsid w:val="00367083"/>
    <w:rsid w:val="00367128"/>
    <w:rsid w:val="0036714B"/>
    <w:rsid w:val="003671D9"/>
    <w:rsid w:val="003672D2"/>
    <w:rsid w:val="003672E5"/>
    <w:rsid w:val="00367327"/>
    <w:rsid w:val="0036735C"/>
    <w:rsid w:val="003673E3"/>
    <w:rsid w:val="00367420"/>
    <w:rsid w:val="00367543"/>
    <w:rsid w:val="0036767C"/>
    <w:rsid w:val="0036787F"/>
    <w:rsid w:val="003678F6"/>
    <w:rsid w:val="0036794E"/>
    <w:rsid w:val="003679C7"/>
    <w:rsid w:val="003679DD"/>
    <w:rsid w:val="003679E9"/>
    <w:rsid w:val="00367AB5"/>
    <w:rsid w:val="00367AF7"/>
    <w:rsid w:val="00367B5A"/>
    <w:rsid w:val="00367BBD"/>
    <w:rsid w:val="00367CF8"/>
    <w:rsid w:val="00367DE1"/>
    <w:rsid w:val="00367E87"/>
    <w:rsid w:val="00367EF9"/>
    <w:rsid w:val="00367F25"/>
    <w:rsid w:val="00367FA5"/>
    <w:rsid w:val="00370192"/>
    <w:rsid w:val="003703D5"/>
    <w:rsid w:val="00370475"/>
    <w:rsid w:val="00370544"/>
    <w:rsid w:val="00370572"/>
    <w:rsid w:val="00370594"/>
    <w:rsid w:val="003705FD"/>
    <w:rsid w:val="003706B6"/>
    <w:rsid w:val="00370712"/>
    <w:rsid w:val="003707C4"/>
    <w:rsid w:val="003707E8"/>
    <w:rsid w:val="003709BF"/>
    <w:rsid w:val="00370B42"/>
    <w:rsid w:val="00370B86"/>
    <w:rsid w:val="00370BD4"/>
    <w:rsid w:val="00370C1E"/>
    <w:rsid w:val="00370C50"/>
    <w:rsid w:val="00370C75"/>
    <w:rsid w:val="00370CAB"/>
    <w:rsid w:val="00370CE2"/>
    <w:rsid w:val="00370DC8"/>
    <w:rsid w:val="00370E25"/>
    <w:rsid w:val="00370EFB"/>
    <w:rsid w:val="00370F64"/>
    <w:rsid w:val="00370FB6"/>
    <w:rsid w:val="0037132D"/>
    <w:rsid w:val="003713EC"/>
    <w:rsid w:val="003713F3"/>
    <w:rsid w:val="00371497"/>
    <w:rsid w:val="0037149C"/>
    <w:rsid w:val="003714A0"/>
    <w:rsid w:val="0037154A"/>
    <w:rsid w:val="00371579"/>
    <w:rsid w:val="00371659"/>
    <w:rsid w:val="003716CD"/>
    <w:rsid w:val="003716E1"/>
    <w:rsid w:val="0037177E"/>
    <w:rsid w:val="003717E3"/>
    <w:rsid w:val="00371894"/>
    <w:rsid w:val="00371918"/>
    <w:rsid w:val="00371A0C"/>
    <w:rsid w:val="00371A3F"/>
    <w:rsid w:val="00371ADE"/>
    <w:rsid w:val="00371B6A"/>
    <w:rsid w:val="00371BBA"/>
    <w:rsid w:val="00371D55"/>
    <w:rsid w:val="00371F42"/>
    <w:rsid w:val="00371FD4"/>
    <w:rsid w:val="00371FDC"/>
    <w:rsid w:val="00371FDD"/>
    <w:rsid w:val="00372007"/>
    <w:rsid w:val="00372053"/>
    <w:rsid w:val="00372168"/>
    <w:rsid w:val="0037217E"/>
    <w:rsid w:val="0037228F"/>
    <w:rsid w:val="003722C2"/>
    <w:rsid w:val="003722C3"/>
    <w:rsid w:val="0037232A"/>
    <w:rsid w:val="00372335"/>
    <w:rsid w:val="0037239F"/>
    <w:rsid w:val="003723D1"/>
    <w:rsid w:val="003723E0"/>
    <w:rsid w:val="003723E2"/>
    <w:rsid w:val="00372478"/>
    <w:rsid w:val="003724AB"/>
    <w:rsid w:val="003724C7"/>
    <w:rsid w:val="003724D6"/>
    <w:rsid w:val="00372757"/>
    <w:rsid w:val="0037276A"/>
    <w:rsid w:val="0037297D"/>
    <w:rsid w:val="003729B6"/>
    <w:rsid w:val="00372A63"/>
    <w:rsid w:val="00372B3D"/>
    <w:rsid w:val="00372B42"/>
    <w:rsid w:val="00372C33"/>
    <w:rsid w:val="00372C43"/>
    <w:rsid w:val="00372D77"/>
    <w:rsid w:val="00372D7F"/>
    <w:rsid w:val="00372DB4"/>
    <w:rsid w:val="00372DB9"/>
    <w:rsid w:val="00372F74"/>
    <w:rsid w:val="00372F94"/>
    <w:rsid w:val="003730DC"/>
    <w:rsid w:val="00373141"/>
    <w:rsid w:val="0037320B"/>
    <w:rsid w:val="0037326F"/>
    <w:rsid w:val="003732B4"/>
    <w:rsid w:val="0037336A"/>
    <w:rsid w:val="00373385"/>
    <w:rsid w:val="003733C7"/>
    <w:rsid w:val="003733EE"/>
    <w:rsid w:val="00373425"/>
    <w:rsid w:val="003734DE"/>
    <w:rsid w:val="0037351C"/>
    <w:rsid w:val="00373581"/>
    <w:rsid w:val="003735C8"/>
    <w:rsid w:val="00373700"/>
    <w:rsid w:val="00373701"/>
    <w:rsid w:val="00373817"/>
    <w:rsid w:val="00373826"/>
    <w:rsid w:val="00373A4A"/>
    <w:rsid w:val="00373B60"/>
    <w:rsid w:val="00373C08"/>
    <w:rsid w:val="00373C46"/>
    <w:rsid w:val="00373CC9"/>
    <w:rsid w:val="00373CF7"/>
    <w:rsid w:val="00373D0B"/>
    <w:rsid w:val="00373E89"/>
    <w:rsid w:val="00373EAA"/>
    <w:rsid w:val="00373F00"/>
    <w:rsid w:val="00374136"/>
    <w:rsid w:val="00374319"/>
    <w:rsid w:val="0037434C"/>
    <w:rsid w:val="00374370"/>
    <w:rsid w:val="00374442"/>
    <w:rsid w:val="003744D2"/>
    <w:rsid w:val="003745B2"/>
    <w:rsid w:val="003745FF"/>
    <w:rsid w:val="003746A0"/>
    <w:rsid w:val="003746E3"/>
    <w:rsid w:val="003747AB"/>
    <w:rsid w:val="003747E3"/>
    <w:rsid w:val="0037486C"/>
    <w:rsid w:val="003748C7"/>
    <w:rsid w:val="00374A1F"/>
    <w:rsid w:val="00374A41"/>
    <w:rsid w:val="00374B47"/>
    <w:rsid w:val="00374C92"/>
    <w:rsid w:val="00374EA5"/>
    <w:rsid w:val="003750C0"/>
    <w:rsid w:val="00375119"/>
    <w:rsid w:val="0037519A"/>
    <w:rsid w:val="003751A0"/>
    <w:rsid w:val="003751F7"/>
    <w:rsid w:val="00375490"/>
    <w:rsid w:val="003754F6"/>
    <w:rsid w:val="0037558A"/>
    <w:rsid w:val="003755BC"/>
    <w:rsid w:val="00375648"/>
    <w:rsid w:val="003758C7"/>
    <w:rsid w:val="00375A5B"/>
    <w:rsid w:val="00375B10"/>
    <w:rsid w:val="00375B7A"/>
    <w:rsid w:val="00375CDD"/>
    <w:rsid w:val="00375CE8"/>
    <w:rsid w:val="00375D1F"/>
    <w:rsid w:val="00375E36"/>
    <w:rsid w:val="00375E3B"/>
    <w:rsid w:val="00375E3E"/>
    <w:rsid w:val="00375E57"/>
    <w:rsid w:val="00375E7E"/>
    <w:rsid w:val="00375ED2"/>
    <w:rsid w:val="00375F07"/>
    <w:rsid w:val="00375FFF"/>
    <w:rsid w:val="00376053"/>
    <w:rsid w:val="0037617C"/>
    <w:rsid w:val="003761B6"/>
    <w:rsid w:val="003762B4"/>
    <w:rsid w:val="003762E2"/>
    <w:rsid w:val="00376412"/>
    <w:rsid w:val="00376430"/>
    <w:rsid w:val="003764B6"/>
    <w:rsid w:val="00376569"/>
    <w:rsid w:val="003765C6"/>
    <w:rsid w:val="003765DF"/>
    <w:rsid w:val="00376669"/>
    <w:rsid w:val="003766A1"/>
    <w:rsid w:val="00376764"/>
    <w:rsid w:val="003767B9"/>
    <w:rsid w:val="00376844"/>
    <w:rsid w:val="00376877"/>
    <w:rsid w:val="00376906"/>
    <w:rsid w:val="003769C3"/>
    <w:rsid w:val="003769DD"/>
    <w:rsid w:val="00376A64"/>
    <w:rsid w:val="00376A85"/>
    <w:rsid w:val="00376B06"/>
    <w:rsid w:val="00376B47"/>
    <w:rsid w:val="00376BEF"/>
    <w:rsid w:val="00376BF8"/>
    <w:rsid w:val="00376C90"/>
    <w:rsid w:val="00376DB9"/>
    <w:rsid w:val="00376F8D"/>
    <w:rsid w:val="003771C3"/>
    <w:rsid w:val="00377389"/>
    <w:rsid w:val="003773F8"/>
    <w:rsid w:val="00377509"/>
    <w:rsid w:val="003776CF"/>
    <w:rsid w:val="0037772B"/>
    <w:rsid w:val="003777C9"/>
    <w:rsid w:val="003777EC"/>
    <w:rsid w:val="003777FA"/>
    <w:rsid w:val="003778CB"/>
    <w:rsid w:val="0037798B"/>
    <w:rsid w:val="00377992"/>
    <w:rsid w:val="00377A19"/>
    <w:rsid w:val="00377A8E"/>
    <w:rsid w:val="00377AB3"/>
    <w:rsid w:val="00377AC5"/>
    <w:rsid w:val="00377B4F"/>
    <w:rsid w:val="00377B50"/>
    <w:rsid w:val="00377CCF"/>
    <w:rsid w:val="00377D14"/>
    <w:rsid w:val="00377D65"/>
    <w:rsid w:val="00377DAE"/>
    <w:rsid w:val="00377DFE"/>
    <w:rsid w:val="00377E32"/>
    <w:rsid w:val="00377E50"/>
    <w:rsid w:val="00377E9F"/>
    <w:rsid w:val="00377F8F"/>
    <w:rsid w:val="00377FC1"/>
    <w:rsid w:val="0038017D"/>
    <w:rsid w:val="0038018F"/>
    <w:rsid w:val="00380252"/>
    <w:rsid w:val="003803A3"/>
    <w:rsid w:val="003803F3"/>
    <w:rsid w:val="003807B6"/>
    <w:rsid w:val="003808A6"/>
    <w:rsid w:val="00380973"/>
    <w:rsid w:val="003809F3"/>
    <w:rsid w:val="003809FC"/>
    <w:rsid w:val="00380A5E"/>
    <w:rsid w:val="00380A5F"/>
    <w:rsid w:val="00380B63"/>
    <w:rsid w:val="00380C46"/>
    <w:rsid w:val="00380CCC"/>
    <w:rsid w:val="00380CD0"/>
    <w:rsid w:val="00380CFD"/>
    <w:rsid w:val="00380E24"/>
    <w:rsid w:val="00380E35"/>
    <w:rsid w:val="00380EBF"/>
    <w:rsid w:val="00380F00"/>
    <w:rsid w:val="00380FE6"/>
    <w:rsid w:val="0038108C"/>
    <w:rsid w:val="003810C5"/>
    <w:rsid w:val="0038118D"/>
    <w:rsid w:val="003811AE"/>
    <w:rsid w:val="003811AF"/>
    <w:rsid w:val="0038146C"/>
    <w:rsid w:val="00381474"/>
    <w:rsid w:val="0038148C"/>
    <w:rsid w:val="00381491"/>
    <w:rsid w:val="0038160F"/>
    <w:rsid w:val="0038163E"/>
    <w:rsid w:val="0038169D"/>
    <w:rsid w:val="00381779"/>
    <w:rsid w:val="00381839"/>
    <w:rsid w:val="003819BF"/>
    <w:rsid w:val="00381B33"/>
    <w:rsid w:val="00381BF7"/>
    <w:rsid w:val="00381C58"/>
    <w:rsid w:val="00381CEC"/>
    <w:rsid w:val="00381D77"/>
    <w:rsid w:val="00381DC0"/>
    <w:rsid w:val="00381E15"/>
    <w:rsid w:val="00381E31"/>
    <w:rsid w:val="00381E36"/>
    <w:rsid w:val="00381EF1"/>
    <w:rsid w:val="00381F41"/>
    <w:rsid w:val="00381FA2"/>
    <w:rsid w:val="00381FB6"/>
    <w:rsid w:val="003820B3"/>
    <w:rsid w:val="003820EB"/>
    <w:rsid w:val="003821CE"/>
    <w:rsid w:val="0038220D"/>
    <w:rsid w:val="00382223"/>
    <w:rsid w:val="0038224A"/>
    <w:rsid w:val="0038225D"/>
    <w:rsid w:val="003822FA"/>
    <w:rsid w:val="00382528"/>
    <w:rsid w:val="00382572"/>
    <w:rsid w:val="003825F1"/>
    <w:rsid w:val="00382609"/>
    <w:rsid w:val="0038265A"/>
    <w:rsid w:val="0038269E"/>
    <w:rsid w:val="0038287E"/>
    <w:rsid w:val="003828B9"/>
    <w:rsid w:val="003828C1"/>
    <w:rsid w:val="0038293D"/>
    <w:rsid w:val="00382967"/>
    <w:rsid w:val="0038297C"/>
    <w:rsid w:val="003829C6"/>
    <w:rsid w:val="003829F7"/>
    <w:rsid w:val="00382A88"/>
    <w:rsid w:val="00382B59"/>
    <w:rsid w:val="00382BCC"/>
    <w:rsid w:val="00382BDF"/>
    <w:rsid w:val="00382C21"/>
    <w:rsid w:val="00382D1D"/>
    <w:rsid w:val="00382D76"/>
    <w:rsid w:val="003831A4"/>
    <w:rsid w:val="003831EF"/>
    <w:rsid w:val="00383206"/>
    <w:rsid w:val="00383258"/>
    <w:rsid w:val="00383294"/>
    <w:rsid w:val="003832B5"/>
    <w:rsid w:val="003832F4"/>
    <w:rsid w:val="003833F6"/>
    <w:rsid w:val="00383411"/>
    <w:rsid w:val="00383434"/>
    <w:rsid w:val="003835A1"/>
    <w:rsid w:val="003835A8"/>
    <w:rsid w:val="00383632"/>
    <w:rsid w:val="003837D2"/>
    <w:rsid w:val="00383A7C"/>
    <w:rsid w:val="00383B32"/>
    <w:rsid w:val="00383B68"/>
    <w:rsid w:val="00383C5D"/>
    <w:rsid w:val="00383D00"/>
    <w:rsid w:val="003840A4"/>
    <w:rsid w:val="003840F9"/>
    <w:rsid w:val="0038429B"/>
    <w:rsid w:val="003842B0"/>
    <w:rsid w:val="00384408"/>
    <w:rsid w:val="00384484"/>
    <w:rsid w:val="003844C5"/>
    <w:rsid w:val="00384581"/>
    <w:rsid w:val="0038468A"/>
    <w:rsid w:val="00384828"/>
    <w:rsid w:val="003848A8"/>
    <w:rsid w:val="003848DF"/>
    <w:rsid w:val="003849BE"/>
    <w:rsid w:val="003849BF"/>
    <w:rsid w:val="00384A26"/>
    <w:rsid w:val="00384A53"/>
    <w:rsid w:val="00384B0B"/>
    <w:rsid w:val="00384BA4"/>
    <w:rsid w:val="00384C0B"/>
    <w:rsid w:val="00384C41"/>
    <w:rsid w:val="00384DBB"/>
    <w:rsid w:val="003850E0"/>
    <w:rsid w:val="00385155"/>
    <w:rsid w:val="003851AC"/>
    <w:rsid w:val="0038526A"/>
    <w:rsid w:val="003852A5"/>
    <w:rsid w:val="003852F2"/>
    <w:rsid w:val="0038541B"/>
    <w:rsid w:val="003854C0"/>
    <w:rsid w:val="003854D3"/>
    <w:rsid w:val="0038551E"/>
    <w:rsid w:val="003855BD"/>
    <w:rsid w:val="00385619"/>
    <w:rsid w:val="0038561B"/>
    <w:rsid w:val="003856CF"/>
    <w:rsid w:val="00385842"/>
    <w:rsid w:val="00385992"/>
    <w:rsid w:val="00385A78"/>
    <w:rsid w:val="00385AF8"/>
    <w:rsid w:val="00385B50"/>
    <w:rsid w:val="00385B8C"/>
    <w:rsid w:val="00385BAB"/>
    <w:rsid w:val="00385BEB"/>
    <w:rsid w:val="00385CCF"/>
    <w:rsid w:val="00385D5C"/>
    <w:rsid w:val="00385DE5"/>
    <w:rsid w:val="00385E64"/>
    <w:rsid w:val="00385F61"/>
    <w:rsid w:val="00385F6E"/>
    <w:rsid w:val="00385F8B"/>
    <w:rsid w:val="00385FCC"/>
    <w:rsid w:val="0038605C"/>
    <w:rsid w:val="00386124"/>
    <w:rsid w:val="003861C1"/>
    <w:rsid w:val="003861CC"/>
    <w:rsid w:val="0038643E"/>
    <w:rsid w:val="0038648C"/>
    <w:rsid w:val="003864D5"/>
    <w:rsid w:val="003865DE"/>
    <w:rsid w:val="00386907"/>
    <w:rsid w:val="00386928"/>
    <w:rsid w:val="0038694F"/>
    <w:rsid w:val="00386985"/>
    <w:rsid w:val="003869BC"/>
    <w:rsid w:val="003869F5"/>
    <w:rsid w:val="00386A56"/>
    <w:rsid w:val="00386A97"/>
    <w:rsid w:val="00386B4F"/>
    <w:rsid w:val="00386BE3"/>
    <w:rsid w:val="00386C14"/>
    <w:rsid w:val="00386C19"/>
    <w:rsid w:val="00386CBB"/>
    <w:rsid w:val="00386D0A"/>
    <w:rsid w:val="00386D57"/>
    <w:rsid w:val="00386E50"/>
    <w:rsid w:val="00386E69"/>
    <w:rsid w:val="00386F3A"/>
    <w:rsid w:val="00386F62"/>
    <w:rsid w:val="00386F8C"/>
    <w:rsid w:val="00386FB3"/>
    <w:rsid w:val="00387095"/>
    <w:rsid w:val="003871B7"/>
    <w:rsid w:val="003872B4"/>
    <w:rsid w:val="003872CB"/>
    <w:rsid w:val="003873B2"/>
    <w:rsid w:val="003873BF"/>
    <w:rsid w:val="00387540"/>
    <w:rsid w:val="003875C6"/>
    <w:rsid w:val="003875CF"/>
    <w:rsid w:val="00387616"/>
    <w:rsid w:val="003877CF"/>
    <w:rsid w:val="003877F5"/>
    <w:rsid w:val="00387825"/>
    <w:rsid w:val="0038785C"/>
    <w:rsid w:val="00387A08"/>
    <w:rsid w:val="00387ABD"/>
    <w:rsid w:val="00387B3C"/>
    <w:rsid w:val="00387B40"/>
    <w:rsid w:val="00387CD8"/>
    <w:rsid w:val="00387D55"/>
    <w:rsid w:val="00387D5D"/>
    <w:rsid w:val="00387E5B"/>
    <w:rsid w:val="00387F50"/>
    <w:rsid w:val="00387FEC"/>
    <w:rsid w:val="0039001F"/>
    <w:rsid w:val="00390039"/>
    <w:rsid w:val="003900E9"/>
    <w:rsid w:val="003901C6"/>
    <w:rsid w:val="00390386"/>
    <w:rsid w:val="00390480"/>
    <w:rsid w:val="003904E2"/>
    <w:rsid w:val="003904E6"/>
    <w:rsid w:val="0039053A"/>
    <w:rsid w:val="00390567"/>
    <w:rsid w:val="00390568"/>
    <w:rsid w:val="0039069C"/>
    <w:rsid w:val="003906CA"/>
    <w:rsid w:val="003906E5"/>
    <w:rsid w:val="00390794"/>
    <w:rsid w:val="003907C5"/>
    <w:rsid w:val="0039089A"/>
    <w:rsid w:val="003909A3"/>
    <w:rsid w:val="00390AD3"/>
    <w:rsid w:val="00390B8B"/>
    <w:rsid w:val="00390BDD"/>
    <w:rsid w:val="00390C35"/>
    <w:rsid w:val="00390D8D"/>
    <w:rsid w:val="00390DAF"/>
    <w:rsid w:val="00390E52"/>
    <w:rsid w:val="00390ED3"/>
    <w:rsid w:val="00390EE2"/>
    <w:rsid w:val="00390F05"/>
    <w:rsid w:val="00390FBC"/>
    <w:rsid w:val="003910B7"/>
    <w:rsid w:val="003910FE"/>
    <w:rsid w:val="0039113E"/>
    <w:rsid w:val="0039115E"/>
    <w:rsid w:val="0039123E"/>
    <w:rsid w:val="003912A4"/>
    <w:rsid w:val="003916B4"/>
    <w:rsid w:val="0039173D"/>
    <w:rsid w:val="00391916"/>
    <w:rsid w:val="00391A39"/>
    <w:rsid w:val="00391AAA"/>
    <w:rsid w:val="00391AFB"/>
    <w:rsid w:val="00391B16"/>
    <w:rsid w:val="00391B34"/>
    <w:rsid w:val="00391BE8"/>
    <w:rsid w:val="00391C46"/>
    <w:rsid w:val="00391C6C"/>
    <w:rsid w:val="00391C78"/>
    <w:rsid w:val="00391D48"/>
    <w:rsid w:val="00391D75"/>
    <w:rsid w:val="00391D8C"/>
    <w:rsid w:val="00391EC9"/>
    <w:rsid w:val="003920BB"/>
    <w:rsid w:val="003920F6"/>
    <w:rsid w:val="003921DF"/>
    <w:rsid w:val="00392230"/>
    <w:rsid w:val="003922B1"/>
    <w:rsid w:val="0039235F"/>
    <w:rsid w:val="00392380"/>
    <w:rsid w:val="003923EF"/>
    <w:rsid w:val="0039243D"/>
    <w:rsid w:val="003924B9"/>
    <w:rsid w:val="003924C5"/>
    <w:rsid w:val="003925BC"/>
    <w:rsid w:val="00392618"/>
    <w:rsid w:val="00392633"/>
    <w:rsid w:val="0039274D"/>
    <w:rsid w:val="003927BA"/>
    <w:rsid w:val="00392814"/>
    <w:rsid w:val="00392859"/>
    <w:rsid w:val="00392960"/>
    <w:rsid w:val="00392A71"/>
    <w:rsid w:val="00392A95"/>
    <w:rsid w:val="00392B9D"/>
    <w:rsid w:val="00392C03"/>
    <w:rsid w:val="00392CA0"/>
    <w:rsid w:val="00392CE1"/>
    <w:rsid w:val="00392DA7"/>
    <w:rsid w:val="00392DAE"/>
    <w:rsid w:val="00392DDE"/>
    <w:rsid w:val="00392E17"/>
    <w:rsid w:val="00392F1F"/>
    <w:rsid w:val="00392F28"/>
    <w:rsid w:val="00392FD8"/>
    <w:rsid w:val="0039305A"/>
    <w:rsid w:val="00393062"/>
    <w:rsid w:val="00393070"/>
    <w:rsid w:val="00393152"/>
    <w:rsid w:val="003931E0"/>
    <w:rsid w:val="00393283"/>
    <w:rsid w:val="0039336D"/>
    <w:rsid w:val="003933B9"/>
    <w:rsid w:val="00393463"/>
    <w:rsid w:val="003934CB"/>
    <w:rsid w:val="003934CF"/>
    <w:rsid w:val="00393576"/>
    <w:rsid w:val="00393710"/>
    <w:rsid w:val="00393726"/>
    <w:rsid w:val="0039375F"/>
    <w:rsid w:val="003938ED"/>
    <w:rsid w:val="003938FD"/>
    <w:rsid w:val="003939AF"/>
    <w:rsid w:val="00393A26"/>
    <w:rsid w:val="00393B1F"/>
    <w:rsid w:val="00393BB4"/>
    <w:rsid w:val="00393BF4"/>
    <w:rsid w:val="00393D77"/>
    <w:rsid w:val="00393DA3"/>
    <w:rsid w:val="00393E31"/>
    <w:rsid w:val="00393F90"/>
    <w:rsid w:val="00393FFC"/>
    <w:rsid w:val="003941DF"/>
    <w:rsid w:val="00394255"/>
    <w:rsid w:val="00394343"/>
    <w:rsid w:val="003944B9"/>
    <w:rsid w:val="00394566"/>
    <w:rsid w:val="0039459E"/>
    <w:rsid w:val="00394626"/>
    <w:rsid w:val="0039471A"/>
    <w:rsid w:val="0039473D"/>
    <w:rsid w:val="003947EE"/>
    <w:rsid w:val="003947FD"/>
    <w:rsid w:val="003949E6"/>
    <w:rsid w:val="00394A6F"/>
    <w:rsid w:val="00394AE1"/>
    <w:rsid w:val="00394AEE"/>
    <w:rsid w:val="00394AFA"/>
    <w:rsid w:val="00394B59"/>
    <w:rsid w:val="00394C17"/>
    <w:rsid w:val="00394C96"/>
    <w:rsid w:val="00394CBF"/>
    <w:rsid w:val="00394D3B"/>
    <w:rsid w:val="00394D4F"/>
    <w:rsid w:val="00394DA0"/>
    <w:rsid w:val="00394DE6"/>
    <w:rsid w:val="00394DF5"/>
    <w:rsid w:val="00394F03"/>
    <w:rsid w:val="00394F30"/>
    <w:rsid w:val="00395058"/>
    <w:rsid w:val="003950C3"/>
    <w:rsid w:val="00395168"/>
    <w:rsid w:val="003951B4"/>
    <w:rsid w:val="00395355"/>
    <w:rsid w:val="00395399"/>
    <w:rsid w:val="00395420"/>
    <w:rsid w:val="0039545D"/>
    <w:rsid w:val="003954FE"/>
    <w:rsid w:val="00395553"/>
    <w:rsid w:val="00395565"/>
    <w:rsid w:val="003955CC"/>
    <w:rsid w:val="003957E5"/>
    <w:rsid w:val="003957F5"/>
    <w:rsid w:val="003958F1"/>
    <w:rsid w:val="00395914"/>
    <w:rsid w:val="00395959"/>
    <w:rsid w:val="00395A9C"/>
    <w:rsid w:val="00395C36"/>
    <w:rsid w:val="00395E24"/>
    <w:rsid w:val="00395EA9"/>
    <w:rsid w:val="00396170"/>
    <w:rsid w:val="00396174"/>
    <w:rsid w:val="0039626A"/>
    <w:rsid w:val="003963CC"/>
    <w:rsid w:val="003963DC"/>
    <w:rsid w:val="00396438"/>
    <w:rsid w:val="0039644A"/>
    <w:rsid w:val="003964D5"/>
    <w:rsid w:val="003964F5"/>
    <w:rsid w:val="00396518"/>
    <w:rsid w:val="003966F6"/>
    <w:rsid w:val="003966F8"/>
    <w:rsid w:val="00396704"/>
    <w:rsid w:val="0039677D"/>
    <w:rsid w:val="003968D2"/>
    <w:rsid w:val="00396A5E"/>
    <w:rsid w:val="00396C3E"/>
    <w:rsid w:val="00396CC9"/>
    <w:rsid w:val="00396D01"/>
    <w:rsid w:val="00396DB7"/>
    <w:rsid w:val="00396E20"/>
    <w:rsid w:val="00396E42"/>
    <w:rsid w:val="00396F8C"/>
    <w:rsid w:val="00397013"/>
    <w:rsid w:val="0039701C"/>
    <w:rsid w:val="00397186"/>
    <w:rsid w:val="003971BE"/>
    <w:rsid w:val="003971CD"/>
    <w:rsid w:val="0039745A"/>
    <w:rsid w:val="003974AA"/>
    <w:rsid w:val="003974EA"/>
    <w:rsid w:val="00397536"/>
    <w:rsid w:val="003975A7"/>
    <w:rsid w:val="003975D3"/>
    <w:rsid w:val="0039767F"/>
    <w:rsid w:val="003976AB"/>
    <w:rsid w:val="0039777D"/>
    <w:rsid w:val="003977A9"/>
    <w:rsid w:val="003977F9"/>
    <w:rsid w:val="00397894"/>
    <w:rsid w:val="003978CE"/>
    <w:rsid w:val="00397905"/>
    <w:rsid w:val="00397997"/>
    <w:rsid w:val="00397A4F"/>
    <w:rsid w:val="00397A65"/>
    <w:rsid w:val="00397AA0"/>
    <w:rsid w:val="00397C9D"/>
    <w:rsid w:val="00397D74"/>
    <w:rsid w:val="00397DB9"/>
    <w:rsid w:val="00397E0A"/>
    <w:rsid w:val="00397E45"/>
    <w:rsid w:val="00397EE9"/>
    <w:rsid w:val="00397F2B"/>
    <w:rsid w:val="00397FE7"/>
    <w:rsid w:val="003A0065"/>
    <w:rsid w:val="003A00F4"/>
    <w:rsid w:val="003A013A"/>
    <w:rsid w:val="003A0185"/>
    <w:rsid w:val="003A0207"/>
    <w:rsid w:val="003A02BB"/>
    <w:rsid w:val="003A031A"/>
    <w:rsid w:val="003A043E"/>
    <w:rsid w:val="003A04A1"/>
    <w:rsid w:val="003A05C0"/>
    <w:rsid w:val="003A0660"/>
    <w:rsid w:val="003A0819"/>
    <w:rsid w:val="003A08B6"/>
    <w:rsid w:val="003A08F4"/>
    <w:rsid w:val="003A0962"/>
    <w:rsid w:val="003A0AFC"/>
    <w:rsid w:val="003A0BF2"/>
    <w:rsid w:val="003A0C75"/>
    <w:rsid w:val="003A0D52"/>
    <w:rsid w:val="003A0D93"/>
    <w:rsid w:val="003A0D99"/>
    <w:rsid w:val="003A0EFF"/>
    <w:rsid w:val="003A0F06"/>
    <w:rsid w:val="003A1014"/>
    <w:rsid w:val="003A1066"/>
    <w:rsid w:val="003A11C0"/>
    <w:rsid w:val="003A1205"/>
    <w:rsid w:val="003A1264"/>
    <w:rsid w:val="003A15D3"/>
    <w:rsid w:val="003A1629"/>
    <w:rsid w:val="003A1739"/>
    <w:rsid w:val="003A1824"/>
    <w:rsid w:val="003A18B8"/>
    <w:rsid w:val="003A190A"/>
    <w:rsid w:val="003A19DA"/>
    <w:rsid w:val="003A1AA0"/>
    <w:rsid w:val="003A1ADC"/>
    <w:rsid w:val="003A1BDA"/>
    <w:rsid w:val="003A1E3C"/>
    <w:rsid w:val="003A218E"/>
    <w:rsid w:val="003A219B"/>
    <w:rsid w:val="003A22B8"/>
    <w:rsid w:val="003A2323"/>
    <w:rsid w:val="003A23B1"/>
    <w:rsid w:val="003A23D9"/>
    <w:rsid w:val="003A2495"/>
    <w:rsid w:val="003A252D"/>
    <w:rsid w:val="003A25D0"/>
    <w:rsid w:val="003A2967"/>
    <w:rsid w:val="003A2AF0"/>
    <w:rsid w:val="003A2B5E"/>
    <w:rsid w:val="003A2B66"/>
    <w:rsid w:val="003A2B79"/>
    <w:rsid w:val="003A2B9C"/>
    <w:rsid w:val="003A2BAB"/>
    <w:rsid w:val="003A2C12"/>
    <w:rsid w:val="003A2C4E"/>
    <w:rsid w:val="003A2C5F"/>
    <w:rsid w:val="003A2CA3"/>
    <w:rsid w:val="003A2CEB"/>
    <w:rsid w:val="003A2D72"/>
    <w:rsid w:val="003A2E69"/>
    <w:rsid w:val="003A2E88"/>
    <w:rsid w:val="003A2ED1"/>
    <w:rsid w:val="003A2F39"/>
    <w:rsid w:val="003A2F89"/>
    <w:rsid w:val="003A2FF2"/>
    <w:rsid w:val="003A3031"/>
    <w:rsid w:val="003A32CD"/>
    <w:rsid w:val="003A33F3"/>
    <w:rsid w:val="003A363A"/>
    <w:rsid w:val="003A3720"/>
    <w:rsid w:val="003A3740"/>
    <w:rsid w:val="003A37E3"/>
    <w:rsid w:val="003A3B46"/>
    <w:rsid w:val="003A3C18"/>
    <w:rsid w:val="003A3CAC"/>
    <w:rsid w:val="003A3CC4"/>
    <w:rsid w:val="003A3CE3"/>
    <w:rsid w:val="003A3DDA"/>
    <w:rsid w:val="003A3EBF"/>
    <w:rsid w:val="003A3EE6"/>
    <w:rsid w:val="003A3F43"/>
    <w:rsid w:val="003A412C"/>
    <w:rsid w:val="003A42DD"/>
    <w:rsid w:val="003A42ED"/>
    <w:rsid w:val="003A430F"/>
    <w:rsid w:val="003A4333"/>
    <w:rsid w:val="003A43AF"/>
    <w:rsid w:val="003A44A1"/>
    <w:rsid w:val="003A4505"/>
    <w:rsid w:val="003A458D"/>
    <w:rsid w:val="003A47B5"/>
    <w:rsid w:val="003A47E6"/>
    <w:rsid w:val="003A47E8"/>
    <w:rsid w:val="003A481B"/>
    <w:rsid w:val="003A48B6"/>
    <w:rsid w:val="003A498B"/>
    <w:rsid w:val="003A4A61"/>
    <w:rsid w:val="003A4A74"/>
    <w:rsid w:val="003A4C47"/>
    <w:rsid w:val="003A4DB9"/>
    <w:rsid w:val="003A4DE9"/>
    <w:rsid w:val="003A4E9D"/>
    <w:rsid w:val="003A4F7A"/>
    <w:rsid w:val="003A4FE7"/>
    <w:rsid w:val="003A5053"/>
    <w:rsid w:val="003A50C0"/>
    <w:rsid w:val="003A50F9"/>
    <w:rsid w:val="003A5147"/>
    <w:rsid w:val="003A5178"/>
    <w:rsid w:val="003A51E1"/>
    <w:rsid w:val="003A529C"/>
    <w:rsid w:val="003A530C"/>
    <w:rsid w:val="003A5348"/>
    <w:rsid w:val="003A5559"/>
    <w:rsid w:val="003A5568"/>
    <w:rsid w:val="003A581D"/>
    <w:rsid w:val="003A591F"/>
    <w:rsid w:val="003A5A68"/>
    <w:rsid w:val="003A5CDC"/>
    <w:rsid w:val="003A5D51"/>
    <w:rsid w:val="003A5D59"/>
    <w:rsid w:val="003A5D62"/>
    <w:rsid w:val="003A5E16"/>
    <w:rsid w:val="003A5E1E"/>
    <w:rsid w:val="003A5E42"/>
    <w:rsid w:val="003A5F5B"/>
    <w:rsid w:val="003A5F81"/>
    <w:rsid w:val="003A606E"/>
    <w:rsid w:val="003A60A0"/>
    <w:rsid w:val="003A6155"/>
    <w:rsid w:val="003A6177"/>
    <w:rsid w:val="003A61C4"/>
    <w:rsid w:val="003A6298"/>
    <w:rsid w:val="003A629F"/>
    <w:rsid w:val="003A6373"/>
    <w:rsid w:val="003A6392"/>
    <w:rsid w:val="003A63D1"/>
    <w:rsid w:val="003A6497"/>
    <w:rsid w:val="003A64B2"/>
    <w:rsid w:val="003A64E7"/>
    <w:rsid w:val="003A6546"/>
    <w:rsid w:val="003A6650"/>
    <w:rsid w:val="003A6662"/>
    <w:rsid w:val="003A6724"/>
    <w:rsid w:val="003A67FB"/>
    <w:rsid w:val="003A6850"/>
    <w:rsid w:val="003A690E"/>
    <w:rsid w:val="003A6934"/>
    <w:rsid w:val="003A69C1"/>
    <w:rsid w:val="003A69C9"/>
    <w:rsid w:val="003A6A6F"/>
    <w:rsid w:val="003A6AEB"/>
    <w:rsid w:val="003A6B44"/>
    <w:rsid w:val="003A6BD5"/>
    <w:rsid w:val="003A6C11"/>
    <w:rsid w:val="003A6CCA"/>
    <w:rsid w:val="003A6D25"/>
    <w:rsid w:val="003A6E1A"/>
    <w:rsid w:val="003A6FE0"/>
    <w:rsid w:val="003A70B5"/>
    <w:rsid w:val="003A717F"/>
    <w:rsid w:val="003A718F"/>
    <w:rsid w:val="003A71E2"/>
    <w:rsid w:val="003A72EC"/>
    <w:rsid w:val="003A7366"/>
    <w:rsid w:val="003A73FF"/>
    <w:rsid w:val="003A7574"/>
    <w:rsid w:val="003A75EC"/>
    <w:rsid w:val="003A7706"/>
    <w:rsid w:val="003A77CE"/>
    <w:rsid w:val="003A781C"/>
    <w:rsid w:val="003A787E"/>
    <w:rsid w:val="003A78D1"/>
    <w:rsid w:val="003A78F2"/>
    <w:rsid w:val="003A7A64"/>
    <w:rsid w:val="003A7B61"/>
    <w:rsid w:val="003A7B98"/>
    <w:rsid w:val="003A7B9E"/>
    <w:rsid w:val="003A7C59"/>
    <w:rsid w:val="003A7C62"/>
    <w:rsid w:val="003A7CA2"/>
    <w:rsid w:val="003A7D5C"/>
    <w:rsid w:val="003A7DD3"/>
    <w:rsid w:val="003A7E9F"/>
    <w:rsid w:val="003A7F3B"/>
    <w:rsid w:val="003A7F6F"/>
    <w:rsid w:val="003B005C"/>
    <w:rsid w:val="003B0077"/>
    <w:rsid w:val="003B0120"/>
    <w:rsid w:val="003B0139"/>
    <w:rsid w:val="003B01F3"/>
    <w:rsid w:val="003B04D0"/>
    <w:rsid w:val="003B052B"/>
    <w:rsid w:val="003B0663"/>
    <w:rsid w:val="003B06BA"/>
    <w:rsid w:val="003B077C"/>
    <w:rsid w:val="003B096E"/>
    <w:rsid w:val="003B0A15"/>
    <w:rsid w:val="003B0B28"/>
    <w:rsid w:val="003B0B44"/>
    <w:rsid w:val="003B0BA1"/>
    <w:rsid w:val="003B0C24"/>
    <w:rsid w:val="003B0CF3"/>
    <w:rsid w:val="003B0D7E"/>
    <w:rsid w:val="003B0DC1"/>
    <w:rsid w:val="003B0ECB"/>
    <w:rsid w:val="003B0F48"/>
    <w:rsid w:val="003B108D"/>
    <w:rsid w:val="003B10D3"/>
    <w:rsid w:val="003B1460"/>
    <w:rsid w:val="003B149D"/>
    <w:rsid w:val="003B1596"/>
    <w:rsid w:val="003B1682"/>
    <w:rsid w:val="003B182D"/>
    <w:rsid w:val="003B18F6"/>
    <w:rsid w:val="003B1906"/>
    <w:rsid w:val="003B19AF"/>
    <w:rsid w:val="003B1AE3"/>
    <w:rsid w:val="003B1B67"/>
    <w:rsid w:val="003B1BE2"/>
    <w:rsid w:val="003B1D2F"/>
    <w:rsid w:val="003B1D4E"/>
    <w:rsid w:val="003B1DDE"/>
    <w:rsid w:val="003B1E17"/>
    <w:rsid w:val="003B1EF5"/>
    <w:rsid w:val="003B1EFC"/>
    <w:rsid w:val="003B1F12"/>
    <w:rsid w:val="003B1FEB"/>
    <w:rsid w:val="003B203A"/>
    <w:rsid w:val="003B203F"/>
    <w:rsid w:val="003B205F"/>
    <w:rsid w:val="003B2300"/>
    <w:rsid w:val="003B2328"/>
    <w:rsid w:val="003B2372"/>
    <w:rsid w:val="003B2395"/>
    <w:rsid w:val="003B23BA"/>
    <w:rsid w:val="003B24D5"/>
    <w:rsid w:val="003B251E"/>
    <w:rsid w:val="003B2695"/>
    <w:rsid w:val="003B2889"/>
    <w:rsid w:val="003B2894"/>
    <w:rsid w:val="003B28B0"/>
    <w:rsid w:val="003B2AF1"/>
    <w:rsid w:val="003B2AF9"/>
    <w:rsid w:val="003B2B39"/>
    <w:rsid w:val="003B2C5B"/>
    <w:rsid w:val="003B2CBF"/>
    <w:rsid w:val="003B2D70"/>
    <w:rsid w:val="003B2E24"/>
    <w:rsid w:val="003B2EFE"/>
    <w:rsid w:val="003B2FBA"/>
    <w:rsid w:val="003B2FE6"/>
    <w:rsid w:val="003B30AC"/>
    <w:rsid w:val="003B30CD"/>
    <w:rsid w:val="003B3125"/>
    <w:rsid w:val="003B316E"/>
    <w:rsid w:val="003B3232"/>
    <w:rsid w:val="003B329F"/>
    <w:rsid w:val="003B32AE"/>
    <w:rsid w:val="003B32B5"/>
    <w:rsid w:val="003B33B8"/>
    <w:rsid w:val="003B33EB"/>
    <w:rsid w:val="003B34F6"/>
    <w:rsid w:val="003B366F"/>
    <w:rsid w:val="003B382B"/>
    <w:rsid w:val="003B388C"/>
    <w:rsid w:val="003B38D4"/>
    <w:rsid w:val="003B3916"/>
    <w:rsid w:val="003B3AC1"/>
    <w:rsid w:val="003B3B47"/>
    <w:rsid w:val="003B3C4D"/>
    <w:rsid w:val="003B3CEA"/>
    <w:rsid w:val="003B3D29"/>
    <w:rsid w:val="003B3D85"/>
    <w:rsid w:val="003B3E10"/>
    <w:rsid w:val="003B3ECD"/>
    <w:rsid w:val="003B3F30"/>
    <w:rsid w:val="003B3F7B"/>
    <w:rsid w:val="003B3F98"/>
    <w:rsid w:val="003B406F"/>
    <w:rsid w:val="003B408B"/>
    <w:rsid w:val="003B4095"/>
    <w:rsid w:val="003B409D"/>
    <w:rsid w:val="003B419C"/>
    <w:rsid w:val="003B422C"/>
    <w:rsid w:val="003B42FF"/>
    <w:rsid w:val="003B4378"/>
    <w:rsid w:val="003B43E3"/>
    <w:rsid w:val="003B43E7"/>
    <w:rsid w:val="003B44A8"/>
    <w:rsid w:val="003B44B9"/>
    <w:rsid w:val="003B4519"/>
    <w:rsid w:val="003B4520"/>
    <w:rsid w:val="003B4599"/>
    <w:rsid w:val="003B459A"/>
    <w:rsid w:val="003B4616"/>
    <w:rsid w:val="003B469E"/>
    <w:rsid w:val="003B46B1"/>
    <w:rsid w:val="003B472F"/>
    <w:rsid w:val="003B4837"/>
    <w:rsid w:val="003B4858"/>
    <w:rsid w:val="003B48B6"/>
    <w:rsid w:val="003B4949"/>
    <w:rsid w:val="003B4B00"/>
    <w:rsid w:val="003B4C2D"/>
    <w:rsid w:val="003B4C57"/>
    <w:rsid w:val="003B4C84"/>
    <w:rsid w:val="003B4CD3"/>
    <w:rsid w:val="003B4D13"/>
    <w:rsid w:val="003B4DC0"/>
    <w:rsid w:val="003B4E00"/>
    <w:rsid w:val="003B4EB3"/>
    <w:rsid w:val="003B501B"/>
    <w:rsid w:val="003B50BA"/>
    <w:rsid w:val="003B50EF"/>
    <w:rsid w:val="003B5205"/>
    <w:rsid w:val="003B5211"/>
    <w:rsid w:val="003B527A"/>
    <w:rsid w:val="003B5280"/>
    <w:rsid w:val="003B5286"/>
    <w:rsid w:val="003B52AF"/>
    <w:rsid w:val="003B534F"/>
    <w:rsid w:val="003B539B"/>
    <w:rsid w:val="003B53AF"/>
    <w:rsid w:val="003B5409"/>
    <w:rsid w:val="003B5587"/>
    <w:rsid w:val="003B55E0"/>
    <w:rsid w:val="003B561B"/>
    <w:rsid w:val="003B56D1"/>
    <w:rsid w:val="003B56D3"/>
    <w:rsid w:val="003B5754"/>
    <w:rsid w:val="003B57F2"/>
    <w:rsid w:val="003B5867"/>
    <w:rsid w:val="003B5896"/>
    <w:rsid w:val="003B5A04"/>
    <w:rsid w:val="003B5A19"/>
    <w:rsid w:val="003B5B68"/>
    <w:rsid w:val="003B5E08"/>
    <w:rsid w:val="003B5E2D"/>
    <w:rsid w:val="003B5E32"/>
    <w:rsid w:val="003B6150"/>
    <w:rsid w:val="003B61B7"/>
    <w:rsid w:val="003B6238"/>
    <w:rsid w:val="003B6291"/>
    <w:rsid w:val="003B6357"/>
    <w:rsid w:val="003B63D1"/>
    <w:rsid w:val="003B6416"/>
    <w:rsid w:val="003B64BC"/>
    <w:rsid w:val="003B6590"/>
    <w:rsid w:val="003B685D"/>
    <w:rsid w:val="003B688B"/>
    <w:rsid w:val="003B69E4"/>
    <w:rsid w:val="003B69FA"/>
    <w:rsid w:val="003B6A4E"/>
    <w:rsid w:val="003B6A8E"/>
    <w:rsid w:val="003B6B06"/>
    <w:rsid w:val="003B6B71"/>
    <w:rsid w:val="003B6EA8"/>
    <w:rsid w:val="003B6F2D"/>
    <w:rsid w:val="003B6F35"/>
    <w:rsid w:val="003B6F7D"/>
    <w:rsid w:val="003B7088"/>
    <w:rsid w:val="003B722C"/>
    <w:rsid w:val="003B7277"/>
    <w:rsid w:val="003B7724"/>
    <w:rsid w:val="003B7785"/>
    <w:rsid w:val="003B7906"/>
    <w:rsid w:val="003B79E6"/>
    <w:rsid w:val="003B7A60"/>
    <w:rsid w:val="003B7AAD"/>
    <w:rsid w:val="003B7B49"/>
    <w:rsid w:val="003B7C7C"/>
    <w:rsid w:val="003B7D83"/>
    <w:rsid w:val="003B7DB3"/>
    <w:rsid w:val="003B7DE2"/>
    <w:rsid w:val="003B7F43"/>
    <w:rsid w:val="003B7F85"/>
    <w:rsid w:val="003B9DF3"/>
    <w:rsid w:val="003C01A9"/>
    <w:rsid w:val="003C0366"/>
    <w:rsid w:val="003C0370"/>
    <w:rsid w:val="003C044A"/>
    <w:rsid w:val="003C04A7"/>
    <w:rsid w:val="003C04C0"/>
    <w:rsid w:val="003C0510"/>
    <w:rsid w:val="003C0527"/>
    <w:rsid w:val="003C064F"/>
    <w:rsid w:val="003C0765"/>
    <w:rsid w:val="003C0766"/>
    <w:rsid w:val="003C07A4"/>
    <w:rsid w:val="003C07D7"/>
    <w:rsid w:val="003C07FC"/>
    <w:rsid w:val="003C09F1"/>
    <w:rsid w:val="003C0B68"/>
    <w:rsid w:val="003C0CE8"/>
    <w:rsid w:val="003C0D96"/>
    <w:rsid w:val="003C0DAD"/>
    <w:rsid w:val="003C0E6A"/>
    <w:rsid w:val="003C0F42"/>
    <w:rsid w:val="003C0FCF"/>
    <w:rsid w:val="003C114F"/>
    <w:rsid w:val="003C118A"/>
    <w:rsid w:val="003C11C9"/>
    <w:rsid w:val="003C1310"/>
    <w:rsid w:val="003C13CD"/>
    <w:rsid w:val="003C1455"/>
    <w:rsid w:val="003C15ED"/>
    <w:rsid w:val="003C1605"/>
    <w:rsid w:val="003C164A"/>
    <w:rsid w:val="003C1652"/>
    <w:rsid w:val="003C166D"/>
    <w:rsid w:val="003C1675"/>
    <w:rsid w:val="003C16DE"/>
    <w:rsid w:val="003C17CA"/>
    <w:rsid w:val="003C17EF"/>
    <w:rsid w:val="003C185B"/>
    <w:rsid w:val="003C1861"/>
    <w:rsid w:val="003C1A05"/>
    <w:rsid w:val="003C1A27"/>
    <w:rsid w:val="003C1A92"/>
    <w:rsid w:val="003C1AE2"/>
    <w:rsid w:val="003C1B70"/>
    <w:rsid w:val="003C1BBA"/>
    <w:rsid w:val="003C1CA8"/>
    <w:rsid w:val="003C1DE8"/>
    <w:rsid w:val="003C1E6C"/>
    <w:rsid w:val="003C1EB0"/>
    <w:rsid w:val="003C1F44"/>
    <w:rsid w:val="003C1F45"/>
    <w:rsid w:val="003C1FF0"/>
    <w:rsid w:val="003C1FF4"/>
    <w:rsid w:val="003C205F"/>
    <w:rsid w:val="003C20B2"/>
    <w:rsid w:val="003C20C9"/>
    <w:rsid w:val="003C20E2"/>
    <w:rsid w:val="003C2190"/>
    <w:rsid w:val="003C2208"/>
    <w:rsid w:val="003C224B"/>
    <w:rsid w:val="003C23FE"/>
    <w:rsid w:val="003C24F9"/>
    <w:rsid w:val="003C26E4"/>
    <w:rsid w:val="003C27B7"/>
    <w:rsid w:val="003C27D9"/>
    <w:rsid w:val="003C2869"/>
    <w:rsid w:val="003C28AE"/>
    <w:rsid w:val="003C29F4"/>
    <w:rsid w:val="003C2A25"/>
    <w:rsid w:val="003C2AC8"/>
    <w:rsid w:val="003C2AF2"/>
    <w:rsid w:val="003C2C39"/>
    <w:rsid w:val="003C2CF2"/>
    <w:rsid w:val="003C2D06"/>
    <w:rsid w:val="003C2DB1"/>
    <w:rsid w:val="003C2E09"/>
    <w:rsid w:val="003C2E68"/>
    <w:rsid w:val="003C2F95"/>
    <w:rsid w:val="003C2FC8"/>
    <w:rsid w:val="003C3002"/>
    <w:rsid w:val="003C323F"/>
    <w:rsid w:val="003C3371"/>
    <w:rsid w:val="003C337C"/>
    <w:rsid w:val="003C33C0"/>
    <w:rsid w:val="003C349C"/>
    <w:rsid w:val="003C34A7"/>
    <w:rsid w:val="003C3653"/>
    <w:rsid w:val="003C36B5"/>
    <w:rsid w:val="003C384E"/>
    <w:rsid w:val="003C3850"/>
    <w:rsid w:val="003C3923"/>
    <w:rsid w:val="003C3927"/>
    <w:rsid w:val="003C3A42"/>
    <w:rsid w:val="003C3C27"/>
    <w:rsid w:val="003C3C29"/>
    <w:rsid w:val="003C3CBE"/>
    <w:rsid w:val="003C3E4B"/>
    <w:rsid w:val="003C3E63"/>
    <w:rsid w:val="003C3EB3"/>
    <w:rsid w:val="003C3F0A"/>
    <w:rsid w:val="003C3F1E"/>
    <w:rsid w:val="003C3F34"/>
    <w:rsid w:val="003C402C"/>
    <w:rsid w:val="003C424F"/>
    <w:rsid w:val="003C4314"/>
    <w:rsid w:val="003C4316"/>
    <w:rsid w:val="003C433E"/>
    <w:rsid w:val="003C43D8"/>
    <w:rsid w:val="003C4430"/>
    <w:rsid w:val="003C4446"/>
    <w:rsid w:val="003C4521"/>
    <w:rsid w:val="003C4711"/>
    <w:rsid w:val="003C478B"/>
    <w:rsid w:val="003C484C"/>
    <w:rsid w:val="003C485A"/>
    <w:rsid w:val="003C48B8"/>
    <w:rsid w:val="003C49FF"/>
    <w:rsid w:val="003C4A03"/>
    <w:rsid w:val="003C4A20"/>
    <w:rsid w:val="003C4ABC"/>
    <w:rsid w:val="003C4B1B"/>
    <w:rsid w:val="003C4BD4"/>
    <w:rsid w:val="003C4BDE"/>
    <w:rsid w:val="003C4C6C"/>
    <w:rsid w:val="003C4CC2"/>
    <w:rsid w:val="003C4CE1"/>
    <w:rsid w:val="003C4CE5"/>
    <w:rsid w:val="003C4D33"/>
    <w:rsid w:val="003C4D74"/>
    <w:rsid w:val="003C4E18"/>
    <w:rsid w:val="003C4E3B"/>
    <w:rsid w:val="003C4E66"/>
    <w:rsid w:val="003C4E9E"/>
    <w:rsid w:val="003C4F21"/>
    <w:rsid w:val="003C4F8F"/>
    <w:rsid w:val="003C4FA2"/>
    <w:rsid w:val="003C5018"/>
    <w:rsid w:val="003C511D"/>
    <w:rsid w:val="003C5206"/>
    <w:rsid w:val="003C5383"/>
    <w:rsid w:val="003C53D9"/>
    <w:rsid w:val="003C544C"/>
    <w:rsid w:val="003C5462"/>
    <w:rsid w:val="003C547D"/>
    <w:rsid w:val="003C5500"/>
    <w:rsid w:val="003C55C7"/>
    <w:rsid w:val="003C565B"/>
    <w:rsid w:val="003C5766"/>
    <w:rsid w:val="003C5926"/>
    <w:rsid w:val="003C59D1"/>
    <w:rsid w:val="003C5B95"/>
    <w:rsid w:val="003C5B9B"/>
    <w:rsid w:val="003C5BDF"/>
    <w:rsid w:val="003C5C1A"/>
    <w:rsid w:val="003C5C74"/>
    <w:rsid w:val="003C5D6D"/>
    <w:rsid w:val="003C5DF6"/>
    <w:rsid w:val="003C5F58"/>
    <w:rsid w:val="003C601C"/>
    <w:rsid w:val="003C6087"/>
    <w:rsid w:val="003C6114"/>
    <w:rsid w:val="003C6127"/>
    <w:rsid w:val="003C6200"/>
    <w:rsid w:val="003C626B"/>
    <w:rsid w:val="003C6290"/>
    <w:rsid w:val="003C6576"/>
    <w:rsid w:val="003C666B"/>
    <w:rsid w:val="003C66C5"/>
    <w:rsid w:val="003C66E1"/>
    <w:rsid w:val="003C66F7"/>
    <w:rsid w:val="003C6790"/>
    <w:rsid w:val="003C6A15"/>
    <w:rsid w:val="003C6AD1"/>
    <w:rsid w:val="003C6B12"/>
    <w:rsid w:val="003C6B17"/>
    <w:rsid w:val="003C6B3A"/>
    <w:rsid w:val="003C6B46"/>
    <w:rsid w:val="003C6B59"/>
    <w:rsid w:val="003C6C53"/>
    <w:rsid w:val="003C6D3E"/>
    <w:rsid w:val="003C6E06"/>
    <w:rsid w:val="003C6E19"/>
    <w:rsid w:val="003C6F09"/>
    <w:rsid w:val="003C70AD"/>
    <w:rsid w:val="003C70F3"/>
    <w:rsid w:val="003C70F9"/>
    <w:rsid w:val="003C7129"/>
    <w:rsid w:val="003C71CF"/>
    <w:rsid w:val="003C7205"/>
    <w:rsid w:val="003C7365"/>
    <w:rsid w:val="003C7410"/>
    <w:rsid w:val="003C74C2"/>
    <w:rsid w:val="003C75AD"/>
    <w:rsid w:val="003C760B"/>
    <w:rsid w:val="003C77EA"/>
    <w:rsid w:val="003C77F4"/>
    <w:rsid w:val="003C785D"/>
    <w:rsid w:val="003C78F1"/>
    <w:rsid w:val="003C790A"/>
    <w:rsid w:val="003C795E"/>
    <w:rsid w:val="003C79E4"/>
    <w:rsid w:val="003C7AA5"/>
    <w:rsid w:val="003C7C4B"/>
    <w:rsid w:val="003C7C59"/>
    <w:rsid w:val="003C7CC0"/>
    <w:rsid w:val="003C7E0B"/>
    <w:rsid w:val="003C7E31"/>
    <w:rsid w:val="003C7E93"/>
    <w:rsid w:val="003C7F25"/>
    <w:rsid w:val="003C7FBD"/>
    <w:rsid w:val="003C7FC5"/>
    <w:rsid w:val="003C7FD1"/>
    <w:rsid w:val="003D00BD"/>
    <w:rsid w:val="003D0235"/>
    <w:rsid w:val="003D027B"/>
    <w:rsid w:val="003D02F1"/>
    <w:rsid w:val="003D0319"/>
    <w:rsid w:val="003D035D"/>
    <w:rsid w:val="003D06C5"/>
    <w:rsid w:val="003D0728"/>
    <w:rsid w:val="003D0760"/>
    <w:rsid w:val="003D079C"/>
    <w:rsid w:val="003D07C7"/>
    <w:rsid w:val="003D0B6D"/>
    <w:rsid w:val="003D0C6C"/>
    <w:rsid w:val="003D0C9C"/>
    <w:rsid w:val="003D0DC4"/>
    <w:rsid w:val="003D0E4E"/>
    <w:rsid w:val="003D0EBB"/>
    <w:rsid w:val="003D0F52"/>
    <w:rsid w:val="003D0F56"/>
    <w:rsid w:val="003D0F9E"/>
    <w:rsid w:val="003D111C"/>
    <w:rsid w:val="003D114C"/>
    <w:rsid w:val="003D11A7"/>
    <w:rsid w:val="003D126C"/>
    <w:rsid w:val="003D12D3"/>
    <w:rsid w:val="003D132D"/>
    <w:rsid w:val="003D144A"/>
    <w:rsid w:val="003D149C"/>
    <w:rsid w:val="003D14A6"/>
    <w:rsid w:val="003D14D2"/>
    <w:rsid w:val="003D14E7"/>
    <w:rsid w:val="003D154F"/>
    <w:rsid w:val="003D1619"/>
    <w:rsid w:val="003D17FB"/>
    <w:rsid w:val="003D183C"/>
    <w:rsid w:val="003D19A0"/>
    <w:rsid w:val="003D19B3"/>
    <w:rsid w:val="003D19F5"/>
    <w:rsid w:val="003D1C9C"/>
    <w:rsid w:val="003D1D3D"/>
    <w:rsid w:val="003D1E1A"/>
    <w:rsid w:val="003D1F33"/>
    <w:rsid w:val="003D2032"/>
    <w:rsid w:val="003D20B2"/>
    <w:rsid w:val="003D20E5"/>
    <w:rsid w:val="003D2146"/>
    <w:rsid w:val="003D22AA"/>
    <w:rsid w:val="003D240A"/>
    <w:rsid w:val="003D2532"/>
    <w:rsid w:val="003D25B4"/>
    <w:rsid w:val="003D25E8"/>
    <w:rsid w:val="003D2709"/>
    <w:rsid w:val="003D2730"/>
    <w:rsid w:val="003D27C3"/>
    <w:rsid w:val="003D2836"/>
    <w:rsid w:val="003D2915"/>
    <w:rsid w:val="003D2968"/>
    <w:rsid w:val="003D2983"/>
    <w:rsid w:val="003D2989"/>
    <w:rsid w:val="003D299E"/>
    <w:rsid w:val="003D29DD"/>
    <w:rsid w:val="003D2A7D"/>
    <w:rsid w:val="003D2CC9"/>
    <w:rsid w:val="003D2D45"/>
    <w:rsid w:val="003D2D54"/>
    <w:rsid w:val="003D2E4D"/>
    <w:rsid w:val="003D2E8E"/>
    <w:rsid w:val="003D2F41"/>
    <w:rsid w:val="003D2F5E"/>
    <w:rsid w:val="003D3070"/>
    <w:rsid w:val="003D3082"/>
    <w:rsid w:val="003D30A2"/>
    <w:rsid w:val="003D3139"/>
    <w:rsid w:val="003D31A2"/>
    <w:rsid w:val="003D321D"/>
    <w:rsid w:val="003D3330"/>
    <w:rsid w:val="003D3356"/>
    <w:rsid w:val="003D335C"/>
    <w:rsid w:val="003D349E"/>
    <w:rsid w:val="003D3744"/>
    <w:rsid w:val="003D3746"/>
    <w:rsid w:val="003D3845"/>
    <w:rsid w:val="003D397C"/>
    <w:rsid w:val="003D3A12"/>
    <w:rsid w:val="003D3AE8"/>
    <w:rsid w:val="003D3B3A"/>
    <w:rsid w:val="003D3B98"/>
    <w:rsid w:val="003D3C2A"/>
    <w:rsid w:val="003D3DD3"/>
    <w:rsid w:val="003D3FA2"/>
    <w:rsid w:val="003D4073"/>
    <w:rsid w:val="003D409E"/>
    <w:rsid w:val="003D40EF"/>
    <w:rsid w:val="003D4127"/>
    <w:rsid w:val="003D4128"/>
    <w:rsid w:val="003D41A6"/>
    <w:rsid w:val="003D428D"/>
    <w:rsid w:val="003D445C"/>
    <w:rsid w:val="003D44EC"/>
    <w:rsid w:val="003D451D"/>
    <w:rsid w:val="003D45E0"/>
    <w:rsid w:val="003D471D"/>
    <w:rsid w:val="003D4780"/>
    <w:rsid w:val="003D478C"/>
    <w:rsid w:val="003D4895"/>
    <w:rsid w:val="003D48D4"/>
    <w:rsid w:val="003D491F"/>
    <w:rsid w:val="003D4931"/>
    <w:rsid w:val="003D4AEA"/>
    <w:rsid w:val="003D4AEE"/>
    <w:rsid w:val="003D4B10"/>
    <w:rsid w:val="003D4C8F"/>
    <w:rsid w:val="003D4D50"/>
    <w:rsid w:val="003D4DFB"/>
    <w:rsid w:val="003D4E83"/>
    <w:rsid w:val="003D4EC8"/>
    <w:rsid w:val="003D4F13"/>
    <w:rsid w:val="003D4FCA"/>
    <w:rsid w:val="003D506B"/>
    <w:rsid w:val="003D5101"/>
    <w:rsid w:val="003D51E6"/>
    <w:rsid w:val="003D51F8"/>
    <w:rsid w:val="003D53B5"/>
    <w:rsid w:val="003D55E1"/>
    <w:rsid w:val="003D55E2"/>
    <w:rsid w:val="003D5623"/>
    <w:rsid w:val="003D588A"/>
    <w:rsid w:val="003D58CC"/>
    <w:rsid w:val="003D5914"/>
    <w:rsid w:val="003D59BC"/>
    <w:rsid w:val="003D5A2B"/>
    <w:rsid w:val="003D5BF2"/>
    <w:rsid w:val="003D5C86"/>
    <w:rsid w:val="003D5D84"/>
    <w:rsid w:val="003D5DDE"/>
    <w:rsid w:val="003D5EAA"/>
    <w:rsid w:val="003D5EB5"/>
    <w:rsid w:val="003D5EEC"/>
    <w:rsid w:val="003D6069"/>
    <w:rsid w:val="003D6084"/>
    <w:rsid w:val="003D62EE"/>
    <w:rsid w:val="003D6336"/>
    <w:rsid w:val="003D63D0"/>
    <w:rsid w:val="003D641A"/>
    <w:rsid w:val="003D6739"/>
    <w:rsid w:val="003D6955"/>
    <w:rsid w:val="003D699D"/>
    <w:rsid w:val="003D6AEE"/>
    <w:rsid w:val="003D6B52"/>
    <w:rsid w:val="003D6D8F"/>
    <w:rsid w:val="003D6D96"/>
    <w:rsid w:val="003D6E66"/>
    <w:rsid w:val="003D6EC1"/>
    <w:rsid w:val="003D70E2"/>
    <w:rsid w:val="003D7113"/>
    <w:rsid w:val="003D7160"/>
    <w:rsid w:val="003D7178"/>
    <w:rsid w:val="003D71EB"/>
    <w:rsid w:val="003D71F2"/>
    <w:rsid w:val="003D7259"/>
    <w:rsid w:val="003D72A2"/>
    <w:rsid w:val="003D72C6"/>
    <w:rsid w:val="003D72D3"/>
    <w:rsid w:val="003D74A5"/>
    <w:rsid w:val="003D74DC"/>
    <w:rsid w:val="003D7662"/>
    <w:rsid w:val="003D76A3"/>
    <w:rsid w:val="003D774B"/>
    <w:rsid w:val="003D77C8"/>
    <w:rsid w:val="003D7824"/>
    <w:rsid w:val="003D78CF"/>
    <w:rsid w:val="003D78D5"/>
    <w:rsid w:val="003D7900"/>
    <w:rsid w:val="003D7946"/>
    <w:rsid w:val="003D7A08"/>
    <w:rsid w:val="003D7A32"/>
    <w:rsid w:val="003D7A78"/>
    <w:rsid w:val="003D7A9E"/>
    <w:rsid w:val="003D7AA6"/>
    <w:rsid w:val="003D7D9D"/>
    <w:rsid w:val="003D7F51"/>
    <w:rsid w:val="003E0096"/>
    <w:rsid w:val="003E00A3"/>
    <w:rsid w:val="003E012B"/>
    <w:rsid w:val="003E012E"/>
    <w:rsid w:val="003E01B6"/>
    <w:rsid w:val="003E05BE"/>
    <w:rsid w:val="003E066C"/>
    <w:rsid w:val="003E0739"/>
    <w:rsid w:val="003E087B"/>
    <w:rsid w:val="003E08AF"/>
    <w:rsid w:val="003E08EE"/>
    <w:rsid w:val="003E08F5"/>
    <w:rsid w:val="003E093A"/>
    <w:rsid w:val="003E0998"/>
    <w:rsid w:val="003E09BB"/>
    <w:rsid w:val="003E09DC"/>
    <w:rsid w:val="003E0A28"/>
    <w:rsid w:val="003E0B37"/>
    <w:rsid w:val="003E0B47"/>
    <w:rsid w:val="003E0C1A"/>
    <w:rsid w:val="003E0C38"/>
    <w:rsid w:val="003E0CD8"/>
    <w:rsid w:val="003E0D63"/>
    <w:rsid w:val="003E0E25"/>
    <w:rsid w:val="003E0E57"/>
    <w:rsid w:val="003E0F66"/>
    <w:rsid w:val="003E1056"/>
    <w:rsid w:val="003E109C"/>
    <w:rsid w:val="003E10AB"/>
    <w:rsid w:val="003E1206"/>
    <w:rsid w:val="003E1386"/>
    <w:rsid w:val="003E13AD"/>
    <w:rsid w:val="003E156A"/>
    <w:rsid w:val="003E1579"/>
    <w:rsid w:val="003E15F8"/>
    <w:rsid w:val="003E1606"/>
    <w:rsid w:val="003E1620"/>
    <w:rsid w:val="003E16B1"/>
    <w:rsid w:val="003E16F6"/>
    <w:rsid w:val="003E182D"/>
    <w:rsid w:val="003E1832"/>
    <w:rsid w:val="003E1887"/>
    <w:rsid w:val="003E18F7"/>
    <w:rsid w:val="003E193F"/>
    <w:rsid w:val="003E19BE"/>
    <w:rsid w:val="003E1A10"/>
    <w:rsid w:val="003E1A4B"/>
    <w:rsid w:val="003E1A5A"/>
    <w:rsid w:val="003E1AD4"/>
    <w:rsid w:val="003E1C26"/>
    <w:rsid w:val="003E1D14"/>
    <w:rsid w:val="003E1D22"/>
    <w:rsid w:val="003E1EEC"/>
    <w:rsid w:val="003E203F"/>
    <w:rsid w:val="003E2043"/>
    <w:rsid w:val="003E20F3"/>
    <w:rsid w:val="003E215F"/>
    <w:rsid w:val="003E217B"/>
    <w:rsid w:val="003E21EB"/>
    <w:rsid w:val="003E2203"/>
    <w:rsid w:val="003E22CB"/>
    <w:rsid w:val="003E22DA"/>
    <w:rsid w:val="003E2338"/>
    <w:rsid w:val="003E2343"/>
    <w:rsid w:val="003E241F"/>
    <w:rsid w:val="003E2543"/>
    <w:rsid w:val="003E25CC"/>
    <w:rsid w:val="003E26BE"/>
    <w:rsid w:val="003E26E4"/>
    <w:rsid w:val="003E26E9"/>
    <w:rsid w:val="003E2725"/>
    <w:rsid w:val="003E27CF"/>
    <w:rsid w:val="003E2953"/>
    <w:rsid w:val="003E2B2E"/>
    <w:rsid w:val="003E2B31"/>
    <w:rsid w:val="003E2B7A"/>
    <w:rsid w:val="003E2C05"/>
    <w:rsid w:val="003E2CD5"/>
    <w:rsid w:val="003E2D41"/>
    <w:rsid w:val="003E2DEF"/>
    <w:rsid w:val="003E3000"/>
    <w:rsid w:val="003E3037"/>
    <w:rsid w:val="003E304B"/>
    <w:rsid w:val="003E3147"/>
    <w:rsid w:val="003E3163"/>
    <w:rsid w:val="003E3258"/>
    <w:rsid w:val="003E329D"/>
    <w:rsid w:val="003E32E0"/>
    <w:rsid w:val="003E32FE"/>
    <w:rsid w:val="003E3437"/>
    <w:rsid w:val="003E34D1"/>
    <w:rsid w:val="003E351E"/>
    <w:rsid w:val="003E35B3"/>
    <w:rsid w:val="003E36DE"/>
    <w:rsid w:val="003E3701"/>
    <w:rsid w:val="003E3844"/>
    <w:rsid w:val="003E38C8"/>
    <w:rsid w:val="003E395A"/>
    <w:rsid w:val="003E3965"/>
    <w:rsid w:val="003E39F4"/>
    <w:rsid w:val="003E3A20"/>
    <w:rsid w:val="003E3A4E"/>
    <w:rsid w:val="003E3A85"/>
    <w:rsid w:val="003E3A87"/>
    <w:rsid w:val="003E3B57"/>
    <w:rsid w:val="003E3BE4"/>
    <w:rsid w:val="003E3BEA"/>
    <w:rsid w:val="003E3C11"/>
    <w:rsid w:val="003E3D4D"/>
    <w:rsid w:val="003E3D57"/>
    <w:rsid w:val="003E3D82"/>
    <w:rsid w:val="003E3DA8"/>
    <w:rsid w:val="003E3F2D"/>
    <w:rsid w:val="003E406B"/>
    <w:rsid w:val="003E4188"/>
    <w:rsid w:val="003E42B9"/>
    <w:rsid w:val="003E435C"/>
    <w:rsid w:val="003E43AB"/>
    <w:rsid w:val="003E4464"/>
    <w:rsid w:val="003E4473"/>
    <w:rsid w:val="003E4512"/>
    <w:rsid w:val="003E452B"/>
    <w:rsid w:val="003E460B"/>
    <w:rsid w:val="003E461C"/>
    <w:rsid w:val="003E4747"/>
    <w:rsid w:val="003E4794"/>
    <w:rsid w:val="003E47F1"/>
    <w:rsid w:val="003E480F"/>
    <w:rsid w:val="003E488B"/>
    <w:rsid w:val="003E4929"/>
    <w:rsid w:val="003E4974"/>
    <w:rsid w:val="003E4A5F"/>
    <w:rsid w:val="003E4A8A"/>
    <w:rsid w:val="003E4AF7"/>
    <w:rsid w:val="003E4B6E"/>
    <w:rsid w:val="003E4B86"/>
    <w:rsid w:val="003E4BB0"/>
    <w:rsid w:val="003E4C30"/>
    <w:rsid w:val="003E4CB2"/>
    <w:rsid w:val="003E4CD0"/>
    <w:rsid w:val="003E4D11"/>
    <w:rsid w:val="003E4DA0"/>
    <w:rsid w:val="003E4E0D"/>
    <w:rsid w:val="003E4EA0"/>
    <w:rsid w:val="003E4EEE"/>
    <w:rsid w:val="003E4F96"/>
    <w:rsid w:val="003E4FAA"/>
    <w:rsid w:val="003E500E"/>
    <w:rsid w:val="003E502B"/>
    <w:rsid w:val="003E5062"/>
    <w:rsid w:val="003E50FC"/>
    <w:rsid w:val="003E50FF"/>
    <w:rsid w:val="003E512F"/>
    <w:rsid w:val="003E514E"/>
    <w:rsid w:val="003E51EC"/>
    <w:rsid w:val="003E51F0"/>
    <w:rsid w:val="003E5212"/>
    <w:rsid w:val="003E523B"/>
    <w:rsid w:val="003E5256"/>
    <w:rsid w:val="003E532C"/>
    <w:rsid w:val="003E5345"/>
    <w:rsid w:val="003E5394"/>
    <w:rsid w:val="003E53C4"/>
    <w:rsid w:val="003E5404"/>
    <w:rsid w:val="003E5429"/>
    <w:rsid w:val="003E5521"/>
    <w:rsid w:val="003E55E7"/>
    <w:rsid w:val="003E5619"/>
    <w:rsid w:val="003E5703"/>
    <w:rsid w:val="003E594E"/>
    <w:rsid w:val="003E5A11"/>
    <w:rsid w:val="003E5A4C"/>
    <w:rsid w:val="003E5A72"/>
    <w:rsid w:val="003E5AB3"/>
    <w:rsid w:val="003E5BE0"/>
    <w:rsid w:val="003E5C49"/>
    <w:rsid w:val="003E5CCA"/>
    <w:rsid w:val="003E5CFA"/>
    <w:rsid w:val="003E5DCF"/>
    <w:rsid w:val="003E5EC1"/>
    <w:rsid w:val="003E5EE6"/>
    <w:rsid w:val="003E6089"/>
    <w:rsid w:val="003E62FF"/>
    <w:rsid w:val="003E64AB"/>
    <w:rsid w:val="003E64E8"/>
    <w:rsid w:val="003E6711"/>
    <w:rsid w:val="003E6758"/>
    <w:rsid w:val="003E6786"/>
    <w:rsid w:val="003E6820"/>
    <w:rsid w:val="003E687E"/>
    <w:rsid w:val="003E68EB"/>
    <w:rsid w:val="003E68F0"/>
    <w:rsid w:val="003E691B"/>
    <w:rsid w:val="003E69D2"/>
    <w:rsid w:val="003E6AD0"/>
    <w:rsid w:val="003E6B26"/>
    <w:rsid w:val="003E6B76"/>
    <w:rsid w:val="003E6C3D"/>
    <w:rsid w:val="003E6C90"/>
    <w:rsid w:val="003E6CA6"/>
    <w:rsid w:val="003E6D54"/>
    <w:rsid w:val="003E6D80"/>
    <w:rsid w:val="003E6DF4"/>
    <w:rsid w:val="003E6E30"/>
    <w:rsid w:val="003E6E40"/>
    <w:rsid w:val="003E6F37"/>
    <w:rsid w:val="003E6F5B"/>
    <w:rsid w:val="003E6FD7"/>
    <w:rsid w:val="003E702A"/>
    <w:rsid w:val="003E71C9"/>
    <w:rsid w:val="003E7240"/>
    <w:rsid w:val="003E754C"/>
    <w:rsid w:val="003E7606"/>
    <w:rsid w:val="003E7773"/>
    <w:rsid w:val="003E7790"/>
    <w:rsid w:val="003E77BD"/>
    <w:rsid w:val="003E77DC"/>
    <w:rsid w:val="003E7AEB"/>
    <w:rsid w:val="003E7C1A"/>
    <w:rsid w:val="003E7C76"/>
    <w:rsid w:val="003E7DF1"/>
    <w:rsid w:val="003E7E6E"/>
    <w:rsid w:val="003E7EA2"/>
    <w:rsid w:val="003E7EF7"/>
    <w:rsid w:val="003F0013"/>
    <w:rsid w:val="003F003F"/>
    <w:rsid w:val="003F0067"/>
    <w:rsid w:val="003F007F"/>
    <w:rsid w:val="003F0092"/>
    <w:rsid w:val="003F0098"/>
    <w:rsid w:val="003F00F7"/>
    <w:rsid w:val="003F021D"/>
    <w:rsid w:val="003F0261"/>
    <w:rsid w:val="003F0472"/>
    <w:rsid w:val="003F0488"/>
    <w:rsid w:val="003F0531"/>
    <w:rsid w:val="003F06F4"/>
    <w:rsid w:val="003F079E"/>
    <w:rsid w:val="003F0885"/>
    <w:rsid w:val="003F08C5"/>
    <w:rsid w:val="003F08E8"/>
    <w:rsid w:val="003F0AA8"/>
    <w:rsid w:val="003F0D20"/>
    <w:rsid w:val="003F0D60"/>
    <w:rsid w:val="003F0DAD"/>
    <w:rsid w:val="003F0E47"/>
    <w:rsid w:val="003F112D"/>
    <w:rsid w:val="003F115E"/>
    <w:rsid w:val="003F11BB"/>
    <w:rsid w:val="003F1231"/>
    <w:rsid w:val="003F1313"/>
    <w:rsid w:val="003F13D0"/>
    <w:rsid w:val="003F13E2"/>
    <w:rsid w:val="003F141D"/>
    <w:rsid w:val="003F14C2"/>
    <w:rsid w:val="003F1557"/>
    <w:rsid w:val="003F1581"/>
    <w:rsid w:val="003F1619"/>
    <w:rsid w:val="003F16C4"/>
    <w:rsid w:val="003F17D8"/>
    <w:rsid w:val="003F17E2"/>
    <w:rsid w:val="003F1844"/>
    <w:rsid w:val="003F1934"/>
    <w:rsid w:val="003F19AF"/>
    <w:rsid w:val="003F1B04"/>
    <w:rsid w:val="003F1B09"/>
    <w:rsid w:val="003F1D04"/>
    <w:rsid w:val="003F1D8B"/>
    <w:rsid w:val="003F1DF0"/>
    <w:rsid w:val="003F1E02"/>
    <w:rsid w:val="003F1E1F"/>
    <w:rsid w:val="003F1F58"/>
    <w:rsid w:val="003F202B"/>
    <w:rsid w:val="003F210A"/>
    <w:rsid w:val="003F21D7"/>
    <w:rsid w:val="003F2210"/>
    <w:rsid w:val="003F222F"/>
    <w:rsid w:val="003F2428"/>
    <w:rsid w:val="003F25F8"/>
    <w:rsid w:val="003F2638"/>
    <w:rsid w:val="003F2745"/>
    <w:rsid w:val="003F27C8"/>
    <w:rsid w:val="003F28B6"/>
    <w:rsid w:val="003F28F1"/>
    <w:rsid w:val="003F294A"/>
    <w:rsid w:val="003F2963"/>
    <w:rsid w:val="003F29B2"/>
    <w:rsid w:val="003F2A3F"/>
    <w:rsid w:val="003F2AA3"/>
    <w:rsid w:val="003F2ABD"/>
    <w:rsid w:val="003F2B9B"/>
    <w:rsid w:val="003F2C11"/>
    <w:rsid w:val="003F2CBB"/>
    <w:rsid w:val="003F2DBD"/>
    <w:rsid w:val="003F2E33"/>
    <w:rsid w:val="003F2E79"/>
    <w:rsid w:val="003F2EDA"/>
    <w:rsid w:val="003F2F1B"/>
    <w:rsid w:val="003F2FA5"/>
    <w:rsid w:val="003F2FA8"/>
    <w:rsid w:val="003F322A"/>
    <w:rsid w:val="003F3342"/>
    <w:rsid w:val="003F334B"/>
    <w:rsid w:val="003F3361"/>
    <w:rsid w:val="003F3390"/>
    <w:rsid w:val="003F33B5"/>
    <w:rsid w:val="003F3408"/>
    <w:rsid w:val="003F3520"/>
    <w:rsid w:val="003F3579"/>
    <w:rsid w:val="003F35AA"/>
    <w:rsid w:val="003F37FA"/>
    <w:rsid w:val="003F38DE"/>
    <w:rsid w:val="003F3987"/>
    <w:rsid w:val="003F3A3C"/>
    <w:rsid w:val="003F3A65"/>
    <w:rsid w:val="003F3AB5"/>
    <w:rsid w:val="003F3B25"/>
    <w:rsid w:val="003F3B2C"/>
    <w:rsid w:val="003F3B53"/>
    <w:rsid w:val="003F3BA3"/>
    <w:rsid w:val="003F3BEE"/>
    <w:rsid w:val="003F3C94"/>
    <w:rsid w:val="003F3DBC"/>
    <w:rsid w:val="003F3E87"/>
    <w:rsid w:val="003F3ECE"/>
    <w:rsid w:val="003F400A"/>
    <w:rsid w:val="003F414F"/>
    <w:rsid w:val="003F415C"/>
    <w:rsid w:val="003F4184"/>
    <w:rsid w:val="003F42C3"/>
    <w:rsid w:val="003F43FF"/>
    <w:rsid w:val="003F4407"/>
    <w:rsid w:val="003F4471"/>
    <w:rsid w:val="003F44AA"/>
    <w:rsid w:val="003F45A1"/>
    <w:rsid w:val="003F4642"/>
    <w:rsid w:val="003F46FA"/>
    <w:rsid w:val="003F46FF"/>
    <w:rsid w:val="003F48AF"/>
    <w:rsid w:val="003F48C2"/>
    <w:rsid w:val="003F4A12"/>
    <w:rsid w:val="003F4A36"/>
    <w:rsid w:val="003F4A6C"/>
    <w:rsid w:val="003F4A81"/>
    <w:rsid w:val="003F4B9B"/>
    <w:rsid w:val="003F4D21"/>
    <w:rsid w:val="003F4D50"/>
    <w:rsid w:val="003F4DC5"/>
    <w:rsid w:val="003F4ED3"/>
    <w:rsid w:val="003F4EE4"/>
    <w:rsid w:val="003F4EF8"/>
    <w:rsid w:val="003F4F42"/>
    <w:rsid w:val="003F4F69"/>
    <w:rsid w:val="003F4FB8"/>
    <w:rsid w:val="003F4FE7"/>
    <w:rsid w:val="003F5082"/>
    <w:rsid w:val="003F508C"/>
    <w:rsid w:val="003F50A9"/>
    <w:rsid w:val="003F5173"/>
    <w:rsid w:val="003F52BC"/>
    <w:rsid w:val="003F535C"/>
    <w:rsid w:val="003F536B"/>
    <w:rsid w:val="003F536D"/>
    <w:rsid w:val="003F5384"/>
    <w:rsid w:val="003F546F"/>
    <w:rsid w:val="003F54F5"/>
    <w:rsid w:val="003F5515"/>
    <w:rsid w:val="003F5666"/>
    <w:rsid w:val="003F56A8"/>
    <w:rsid w:val="003F56BC"/>
    <w:rsid w:val="003F57BC"/>
    <w:rsid w:val="003F59B7"/>
    <w:rsid w:val="003F5A5E"/>
    <w:rsid w:val="003F5B20"/>
    <w:rsid w:val="003F5B64"/>
    <w:rsid w:val="003F6017"/>
    <w:rsid w:val="003F6025"/>
    <w:rsid w:val="003F602E"/>
    <w:rsid w:val="003F60EF"/>
    <w:rsid w:val="003F6294"/>
    <w:rsid w:val="003F6344"/>
    <w:rsid w:val="003F63C4"/>
    <w:rsid w:val="003F6457"/>
    <w:rsid w:val="003F6462"/>
    <w:rsid w:val="003F646C"/>
    <w:rsid w:val="003F653B"/>
    <w:rsid w:val="003F65D2"/>
    <w:rsid w:val="003F6601"/>
    <w:rsid w:val="003F6696"/>
    <w:rsid w:val="003F66C3"/>
    <w:rsid w:val="003F67A0"/>
    <w:rsid w:val="003F67DA"/>
    <w:rsid w:val="003F689F"/>
    <w:rsid w:val="003F6976"/>
    <w:rsid w:val="003F6A47"/>
    <w:rsid w:val="003F6A94"/>
    <w:rsid w:val="003F6C03"/>
    <w:rsid w:val="003F6CDD"/>
    <w:rsid w:val="003F6D65"/>
    <w:rsid w:val="003F6E33"/>
    <w:rsid w:val="003F6F09"/>
    <w:rsid w:val="003F6F43"/>
    <w:rsid w:val="003F6F89"/>
    <w:rsid w:val="003F701F"/>
    <w:rsid w:val="003F706D"/>
    <w:rsid w:val="003F7085"/>
    <w:rsid w:val="003F7196"/>
    <w:rsid w:val="003F71D0"/>
    <w:rsid w:val="003F71ED"/>
    <w:rsid w:val="003F74F6"/>
    <w:rsid w:val="003F7513"/>
    <w:rsid w:val="003F7659"/>
    <w:rsid w:val="003F7786"/>
    <w:rsid w:val="003F77B9"/>
    <w:rsid w:val="003F77E8"/>
    <w:rsid w:val="003F7905"/>
    <w:rsid w:val="003F7C11"/>
    <w:rsid w:val="003F7C3A"/>
    <w:rsid w:val="003F7C9B"/>
    <w:rsid w:val="003F7CCB"/>
    <w:rsid w:val="003F7CD1"/>
    <w:rsid w:val="003F7D85"/>
    <w:rsid w:val="003F7DD4"/>
    <w:rsid w:val="003F7E6A"/>
    <w:rsid w:val="003F7E6B"/>
    <w:rsid w:val="003F7E90"/>
    <w:rsid w:val="003F7EB8"/>
    <w:rsid w:val="003F7F59"/>
    <w:rsid w:val="003F7F8A"/>
    <w:rsid w:val="0040007D"/>
    <w:rsid w:val="00400126"/>
    <w:rsid w:val="00400148"/>
    <w:rsid w:val="004001BE"/>
    <w:rsid w:val="004001EE"/>
    <w:rsid w:val="00400218"/>
    <w:rsid w:val="00400371"/>
    <w:rsid w:val="0040047A"/>
    <w:rsid w:val="00400522"/>
    <w:rsid w:val="00400564"/>
    <w:rsid w:val="00400578"/>
    <w:rsid w:val="00400584"/>
    <w:rsid w:val="004005AD"/>
    <w:rsid w:val="004005AE"/>
    <w:rsid w:val="0040067D"/>
    <w:rsid w:val="004008AF"/>
    <w:rsid w:val="0040091D"/>
    <w:rsid w:val="00400A53"/>
    <w:rsid w:val="00400A8F"/>
    <w:rsid w:val="00400B50"/>
    <w:rsid w:val="00400B5F"/>
    <w:rsid w:val="00400C12"/>
    <w:rsid w:val="00400C4E"/>
    <w:rsid w:val="00400CF7"/>
    <w:rsid w:val="00401076"/>
    <w:rsid w:val="004010A1"/>
    <w:rsid w:val="004010E2"/>
    <w:rsid w:val="00401116"/>
    <w:rsid w:val="0040133E"/>
    <w:rsid w:val="00401395"/>
    <w:rsid w:val="004013CF"/>
    <w:rsid w:val="004015C6"/>
    <w:rsid w:val="00401655"/>
    <w:rsid w:val="00401722"/>
    <w:rsid w:val="004018A4"/>
    <w:rsid w:val="0040190E"/>
    <w:rsid w:val="00401992"/>
    <w:rsid w:val="004019DF"/>
    <w:rsid w:val="00401A48"/>
    <w:rsid w:val="00401BEA"/>
    <w:rsid w:val="00401BF2"/>
    <w:rsid w:val="00401C29"/>
    <w:rsid w:val="00401CE5"/>
    <w:rsid w:val="00401D2D"/>
    <w:rsid w:val="00401DBF"/>
    <w:rsid w:val="00401E2E"/>
    <w:rsid w:val="00401EDA"/>
    <w:rsid w:val="00401F3A"/>
    <w:rsid w:val="00401F98"/>
    <w:rsid w:val="00402003"/>
    <w:rsid w:val="004020F1"/>
    <w:rsid w:val="00402133"/>
    <w:rsid w:val="004021D2"/>
    <w:rsid w:val="00402205"/>
    <w:rsid w:val="0040235B"/>
    <w:rsid w:val="004023AD"/>
    <w:rsid w:val="00402447"/>
    <w:rsid w:val="00402627"/>
    <w:rsid w:val="0040271B"/>
    <w:rsid w:val="004027E9"/>
    <w:rsid w:val="00402864"/>
    <w:rsid w:val="00402867"/>
    <w:rsid w:val="0040288C"/>
    <w:rsid w:val="00402926"/>
    <w:rsid w:val="00402954"/>
    <w:rsid w:val="004029DE"/>
    <w:rsid w:val="00402A17"/>
    <w:rsid w:val="00402A19"/>
    <w:rsid w:val="00402A86"/>
    <w:rsid w:val="00402AC2"/>
    <w:rsid w:val="00402B7C"/>
    <w:rsid w:val="00402BA6"/>
    <w:rsid w:val="00402C28"/>
    <w:rsid w:val="00402CBC"/>
    <w:rsid w:val="00402CD5"/>
    <w:rsid w:val="00402CF4"/>
    <w:rsid w:val="00402D88"/>
    <w:rsid w:val="00402E43"/>
    <w:rsid w:val="00402E65"/>
    <w:rsid w:val="00402F9B"/>
    <w:rsid w:val="00402FD9"/>
    <w:rsid w:val="004030F2"/>
    <w:rsid w:val="00403115"/>
    <w:rsid w:val="0040315C"/>
    <w:rsid w:val="004031E0"/>
    <w:rsid w:val="004031F3"/>
    <w:rsid w:val="00403232"/>
    <w:rsid w:val="00403248"/>
    <w:rsid w:val="00403318"/>
    <w:rsid w:val="004033D9"/>
    <w:rsid w:val="00403418"/>
    <w:rsid w:val="004037E4"/>
    <w:rsid w:val="00403819"/>
    <w:rsid w:val="004038F7"/>
    <w:rsid w:val="00403BF4"/>
    <w:rsid w:val="00403C81"/>
    <w:rsid w:val="00403CB1"/>
    <w:rsid w:val="00403CC4"/>
    <w:rsid w:val="00403CC7"/>
    <w:rsid w:val="00403E09"/>
    <w:rsid w:val="00403E3D"/>
    <w:rsid w:val="00403EDF"/>
    <w:rsid w:val="00403EE5"/>
    <w:rsid w:val="00403EFA"/>
    <w:rsid w:val="00403FA0"/>
    <w:rsid w:val="00403FCA"/>
    <w:rsid w:val="004040E0"/>
    <w:rsid w:val="00404138"/>
    <w:rsid w:val="004043F0"/>
    <w:rsid w:val="0040443F"/>
    <w:rsid w:val="00404444"/>
    <w:rsid w:val="0040471B"/>
    <w:rsid w:val="0040474A"/>
    <w:rsid w:val="004047E4"/>
    <w:rsid w:val="004048B4"/>
    <w:rsid w:val="004049A6"/>
    <w:rsid w:val="004049F2"/>
    <w:rsid w:val="00404A94"/>
    <w:rsid w:val="00404AFE"/>
    <w:rsid w:val="00404B3F"/>
    <w:rsid w:val="00404B71"/>
    <w:rsid w:val="00404C69"/>
    <w:rsid w:val="00404CD3"/>
    <w:rsid w:val="00404E78"/>
    <w:rsid w:val="00404EAD"/>
    <w:rsid w:val="00404F17"/>
    <w:rsid w:val="00404F6F"/>
    <w:rsid w:val="0040506F"/>
    <w:rsid w:val="00405076"/>
    <w:rsid w:val="00405092"/>
    <w:rsid w:val="004051C8"/>
    <w:rsid w:val="00405284"/>
    <w:rsid w:val="004053F5"/>
    <w:rsid w:val="0040551F"/>
    <w:rsid w:val="004055CC"/>
    <w:rsid w:val="004055F9"/>
    <w:rsid w:val="0040561E"/>
    <w:rsid w:val="00405681"/>
    <w:rsid w:val="004056DA"/>
    <w:rsid w:val="00405810"/>
    <w:rsid w:val="004058F2"/>
    <w:rsid w:val="00405B47"/>
    <w:rsid w:val="00405B6C"/>
    <w:rsid w:val="00405BDF"/>
    <w:rsid w:val="00405C34"/>
    <w:rsid w:val="00405C93"/>
    <w:rsid w:val="00405DA2"/>
    <w:rsid w:val="00405DA5"/>
    <w:rsid w:val="00405E98"/>
    <w:rsid w:val="00405ED5"/>
    <w:rsid w:val="00405F49"/>
    <w:rsid w:val="00405F4C"/>
    <w:rsid w:val="00405F56"/>
    <w:rsid w:val="0040604D"/>
    <w:rsid w:val="004060B3"/>
    <w:rsid w:val="004062DA"/>
    <w:rsid w:val="00406348"/>
    <w:rsid w:val="00406408"/>
    <w:rsid w:val="0040651E"/>
    <w:rsid w:val="00406526"/>
    <w:rsid w:val="004065C8"/>
    <w:rsid w:val="004065DE"/>
    <w:rsid w:val="00406705"/>
    <w:rsid w:val="00406714"/>
    <w:rsid w:val="004067F2"/>
    <w:rsid w:val="00406809"/>
    <w:rsid w:val="004068F4"/>
    <w:rsid w:val="00406BF8"/>
    <w:rsid w:val="00406C31"/>
    <w:rsid w:val="00406C8E"/>
    <w:rsid w:val="00406DCE"/>
    <w:rsid w:val="00406E33"/>
    <w:rsid w:val="00406EF6"/>
    <w:rsid w:val="0040703B"/>
    <w:rsid w:val="004071CC"/>
    <w:rsid w:val="004071D8"/>
    <w:rsid w:val="004072A1"/>
    <w:rsid w:val="004072D3"/>
    <w:rsid w:val="00407368"/>
    <w:rsid w:val="004073A8"/>
    <w:rsid w:val="0040740D"/>
    <w:rsid w:val="00407537"/>
    <w:rsid w:val="00407589"/>
    <w:rsid w:val="0040758D"/>
    <w:rsid w:val="004076BE"/>
    <w:rsid w:val="0040771F"/>
    <w:rsid w:val="00407768"/>
    <w:rsid w:val="00407859"/>
    <w:rsid w:val="00407879"/>
    <w:rsid w:val="004078D8"/>
    <w:rsid w:val="004078F7"/>
    <w:rsid w:val="0040798B"/>
    <w:rsid w:val="004079AE"/>
    <w:rsid w:val="00407A16"/>
    <w:rsid w:val="00407AF1"/>
    <w:rsid w:val="00407D2B"/>
    <w:rsid w:val="00407D2C"/>
    <w:rsid w:val="00407E4E"/>
    <w:rsid w:val="00407F4F"/>
    <w:rsid w:val="0041001D"/>
    <w:rsid w:val="00410130"/>
    <w:rsid w:val="00410233"/>
    <w:rsid w:val="0041029A"/>
    <w:rsid w:val="004102B8"/>
    <w:rsid w:val="004102E5"/>
    <w:rsid w:val="00410370"/>
    <w:rsid w:val="004105EF"/>
    <w:rsid w:val="004106E5"/>
    <w:rsid w:val="004107F8"/>
    <w:rsid w:val="0041088C"/>
    <w:rsid w:val="004109DC"/>
    <w:rsid w:val="00410A36"/>
    <w:rsid w:val="00410A56"/>
    <w:rsid w:val="00410A5E"/>
    <w:rsid w:val="00410B34"/>
    <w:rsid w:val="00410B60"/>
    <w:rsid w:val="00410C90"/>
    <w:rsid w:val="00410CDF"/>
    <w:rsid w:val="00410D5F"/>
    <w:rsid w:val="00410DE8"/>
    <w:rsid w:val="00410E04"/>
    <w:rsid w:val="00410FE7"/>
    <w:rsid w:val="0041100C"/>
    <w:rsid w:val="0041105E"/>
    <w:rsid w:val="004110FD"/>
    <w:rsid w:val="0041117E"/>
    <w:rsid w:val="004111F7"/>
    <w:rsid w:val="00411439"/>
    <w:rsid w:val="004115C0"/>
    <w:rsid w:val="004115F6"/>
    <w:rsid w:val="00411644"/>
    <w:rsid w:val="00411676"/>
    <w:rsid w:val="00411872"/>
    <w:rsid w:val="0041189F"/>
    <w:rsid w:val="0041196F"/>
    <w:rsid w:val="00411A97"/>
    <w:rsid w:val="00411AF0"/>
    <w:rsid w:val="00411B22"/>
    <w:rsid w:val="00411C31"/>
    <w:rsid w:val="00411D92"/>
    <w:rsid w:val="00411E31"/>
    <w:rsid w:val="00411F10"/>
    <w:rsid w:val="00411FBA"/>
    <w:rsid w:val="00411FD8"/>
    <w:rsid w:val="00412013"/>
    <w:rsid w:val="0041201A"/>
    <w:rsid w:val="00412097"/>
    <w:rsid w:val="00412108"/>
    <w:rsid w:val="0041210B"/>
    <w:rsid w:val="00412119"/>
    <w:rsid w:val="00412129"/>
    <w:rsid w:val="00412146"/>
    <w:rsid w:val="00412149"/>
    <w:rsid w:val="00412169"/>
    <w:rsid w:val="0041217D"/>
    <w:rsid w:val="004122F4"/>
    <w:rsid w:val="00412301"/>
    <w:rsid w:val="0041235C"/>
    <w:rsid w:val="0041241B"/>
    <w:rsid w:val="0041242D"/>
    <w:rsid w:val="00412439"/>
    <w:rsid w:val="004124AA"/>
    <w:rsid w:val="004124F2"/>
    <w:rsid w:val="004125C6"/>
    <w:rsid w:val="00412668"/>
    <w:rsid w:val="004126F9"/>
    <w:rsid w:val="00412714"/>
    <w:rsid w:val="0041273E"/>
    <w:rsid w:val="0041275F"/>
    <w:rsid w:val="0041287E"/>
    <w:rsid w:val="00412958"/>
    <w:rsid w:val="00412AC1"/>
    <w:rsid w:val="00412B55"/>
    <w:rsid w:val="00412B7B"/>
    <w:rsid w:val="00412BAF"/>
    <w:rsid w:val="00412BBA"/>
    <w:rsid w:val="00412C00"/>
    <w:rsid w:val="00412D7B"/>
    <w:rsid w:val="00412EDF"/>
    <w:rsid w:val="00412F54"/>
    <w:rsid w:val="0041303D"/>
    <w:rsid w:val="00413138"/>
    <w:rsid w:val="00413168"/>
    <w:rsid w:val="0041325F"/>
    <w:rsid w:val="00413284"/>
    <w:rsid w:val="00413290"/>
    <w:rsid w:val="004132D6"/>
    <w:rsid w:val="004132FA"/>
    <w:rsid w:val="00413313"/>
    <w:rsid w:val="00413469"/>
    <w:rsid w:val="0041356D"/>
    <w:rsid w:val="00413596"/>
    <w:rsid w:val="004135BB"/>
    <w:rsid w:val="004135F3"/>
    <w:rsid w:val="004136C1"/>
    <w:rsid w:val="004136CC"/>
    <w:rsid w:val="004136F8"/>
    <w:rsid w:val="00413793"/>
    <w:rsid w:val="00413795"/>
    <w:rsid w:val="00413868"/>
    <w:rsid w:val="004138BD"/>
    <w:rsid w:val="004138FA"/>
    <w:rsid w:val="00413907"/>
    <w:rsid w:val="0041393B"/>
    <w:rsid w:val="004139AF"/>
    <w:rsid w:val="00413A0D"/>
    <w:rsid w:val="00413B0B"/>
    <w:rsid w:val="00413B20"/>
    <w:rsid w:val="00413D3E"/>
    <w:rsid w:val="00413E88"/>
    <w:rsid w:val="00413E8A"/>
    <w:rsid w:val="00413FDE"/>
    <w:rsid w:val="00414013"/>
    <w:rsid w:val="00414061"/>
    <w:rsid w:val="004140D1"/>
    <w:rsid w:val="004140FE"/>
    <w:rsid w:val="00414455"/>
    <w:rsid w:val="004144F7"/>
    <w:rsid w:val="004145B2"/>
    <w:rsid w:val="004145E1"/>
    <w:rsid w:val="004145E8"/>
    <w:rsid w:val="00414676"/>
    <w:rsid w:val="00414733"/>
    <w:rsid w:val="00414748"/>
    <w:rsid w:val="0041477F"/>
    <w:rsid w:val="00414809"/>
    <w:rsid w:val="0041483B"/>
    <w:rsid w:val="00414861"/>
    <w:rsid w:val="004148AC"/>
    <w:rsid w:val="00414948"/>
    <w:rsid w:val="00414A39"/>
    <w:rsid w:val="00414ABE"/>
    <w:rsid w:val="00414AD5"/>
    <w:rsid w:val="00414C19"/>
    <w:rsid w:val="00414D56"/>
    <w:rsid w:val="00414D7B"/>
    <w:rsid w:val="00414DC3"/>
    <w:rsid w:val="00414E1F"/>
    <w:rsid w:val="00414E32"/>
    <w:rsid w:val="00414E42"/>
    <w:rsid w:val="00414E8A"/>
    <w:rsid w:val="00414F1F"/>
    <w:rsid w:val="00414F64"/>
    <w:rsid w:val="00414FC1"/>
    <w:rsid w:val="00414FFE"/>
    <w:rsid w:val="00415122"/>
    <w:rsid w:val="00415273"/>
    <w:rsid w:val="0041527F"/>
    <w:rsid w:val="00415315"/>
    <w:rsid w:val="004153B6"/>
    <w:rsid w:val="004153CC"/>
    <w:rsid w:val="004154A8"/>
    <w:rsid w:val="0041557E"/>
    <w:rsid w:val="004157AC"/>
    <w:rsid w:val="004157BC"/>
    <w:rsid w:val="004158E9"/>
    <w:rsid w:val="004158FB"/>
    <w:rsid w:val="004159A4"/>
    <w:rsid w:val="00415A12"/>
    <w:rsid w:val="00415A7F"/>
    <w:rsid w:val="00415AA4"/>
    <w:rsid w:val="00415B03"/>
    <w:rsid w:val="00415BB4"/>
    <w:rsid w:val="00415BCE"/>
    <w:rsid w:val="00415C23"/>
    <w:rsid w:val="00415CF8"/>
    <w:rsid w:val="00415D5D"/>
    <w:rsid w:val="00415D63"/>
    <w:rsid w:val="00415DDA"/>
    <w:rsid w:val="00415DE2"/>
    <w:rsid w:val="00415E04"/>
    <w:rsid w:val="00415E9C"/>
    <w:rsid w:val="00415FE3"/>
    <w:rsid w:val="00416012"/>
    <w:rsid w:val="0041617B"/>
    <w:rsid w:val="004161DC"/>
    <w:rsid w:val="0041626B"/>
    <w:rsid w:val="004162AE"/>
    <w:rsid w:val="004163B5"/>
    <w:rsid w:val="004163DD"/>
    <w:rsid w:val="00416577"/>
    <w:rsid w:val="004165C8"/>
    <w:rsid w:val="004166B3"/>
    <w:rsid w:val="004166C6"/>
    <w:rsid w:val="0041670A"/>
    <w:rsid w:val="004167BF"/>
    <w:rsid w:val="004167CA"/>
    <w:rsid w:val="00416821"/>
    <w:rsid w:val="00416908"/>
    <w:rsid w:val="0041699A"/>
    <w:rsid w:val="00416A6A"/>
    <w:rsid w:val="00416B11"/>
    <w:rsid w:val="00416B29"/>
    <w:rsid w:val="00416BD5"/>
    <w:rsid w:val="00416CAA"/>
    <w:rsid w:val="00416CFE"/>
    <w:rsid w:val="00416D44"/>
    <w:rsid w:val="00416D4A"/>
    <w:rsid w:val="00416DF4"/>
    <w:rsid w:val="00416E62"/>
    <w:rsid w:val="0041706B"/>
    <w:rsid w:val="00417074"/>
    <w:rsid w:val="0041709D"/>
    <w:rsid w:val="004170CE"/>
    <w:rsid w:val="004170F1"/>
    <w:rsid w:val="00417255"/>
    <w:rsid w:val="00417325"/>
    <w:rsid w:val="004173B6"/>
    <w:rsid w:val="00417420"/>
    <w:rsid w:val="0041743F"/>
    <w:rsid w:val="004175D1"/>
    <w:rsid w:val="0041762A"/>
    <w:rsid w:val="00417653"/>
    <w:rsid w:val="00417682"/>
    <w:rsid w:val="0041769D"/>
    <w:rsid w:val="004178B1"/>
    <w:rsid w:val="00417941"/>
    <w:rsid w:val="004179E8"/>
    <w:rsid w:val="00417A92"/>
    <w:rsid w:val="00417BB1"/>
    <w:rsid w:val="00417BC9"/>
    <w:rsid w:val="00417C60"/>
    <w:rsid w:val="00417EA4"/>
    <w:rsid w:val="00417FAF"/>
    <w:rsid w:val="00417FE0"/>
    <w:rsid w:val="00420121"/>
    <w:rsid w:val="004201AE"/>
    <w:rsid w:val="00420261"/>
    <w:rsid w:val="00420345"/>
    <w:rsid w:val="00420358"/>
    <w:rsid w:val="00420363"/>
    <w:rsid w:val="004203D0"/>
    <w:rsid w:val="00420591"/>
    <w:rsid w:val="00420603"/>
    <w:rsid w:val="004206D4"/>
    <w:rsid w:val="004207A7"/>
    <w:rsid w:val="004208DE"/>
    <w:rsid w:val="004208ED"/>
    <w:rsid w:val="0042091C"/>
    <w:rsid w:val="00420A68"/>
    <w:rsid w:val="00420ACA"/>
    <w:rsid w:val="00420AF8"/>
    <w:rsid w:val="00420BA1"/>
    <w:rsid w:val="00420C67"/>
    <w:rsid w:val="00420C81"/>
    <w:rsid w:val="00420D84"/>
    <w:rsid w:val="00420DAC"/>
    <w:rsid w:val="00420F46"/>
    <w:rsid w:val="0042100D"/>
    <w:rsid w:val="0042108F"/>
    <w:rsid w:val="0042113B"/>
    <w:rsid w:val="00421148"/>
    <w:rsid w:val="0042122A"/>
    <w:rsid w:val="004212F7"/>
    <w:rsid w:val="004214E6"/>
    <w:rsid w:val="00421503"/>
    <w:rsid w:val="004215FD"/>
    <w:rsid w:val="004216AF"/>
    <w:rsid w:val="004216BC"/>
    <w:rsid w:val="004216BE"/>
    <w:rsid w:val="004217D3"/>
    <w:rsid w:val="00421820"/>
    <w:rsid w:val="0042185F"/>
    <w:rsid w:val="0042188E"/>
    <w:rsid w:val="004218BA"/>
    <w:rsid w:val="004218E1"/>
    <w:rsid w:val="0042196D"/>
    <w:rsid w:val="00421A4E"/>
    <w:rsid w:val="00421A80"/>
    <w:rsid w:val="00421A89"/>
    <w:rsid w:val="00421A9F"/>
    <w:rsid w:val="00421BB4"/>
    <w:rsid w:val="00421BD5"/>
    <w:rsid w:val="00421CFD"/>
    <w:rsid w:val="00421D0C"/>
    <w:rsid w:val="00421D43"/>
    <w:rsid w:val="00421E03"/>
    <w:rsid w:val="00421EBC"/>
    <w:rsid w:val="00421F67"/>
    <w:rsid w:val="0042211C"/>
    <w:rsid w:val="00422234"/>
    <w:rsid w:val="004222C5"/>
    <w:rsid w:val="00422318"/>
    <w:rsid w:val="004223C2"/>
    <w:rsid w:val="004224BF"/>
    <w:rsid w:val="00422553"/>
    <w:rsid w:val="0042264C"/>
    <w:rsid w:val="0042269C"/>
    <w:rsid w:val="004226A1"/>
    <w:rsid w:val="004226D6"/>
    <w:rsid w:val="004226E1"/>
    <w:rsid w:val="0042276E"/>
    <w:rsid w:val="004227E3"/>
    <w:rsid w:val="0042293C"/>
    <w:rsid w:val="004229A9"/>
    <w:rsid w:val="00422A39"/>
    <w:rsid w:val="00422B5B"/>
    <w:rsid w:val="00422BF8"/>
    <w:rsid w:val="00422C04"/>
    <w:rsid w:val="00422CF8"/>
    <w:rsid w:val="00422DC3"/>
    <w:rsid w:val="00422E2F"/>
    <w:rsid w:val="00422ECF"/>
    <w:rsid w:val="0042304B"/>
    <w:rsid w:val="00423086"/>
    <w:rsid w:val="004230B8"/>
    <w:rsid w:val="0042316A"/>
    <w:rsid w:val="00423224"/>
    <w:rsid w:val="00423231"/>
    <w:rsid w:val="00423258"/>
    <w:rsid w:val="00423288"/>
    <w:rsid w:val="004232D3"/>
    <w:rsid w:val="004233D6"/>
    <w:rsid w:val="00423435"/>
    <w:rsid w:val="00423438"/>
    <w:rsid w:val="004234DB"/>
    <w:rsid w:val="00423580"/>
    <w:rsid w:val="00423587"/>
    <w:rsid w:val="00423684"/>
    <w:rsid w:val="004236D9"/>
    <w:rsid w:val="004237F6"/>
    <w:rsid w:val="00423A1C"/>
    <w:rsid w:val="00423BAA"/>
    <w:rsid w:val="00423CF8"/>
    <w:rsid w:val="00423D01"/>
    <w:rsid w:val="00423D42"/>
    <w:rsid w:val="00423D90"/>
    <w:rsid w:val="00423D91"/>
    <w:rsid w:val="00423E11"/>
    <w:rsid w:val="00423FF2"/>
    <w:rsid w:val="0042401F"/>
    <w:rsid w:val="00424084"/>
    <w:rsid w:val="004240B2"/>
    <w:rsid w:val="004241C1"/>
    <w:rsid w:val="0042421D"/>
    <w:rsid w:val="00424245"/>
    <w:rsid w:val="00424267"/>
    <w:rsid w:val="00424443"/>
    <w:rsid w:val="004244E2"/>
    <w:rsid w:val="004246AC"/>
    <w:rsid w:val="00424729"/>
    <w:rsid w:val="00424784"/>
    <w:rsid w:val="00424841"/>
    <w:rsid w:val="004249AD"/>
    <w:rsid w:val="00424A3D"/>
    <w:rsid w:val="00424A52"/>
    <w:rsid w:val="00424A60"/>
    <w:rsid w:val="00424CDB"/>
    <w:rsid w:val="00424CE6"/>
    <w:rsid w:val="00424D31"/>
    <w:rsid w:val="00424D8A"/>
    <w:rsid w:val="00424E0C"/>
    <w:rsid w:val="00424F0D"/>
    <w:rsid w:val="0042515D"/>
    <w:rsid w:val="00425170"/>
    <w:rsid w:val="00425308"/>
    <w:rsid w:val="00425325"/>
    <w:rsid w:val="004253E9"/>
    <w:rsid w:val="00425461"/>
    <w:rsid w:val="004254DE"/>
    <w:rsid w:val="004254EA"/>
    <w:rsid w:val="004254F1"/>
    <w:rsid w:val="0042551C"/>
    <w:rsid w:val="00425623"/>
    <w:rsid w:val="004256D6"/>
    <w:rsid w:val="0042570A"/>
    <w:rsid w:val="00425791"/>
    <w:rsid w:val="004257C1"/>
    <w:rsid w:val="0042581D"/>
    <w:rsid w:val="00425855"/>
    <w:rsid w:val="00425960"/>
    <w:rsid w:val="0042597A"/>
    <w:rsid w:val="00425A89"/>
    <w:rsid w:val="00425ADE"/>
    <w:rsid w:val="00425B8D"/>
    <w:rsid w:val="00425CCD"/>
    <w:rsid w:val="00425F66"/>
    <w:rsid w:val="00425FF4"/>
    <w:rsid w:val="0042604C"/>
    <w:rsid w:val="004260B9"/>
    <w:rsid w:val="0042612F"/>
    <w:rsid w:val="004261E9"/>
    <w:rsid w:val="00426228"/>
    <w:rsid w:val="00426404"/>
    <w:rsid w:val="004264B1"/>
    <w:rsid w:val="004264D1"/>
    <w:rsid w:val="00426598"/>
    <w:rsid w:val="0042660D"/>
    <w:rsid w:val="00426718"/>
    <w:rsid w:val="0042673A"/>
    <w:rsid w:val="0042683F"/>
    <w:rsid w:val="0042688F"/>
    <w:rsid w:val="00426952"/>
    <w:rsid w:val="00426A23"/>
    <w:rsid w:val="00426A8C"/>
    <w:rsid w:val="00426A95"/>
    <w:rsid w:val="00426BE3"/>
    <w:rsid w:val="00426CEF"/>
    <w:rsid w:val="00426D5C"/>
    <w:rsid w:val="00426E36"/>
    <w:rsid w:val="00426ED6"/>
    <w:rsid w:val="004271A2"/>
    <w:rsid w:val="00427294"/>
    <w:rsid w:val="004273AD"/>
    <w:rsid w:val="004273DA"/>
    <w:rsid w:val="00427504"/>
    <w:rsid w:val="00427507"/>
    <w:rsid w:val="00427576"/>
    <w:rsid w:val="00427580"/>
    <w:rsid w:val="00427595"/>
    <w:rsid w:val="004275A6"/>
    <w:rsid w:val="00427700"/>
    <w:rsid w:val="004277CA"/>
    <w:rsid w:val="004277E9"/>
    <w:rsid w:val="0042781E"/>
    <w:rsid w:val="00427921"/>
    <w:rsid w:val="00427960"/>
    <w:rsid w:val="00427962"/>
    <w:rsid w:val="00427A01"/>
    <w:rsid w:val="00427A3A"/>
    <w:rsid w:val="00427AC8"/>
    <w:rsid w:val="00427B34"/>
    <w:rsid w:val="00427B73"/>
    <w:rsid w:val="00427BB8"/>
    <w:rsid w:val="00427BF2"/>
    <w:rsid w:val="00427C49"/>
    <w:rsid w:val="00427C7E"/>
    <w:rsid w:val="00427D90"/>
    <w:rsid w:val="00427D97"/>
    <w:rsid w:val="00427DA9"/>
    <w:rsid w:val="00427EF4"/>
    <w:rsid w:val="00427F42"/>
    <w:rsid w:val="00430079"/>
    <w:rsid w:val="0043016E"/>
    <w:rsid w:val="004302C8"/>
    <w:rsid w:val="004302CE"/>
    <w:rsid w:val="0043030F"/>
    <w:rsid w:val="0043036A"/>
    <w:rsid w:val="004305AE"/>
    <w:rsid w:val="00430793"/>
    <w:rsid w:val="0043083F"/>
    <w:rsid w:val="0043089F"/>
    <w:rsid w:val="004308EF"/>
    <w:rsid w:val="00430998"/>
    <w:rsid w:val="004309A5"/>
    <w:rsid w:val="004309C8"/>
    <w:rsid w:val="00430D60"/>
    <w:rsid w:val="00430DF6"/>
    <w:rsid w:val="00430E24"/>
    <w:rsid w:val="00430E47"/>
    <w:rsid w:val="00430E75"/>
    <w:rsid w:val="00430F24"/>
    <w:rsid w:val="00431003"/>
    <w:rsid w:val="00431110"/>
    <w:rsid w:val="004311D3"/>
    <w:rsid w:val="00431222"/>
    <w:rsid w:val="00431625"/>
    <w:rsid w:val="00431654"/>
    <w:rsid w:val="0043175D"/>
    <w:rsid w:val="00431785"/>
    <w:rsid w:val="00431800"/>
    <w:rsid w:val="004318E6"/>
    <w:rsid w:val="0043192A"/>
    <w:rsid w:val="004319A1"/>
    <w:rsid w:val="004319CB"/>
    <w:rsid w:val="00431A02"/>
    <w:rsid w:val="00431A67"/>
    <w:rsid w:val="00431B65"/>
    <w:rsid w:val="00431CB1"/>
    <w:rsid w:val="00431CF4"/>
    <w:rsid w:val="00431EF6"/>
    <w:rsid w:val="00431FD1"/>
    <w:rsid w:val="00431FD6"/>
    <w:rsid w:val="00431FF7"/>
    <w:rsid w:val="0043224E"/>
    <w:rsid w:val="0043228B"/>
    <w:rsid w:val="00432372"/>
    <w:rsid w:val="004323AB"/>
    <w:rsid w:val="004323C2"/>
    <w:rsid w:val="00432476"/>
    <w:rsid w:val="004324DA"/>
    <w:rsid w:val="00432656"/>
    <w:rsid w:val="004326B9"/>
    <w:rsid w:val="004327C6"/>
    <w:rsid w:val="004327DA"/>
    <w:rsid w:val="004328BB"/>
    <w:rsid w:val="00432995"/>
    <w:rsid w:val="00432BC3"/>
    <w:rsid w:val="00432BF8"/>
    <w:rsid w:val="00432C93"/>
    <w:rsid w:val="00432CC0"/>
    <w:rsid w:val="00432D31"/>
    <w:rsid w:val="0043313F"/>
    <w:rsid w:val="00433141"/>
    <w:rsid w:val="00433147"/>
    <w:rsid w:val="0043325A"/>
    <w:rsid w:val="00433268"/>
    <w:rsid w:val="004333CE"/>
    <w:rsid w:val="00433478"/>
    <w:rsid w:val="004334AF"/>
    <w:rsid w:val="004334D6"/>
    <w:rsid w:val="00433541"/>
    <w:rsid w:val="004335F9"/>
    <w:rsid w:val="00433792"/>
    <w:rsid w:val="004339A1"/>
    <w:rsid w:val="00433AAA"/>
    <w:rsid w:val="00433B94"/>
    <w:rsid w:val="00433C0D"/>
    <w:rsid w:val="00433C92"/>
    <w:rsid w:val="00433CAD"/>
    <w:rsid w:val="00433D7B"/>
    <w:rsid w:val="00433DE1"/>
    <w:rsid w:val="00433DF7"/>
    <w:rsid w:val="00433E42"/>
    <w:rsid w:val="00433EE1"/>
    <w:rsid w:val="00433F1B"/>
    <w:rsid w:val="00433F39"/>
    <w:rsid w:val="0043424B"/>
    <w:rsid w:val="00434259"/>
    <w:rsid w:val="004342E3"/>
    <w:rsid w:val="0043447E"/>
    <w:rsid w:val="00434490"/>
    <w:rsid w:val="00434679"/>
    <w:rsid w:val="00434761"/>
    <w:rsid w:val="00434824"/>
    <w:rsid w:val="004348A4"/>
    <w:rsid w:val="004349E8"/>
    <w:rsid w:val="00434A0D"/>
    <w:rsid w:val="00434A22"/>
    <w:rsid w:val="00434AD3"/>
    <w:rsid w:val="00434B09"/>
    <w:rsid w:val="00434B79"/>
    <w:rsid w:val="00434CA9"/>
    <w:rsid w:val="00434CC3"/>
    <w:rsid w:val="00434CF6"/>
    <w:rsid w:val="00434E2A"/>
    <w:rsid w:val="00434E73"/>
    <w:rsid w:val="00434EEF"/>
    <w:rsid w:val="00434FE0"/>
    <w:rsid w:val="00434FFD"/>
    <w:rsid w:val="0043534C"/>
    <w:rsid w:val="00435378"/>
    <w:rsid w:val="004353AF"/>
    <w:rsid w:val="0043553F"/>
    <w:rsid w:val="004355C0"/>
    <w:rsid w:val="004357E8"/>
    <w:rsid w:val="004358B9"/>
    <w:rsid w:val="004358BC"/>
    <w:rsid w:val="00435A0D"/>
    <w:rsid w:val="00435A79"/>
    <w:rsid w:val="00435DD2"/>
    <w:rsid w:val="00435E4F"/>
    <w:rsid w:val="00435E57"/>
    <w:rsid w:val="00435E94"/>
    <w:rsid w:val="00435F0B"/>
    <w:rsid w:val="00435F4B"/>
    <w:rsid w:val="00435F57"/>
    <w:rsid w:val="00435F73"/>
    <w:rsid w:val="0043608F"/>
    <w:rsid w:val="00436460"/>
    <w:rsid w:val="00436502"/>
    <w:rsid w:val="00436514"/>
    <w:rsid w:val="004365E7"/>
    <w:rsid w:val="00436749"/>
    <w:rsid w:val="0043675A"/>
    <w:rsid w:val="004368B6"/>
    <w:rsid w:val="004368F1"/>
    <w:rsid w:val="00436970"/>
    <w:rsid w:val="00436C86"/>
    <w:rsid w:val="00436CAD"/>
    <w:rsid w:val="00436F54"/>
    <w:rsid w:val="00436F92"/>
    <w:rsid w:val="00436F94"/>
    <w:rsid w:val="00437016"/>
    <w:rsid w:val="004373AE"/>
    <w:rsid w:val="004373BD"/>
    <w:rsid w:val="004373EE"/>
    <w:rsid w:val="00437435"/>
    <w:rsid w:val="0043746C"/>
    <w:rsid w:val="00437511"/>
    <w:rsid w:val="0043755F"/>
    <w:rsid w:val="00437632"/>
    <w:rsid w:val="0043772E"/>
    <w:rsid w:val="0043777B"/>
    <w:rsid w:val="004377DF"/>
    <w:rsid w:val="004377E3"/>
    <w:rsid w:val="0043794E"/>
    <w:rsid w:val="00437A2F"/>
    <w:rsid w:val="00437A77"/>
    <w:rsid w:val="00437B8E"/>
    <w:rsid w:val="00437BEE"/>
    <w:rsid w:val="00437C0B"/>
    <w:rsid w:val="00437C29"/>
    <w:rsid w:val="00437C3B"/>
    <w:rsid w:val="00437DB6"/>
    <w:rsid w:val="00437E0D"/>
    <w:rsid w:val="00437E69"/>
    <w:rsid w:val="00437EEF"/>
    <w:rsid w:val="00437F78"/>
    <w:rsid w:val="00437FF5"/>
    <w:rsid w:val="00440076"/>
    <w:rsid w:val="004400AB"/>
    <w:rsid w:val="004400BE"/>
    <w:rsid w:val="0044012B"/>
    <w:rsid w:val="00440155"/>
    <w:rsid w:val="004401E7"/>
    <w:rsid w:val="00440231"/>
    <w:rsid w:val="004402E6"/>
    <w:rsid w:val="0044038B"/>
    <w:rsid w:val="0044041E"/>
    <w:rsid w:val="00440469"/>
    <w:rsid w:val="004406E6"/>
    <w:rsid w:val="00440739"/>
    <w:rsid w:val="004407D4"/>
    <w:rsid w:val="004407F4"/>
    <w:rsid w:val="00440872"/>
    <w:rsid w:val="004408DC"/>
    <w:rsid w:val="00440911"/>
    <w:rsid w:val="00440A50"/>
    <w:rsid w:val="00440A52"/>
    <w:rsid w:val="00440FA0"/>
    <w:rsid w:val="00440FD8"/>
    <w:rsid w:val="00440FE8"/>
    <w:rsid w:val="0044113C"/>
    <w:rsid w:val="004411A4"/>
    <w:rsid w:val="004412D5"/>
    <w:rsid w:val="0044133E"/>
    <w:rsid w:val="004415BA"/>
    <w:rsid w:val="00441863"/>
    <w:rsid w:val="004418CE"/>
    <w:rsid w:val="0044199C"/>
    <w:rsid w:val="00441A65"/>
    <w:rsid w:val="00441AC1"/>
    <w:rsid w:val="00441C2F"/>
    <w:rsid w:val="00441FD4"/>
    <w:rsid w:val="00441FD7"/>
    <w:rsid w:val="00441FE7"/>
    <w:rsid w:val="0044224A"/>
    <w:rsid w:val="004422D4"/>
    <w:rsid w:val="004422F0"/>
    <w:rsid w:val="004422F9"/>
    <w:rsid w:val="00442308"/>
    <w:rsid w:val="00442334"/>
    <w:rsid w:val="004423C7"/>
    <w:rsid w:val="004423F7"/>
    <w:rsid w:val="0044252B"/>
    <w:rsid w:val="004425F9"/>
    <w:rsid w:val="0044262F"/>
    <w:rsid w:val="004426E5"/>
    <w:rsid w:val="00442856"/>
    <w:rsid w:val="00442A14"/>
    <w:rsid w:val="00442A49"/>
    <w:rsid w:val="00442D35"/>
    <w:rsid w:val="00442D66"/>
    <w:rsid w:val="00442DD7"/>
    <w:rsid w:val="00442F36"/>
    <w:rsid w:val="00442FA8"/>
    <w:rsid w:val="00442FCE"/>
    <w:rsid w:val="00443080"/>
    <w:rsid w:val="00443090"/>
    <w:rsid w:val="004430A2"/>
    <w:rsid w:val="0044311D"/>
    <w:rsid w:val="004431DB"/>
    <w:rsid w:val="0044322B"/>
    <w:rsid w:val="00443344"/>
    <w:rsid w:val="004434E8"/>
    <w:rsid w:val="00443520"/>
    <w:rsid w:val="0044355D"/>
    <w:rsid w:val="004435C7"/>
    <w:rsid w:val="00443662"/>
    <w:rsid w:val="004436A9"/>
    <w:rsid w:val="004436C8"/>
    <w:rsid w:val="00443711"/>
    <w:rsid w:val="004439C1"/>
    <w:rsid w:val="00443AFF"/>
    <w:rsid w:val="00443B23"/>
    <w:rsid w:val="00443B30"/>
    <w:rsid w:val="00443B65"/>
    <w:rsid w:val="00443BA2"/>
    <w:rsid w:val="00443C7A"/>
    <w:rsid w:val="00443D2F"/>
    <w:rsid w:val="00443D4C"/>
    <w:rsid w:val="00443D59"/>
    <w:rsid w:val="00443E98"/>
    <w:rsid w:val="00443EC6"/>
    <w:rsid w:val="00443FE8"/>
    <w:rsid w:val="004441AE"/>
    <w:rsid w:val="0044425D"/>
    <w:rsid w:val="0044430B"/>
    <w:rsid w:val="0044430E"/>
    <w:rsid w:val="00444391"/>
    <w:rsid w:val="00444396"/>
    <w:rsid w:val="00444425"/>
    <w:rsid w:val="00444436"/>
    <w:rsid w:val="004444B4"/>
    <w:rsid w:val="004445CF"/>
    <w:rsid w:val="004446A9"/>
    <w:rsid w:val="004446C1"/>
    <w:rsid w:val="0044475E"/>
    <w:rsid w:val="004447BE"/>
    <w:rsid w:val="004447FA"/>
    <w:rsid w:val="00444916"/>
    <w:rsid w:val="0044492C"/>
    <w:rsid w:val="004449ED"/>
    <w:rsid w:val="00444A04"/>
    <w:rsid w:val="00444AE4"/>
    <w:rsid w:val="00444B1D"/>
    <w:rsid w:val="00444CE1"/>
    <w:rsid w:val="00444F46"/>
    <w:rsid w:val="00445030"/>
    <w:rsid w:val="004451FE"/>
    <w:rsid w:val="004453C9"/>
    <w:rsid w:val="004453F3"/>
    <w:rsid w:val="00445463"/>
    <w:rsid w:val="00445507"/>
    <w:rsid w:val="00445580"/>
    <w:rsid w:val="004456E9"/>
    <w:rsid w:val="00445709"/>
    <w:rsid w:val="00445917"/>
    <w:rsid w:val="00445958"/>
    <w:rsid w:val="0044598A"/>
    <w:rsid w:val="00445A6B"/>
    <w:rsid w:val="00445A9A"/>
    <w:rsid w:val="00445AD1"/>
    <w:rsid w:val="00445B11"/>
    <w:rsid w:val="00445B85"/>
    <w:rsid w:val="00445BDC"/>
    <w:rsid w:val="00445CF7"/>
    <w:rsid w:val="00445D06"/>
    <w:rsid w:val="00445DB9"/>
    <w:rsid w:val="00445DE7"/>
    <w:rsid w:val="00445E4C"/>
    <w:rsid w:val="00445E51"/>
    <w:rsid w:val="00445EF0"/>
    <w:rsid w:val="00446075"/>
    <w:rsid w:val="00446091"/>
    <w:rsid w:val="004460FA"/>
    <w:rsid w:val="00446154"/>
    <w:rsid w:val="0044615B"/>
    <w:rsid w:val="00446177"/>
    <w:rsid w:val="0044622E"/>
    <w:rsid w:val="004462FF"/>
    <w:rsid w:val="004463B1"/>
    <w:rsid w:val="004463F7"/>
    <w:rsid w:val="00446479"/>
    <w:rsid w:val="004465BE"/>
    <w:rsid w:val="004465E7"/>
    <w:rsid w:val="00446728"/>
    <w:rsid w:val="00446755"/>
    <w:rsid w:val="004467A2"/>
    <w:rsid w:val="004467CB"/>
    <w:rsid w:val="0044684D"/>
    <w:rsid w:val="0044687F"/>
    <w:rsid w:val="00446883"/>
    <w:rsid w:val="004468F9"/>
    <w:rsid w:val="0044690B"/>
    <w:rsid w:val="00446996"/>
    <w:rsid w:val="00446B51"/>
    <w:rsid w:val="00446BBE"/>
    <w:rsid w:val="00446BDB"/>
    <w:rsid w:val="00446CE8"/>
    <w:rsid w:val="00446D66"/>
    <w:rsid w:val="00446E54"/>
    <w:rsid w:val="00446E61"/>
    <w:rsid w:val="00447002"/>
    <w:rsid w:val="00447038"/>
    <w:rsid w:val="0044706B"/>
    <w:rsid w:val="004470FD"/>
    <w:rsid w:val="004472AC"/>
    <w:rsid w:val="004472E7"/>
    <w:rsid w:val="004473C1"/>
    <w:rsid w:val="004474CC"/>
    <w:rsid w:val="0044761D"/>
    <w:rsid w:val="0044765F"/>
    <w:rsid w:val="00447709"/>
    <w:rsid w:val="00447751"/>
    <w:rsid w:val="00447757"/>
    <w:rsid w:val="00447797"/>
    <w:rsid w:val="004477EA"/>
    <w:rsid w:val="0044782C"/>
    <w:rsid w:val="00447894"/>
    <w:rsid w:val="00447A45"/>
    <w:rsid w:val="00447ACF"/>
    <w:rsid w:val="00447BFF"/>
    <w:rsid w:val="00447C10"/>
    <w:rsid w:val="00447C6C"/>
    <w:rsid w:val="00447C8E"/>
    <w:rsid w:val="00447C9C"/>
    <w:rsid w:val="00447FED"/>
    <w:rsid w:val="0045001A"/>
    <w:rsid w:val="00450079"/>
    <w:rsid w:val="004500B9"/>
    <w:rsid w:val="00450103"/>
    <w:rsid w:val="004502A3"/>
    <w:rsid w:val="004502D4"/>
    <w:rsid w:val="00450386"/>
    <w:rsid w:val="00450449"/>
    <w:rsid w:val="00450456"/>
    <w:rsid w:val="00450522"/>
    <w:rsid w:val="0045058A"/>
    <w:rsid w:val="0045079E"/>
    <w:rsid w:val="004508B2"/>
    <w:rsid w:val="004508DF"/>
    <w:rsid w:val="00450935"/>
    <w:rsid w:val="0045093D"/>
    <w:rsid w:val="0045096D"/>
    <w:rsid w:val="00450979"/>
    <w:rsid w:val="0045098B"/>
    <w:rsid w:val="004509A5"/>
    <w:rsid w:val="004509CC"/>
    <w:rsid w:val="00450AA6"/>
    <w:rsid w:val="00450ADD"/>
    <w:rsid w:val="00450BB5"/>
    <w:rsid w:val="00450BE7"/>
    <w:rsid w:val="00450BFA"/>
    <w:rsid w:val="00450C04"/>
    <w:rsid w:val="00450C23"/>
    <w:rsid w:val="00450C2D"/>
    <w:rsid w:val="00450C48"/>
    <w:rsid w:val="00450CB0"/>
    <w:rsid w:val="00450CC4"/>
    <w:rsid w:val="00450CE4"/>
    <w:rsid w:val="00450CEF"/>
    <w:rsid w:val="00450D36"/>
    <w:rsid w:val="00450D85"/>
    <w:rsid w:val="00450DC8"/>
    <w:rsid w:val="00450EC6"/>
    <w:rsid w:val="00450EF9"/>
    <w:rsid w:val="00450FFA"/>
    <w:rsid w:val="0045102C"/>
    <w:rsid w:val="00451030"/>
    <w:rsid w:val="00451287"/>
    <w:rsid w:val="004512D7"/>
    <w:rsid w:val="00451324"/>
    <w:rsid w:val="004513B2"/>
    <w:rsid w:val="00451499"/>
    <w:rsid w:val="0045159D"/>
    <w:rsid w:val="004515C3"/>
    <w:rsid w:val="00451645"/>
    <w:rsid w:val="004516A4"/>
    <w:rsid w:val="004516D3"/>
    <w:rsid w:val="0045171C"/>
    <w:rsid w:val="004517F0"/>
    <w:rsid w:val="00451880"/>
    <w:rsid w:val="0045193C"/>
    <w:rsid w:val="004519A7"/>
    <w:rsid w:val="00451A06"/>
    <w:rsid w:val="00451A2F"/>
    <w:rsid w:val="00451B5C"/>
    <w:rsid w:val="00451C07"/>
    <w:rsid w:val="00451D36"/>
    <w:rsid w:val="00451D5B"/>
    <w:rsid w:val="00451DBC"/>
    <w:rsid w:val="00451DF3"/>
    <w:rsid w:val="00451E9F"/>
    <w:rsid w:val="00451F58"/>
    <w:rsid w:val="00451FE5"/>
    <w:rsid w:val="004520B1"/>
    <w:rsid w:val="004520EF"/>
    <w:rsid w:val="00452127"/>
    <w:rsid w:val="0045217B"/>
    <w:rsid w:val="004521F0"/>
    <w:rsid w:val="0045221C"/>
    <w:rsid w:val="004522A5"/>
    <w:rsid w:val="004522BA"/>
    <w:rsid w:val="004522E4"/>
    <w:rsid w:val="0045233E"/>
    <w:rsid w:val="004523F6"/>
    <w:rsid w:val="00452460"/>
    <w:rsid w:val="0045249A"/>
    <w:rsid w:val="004524CA"/>
    <w:rsid w:val="0045254B"/>
    <w:rsid w:val="004525AE"/>
    <w:rsid w:val="004525F5"/>
    <w:rsid w:val="0045276F"/>
    <w:rsid w:val="00452822"/>
    <w:rsid w:val="0045289A"/>
    <w:rsid w:val="004528CA"/>
    <w:rsid w:val="00452AFB"/>
    <w:rsid w:val="00452AFD"/>
    <w:rsid w:val="00452B53"/>
    <w:rsid w:val="00452C9C"/>
    <w:rsid w:val="00452CEE"/>
    <w:rsid w:val="00452E2C"/>
    <w:rsid w:val="00452FB2"/>
    <w:rsid w:val="00453071"/>
    <w:rsid w:val="0045307C"/>
    <w:rsid w:val="0045309E"/>
    <w:rsid w:val="00453111"/>
    <w:rsid w:val="0045316A"/>
    <w:rsid w:val="00453200"/>
    <w:rsid w:val="004534A6"/>
    <w:rsid w:val="004534D9"/>
    <w:rsid w:val="00453597"/>
    <w:rsid w:val="004536C5"/>
    <w:rsid w:val="004537BC"/>
    <w:rsid w:val="00453865"/>
    <w:rsid w:val="0045389D"/>
    <w:rsid w:val="004539F9"/>
    <w:rsid w:val="00453ACE"/>
    <w:rsid w:val="00453B2F"/>
    <w:rsid w:val="00453C10"/>
    <w:rsid w:val="00453C9B"/>
    <w:rsid w:val="00453E0E"/>
    <w:rsid w:val="00453EFF"/>
    <w:rsid w:val="00453FA0"/>
    <w:rsid w:val="00453FBC"/>
    <w:rsid w:val="0045400B"/>
    <w:rsid w:val="00454069"/>
    <w:rsid w:val="004540A1"/>
    <w:rsid w:val="00454162"/>
    <w:rsid w:val="004542C5"/>
    <w:rsid w:val="004542E8"/>
    <w:rsid w:val="0045434C"/>
    <w:rsid w:val="004543DD"/>
    <w:rsid w:val="0045442B"/>
    <w:rsid w:val="00454457"/>
    <w:rsid w:val="00454540"/>
    <w:rsid w:val="0045463B"/>
    <w:rsid w:val="0045465F"/>
    <w:rsid w:val="0045469E"/>
    <w:rsid w:val="00454ADC"/>
    <w:rsid w:val="00454AEF"/>
    <w:rsid w:val="00454B2C"/>
    <w:rsid w:val="00454BE2"/>
    <w:rsid w:val="00454DBF"/>
    <w:rsid w:val="00454DEB"/>
    <w:rsid w:val="00454E48"/>
    <w:rsid w:val="00454EAF"/>
    <w:rsid w:val="00454F5E"/>
    <w:rsid w:val="00454F8E"/>
    <w:rsid w:val="0045501C"/>
    <w:rsid w:val="00455043"/>
    <w:rsid w:val="00455061"/>
    <w:rsid w:val="0045509D"/>
    <w:rsid w:val="0045510F"/>
    <w:rsid w:val="00455136"/>
    <w:rsid w:val="004551A4"/>
    <w:rsid w:val="00455319"/>
    <w:rsid w:val="00455329"/>
    <w:rsid w:val="004553AC"/>
    <w:rsid w:val="004553E0"/>
    <w:rsid w:val="004553E3"/>
    <w:rsid w:val="00455569"/>
    <w:rsid w:val="0045570F"/>
    <w:rsid w:val="0045575E"/>
    <w:rsid w:val="0045583D"/>
    <w:rsid w:val="0045591E"/>
    <w:rsid w:val="0045594E"/>
    <w:rsid w:val="0045596C"/>
    <w:rsid w:val="00455A27"/>
    <w:rsid w:val="00455AF0"/>
    <w:rsid w:val="00455DF8"/>
    <w:rsid w:val="00455E9C"/>
    <w:rsid w:val="00455F21"/>
    <w:rsid w:val="00455F9A"/>
    <w:rsid w:val="004560E9"/>
    <w:rsid w:val="00456150"/>
    <w:rsid w:val="004562DC"/>
    <w:rsid w:val="00456332"/>
    <w:rsid w:val="00456342"/>
    <w:rsid w:val="0045639D"/>
    <w:rsid w:val="0045641B"/>
    <w:rsid w:val="004564C4"/>
    <w:rsid w:val="004565E9"/>
    <w:rsid w:val="00456622"/>
    <w:rsid w:val="00456654"/>
    <w:rsid w:val="004566AE"/>
    <w:rsid w:val="00456708"/>
    <w:rsid w:val="004568E5"/>
    <w:rsid w:val="00456A49"/>
    <w:rsid w:val="00456BD8"/>
    <w:rsid w:val="00456BFA"/>
    <w:rsid w:val="00456C67"/>
    <w:rsid w:val="00456CDD"/>
    <w:rsid w:val="00456D51"/>
    <w:rsid w:val="00456DE2"/>
    <w:rsid w:val="00456EE1"/>
    <w:rsid w:val="0045701D"/>
    <w:rsid w:val="00457058"/>
    <w:rsid w:val="004570C5"/>
    <w:rsid w:val="0045710F"/>
    <w:rsid w:val="0045724F"/>
    <w:rsid w:val="00457273"/>
    <w:rsid w:val="00457393"/>
    <w:rsid w:val="004574A3"/>
    <w:rsid w:val="00457568"/>
    <w:rsid w:val="00457643"/>
    <w:rsid w:val="00457921"/>
    <w:rsid w:val="00457982"/>
    <w:rsid w:val="00457A74"/>
    <w:rsid w:val="00457B5F"/>
    <w:rsid w:val="00457CE9"/>
    <w:rsid w:val="00457D45"/>
    <w:rsid w:val="00457D6A"/>
    <w:rsid w:val="00457DAB"/>
    <w:rsid w:val="00457E0C"/>
    <w:rsid w:val="00457E32"/>
    <w:rsid w:val="00457EE9"/>
    <w:rsid w:val="0046003A"/>
    <w:rsid w:val="0046004E"/>
    <w:rsid w:val="004601D6"/>
    <w:rsid w:val="00460351"/>
    <w:rsid w:val="00460536"/>
    <w:rsid w:val="00460541"/>
    <w:rsid w:val="004605E4"/>
    <w:rsid w:val="00460606"/>
    <w:rsid w:val="0046061B"/>
    <w:rsid w:val="004606FE"/>
    <w:rsid w:val="00460720"/>
    <w:rsid w:val="0046072F"/>
    <w:rsid w:val="0046073B"/>
    <w:rsid w:val="00460774"/>
    <w:rsid w:val="00460805"/>
    <w:rsid w:val="004608DC"/>
    <w:rsid w:val="00460924"/>
    <w:rsid w:val="004609A3"/>
    <w:rsid w:val="00460A42"/>
    <w:rsid w:val="00460A7A"/>
    <w:rsid w:val="00460C4C"/>
    <w:rsid w:val="00460CE0"/>
    <w:rsid w:val="00460D02"/>
    <w:rsid w:val="00460D16"/>
    <w:rsid w:val="00460D56"/>
    <w:rsid w:val="00460E87"/>
    <w:rsid w:val="00460EC0"/>
    <w:rsid w:val="00460FE2"/>
    <w:rsid w:val="00461044"/>
    <w:rsid w:val="00461098"/>
    <w:rsid w:val="004610CA"/>
    <w:rsid w:val="00461145"/>
    <w:rsid w:val="00461228"/>
    <w:rsid w:val="0046126F"/>
    <w:rsid w:val="00461270"/>
    <w:rsid w:val="00461349"/>
    <w:rsid w:val="004614A8"/>
    <w:rsid w:val="0046157A"/>
    <w:rsid w:val="00461684"/>
    <w:rsid w:val="004617C4"/>
    <w:rsid w:val="00461856"/>
    <w:rsid w:val="00461947"/>
    <w:rsid w:val="004619C0"/>
    <w:rsid w:val="00461A1C"/>
    <w:rsid w:val="00461A1E"/>
    <w:rsid w:val="00461A92"/>
    <w:rsid w:val="00461C6C"/>
    <w:rsid w:val="00461C85"/>
    <w:rsid w:val="00461F7A"/>
    <w:rsid w:val="00462011"/>
    <w:rsid w:val="00462021"/>
    <w:rsid w:val="0046208D"/>
    <w:rsid w:val="004620AB"/>
    <w:rsid w:val="004620EA"/>
    <w:rsid w:val="00462107"/>
    <w:rsid w:val="00462180"/>
    <w:rsid w:val="004621C2"/>
    <w:rsid w:val="004621C4"/>
    <w:rsid w:val="00462228"/>
    <w:rsid w:val="00462245"/>
    <w:rsid w:val="0046233E"/>
    <w:rsid w:val="00462430"/>
    <w:rsid w:val="00462475"/>
    <w:rsid w:val="00462491"/>
    <w:rsid w:val="00462581"/>
    <w:rsid w:val="004625DD"/>
    <w:rsid w:val="004626AE"/>
    <w:rsid w:val="00462748"/>
    <w:rsid w:val="00462754"/>
    <w:rsid w:val="00462778"/>
    <w:rsid w:val="004629E8"/>
    <w:rsid w:val="00462A7B"/>
    <w:rsid w:val="00462A8A"/>
    <w:rsid w:val="00462AC9"/>
    <w:rsid w:val="00462ACA"/>
    <w:rsid w:val="00462C3E"/>
    <w:rsid w:val="00462C97"/>
    <w:rsid w:val="00462D46"/>
    <w:rsid w:val="00462D9F"/>
    <w:rsid w:val="00462DE6"/>
    <w:rsid w:val="00462F05"/>
    <w:rsid w:val="00462F86"/>
    <w:rsid w:val="00462FCC"/>
    <w:rsid w:val="0046313A"/>
    <w:rsid w:val="00463148"/>
    <w:rsid w:val="0046333D"/>
    <w:rsid w:val="004633AB"/>
    <w:rsid w:val="0046342E"/>
    <w:rsid w:val="004634C4"/>
    <w:rsid w:val="00463520"/>
    <w:rsid w:val="00463538"/>
    <w:rsid w:val="00463664"/>
    <w:rsid w:val="00463680"/>
    <w:rsid w:val="004637F3"/>
    <w:rsid w:val="004638B4"/>
    <w:rsid w:val="004638DD"/>
    <w:rsid w:val="00463A9D"/>
    <w:rsid w:val="00463C73"/>
    <w:rsid w:val="00463D27"/>
    <w:rsid w:val="00463D6C"/>
    <w:rsid w:val="00463D90"/>
    <w:rsid w:val="00463E0D"/>
    <w:rsid w:val="00463E79"/>
    <w:rsid w:val="00463E7B"/>
    <w:rsid w:val="00463EE3"/>
    <w:rsid w:val="00463EF9"/>
    <w:rsid w:val="00464078"/>
    <w:rsid w:val="004640CF"/>
    <w:rsid w:val="004641C5"/>
    <w:rsid w:val="00464203"/>
    <w:rsid w:val="00464280"/>
    <w:rsid w:val="004642A0"/>
    <w:rsid w:val="00464306"/>
    <w:rsid w:val="00464400"/>
    <w:rsid w:val="00464573"/>
    <w:rsid w:val="0046463B"/>
    <w:rsid w:val="0046463D"/>
    <w:rsid w:val="004647DF"/>
    <w:rsid w:val="0046493F"/>
    <w:rsid w:val="0046498B"/>
    <w:rsid w:val="00464A80"/>
    <w:rsid w:val="00464B95"/>
    <w:rsid w:val="00464D2E"/>
    <w:rsid w:val="00464DCA"/>
    <w:rsid w:val="00464F47"/>
    <w:rsid w:val="00464F4D"/>
    <w:rsid w:val="00464F6C"/>
    <w:rsid w:val="0046519D"/>
    <w:rsid w:val="004651EC"/>
    <w:rsid w:val="004652D9"/>
    <w:rsid w:val="00465391"/>
    <w:rsid w:val="00465430"/>
    <w:rsid w:val="00465548"/>
    <w:rsid w:val="00465587"/>
    <w:rsid w:val="0046560F"/>
    <w:rsid w:val="004656D2"/>
    <w:rsid w:val="0046574E"/>
    <w:rsid w:val="0046577B"/>
    <w:rsid w:val="004658BC"/>
    <w:rsid w:val="00465959"/>
    <w:rsid w:val="00465965"/>
    <w:rsid w:val="00465974"/>
    <w:rsid w:val="00465999"/>
    <w:rsid w:val="00465AF2"/>
    <w:rsid w:val="00465CE1"/>
    <w:rsid w:val="00465D21"/>
    <w:rsid w:val="00465DEC"/>
    <w:rsid w:val="00465F5F"/>
    <w:rsid w:val="00465F66"/>
    <w:rsid w:val="00465F76"/>
    <w:rsid w:val="00465F84"/>
    <w:rsid w:val="00465F8D"/>
    <w:rsid w:val="00466093"/>
    <w:rsid w:val="0046610B"/>
    <w:rsid w:val="00466165"/>
    <w:rsid w:val="004661FA"/>
    <w:rsid w:val="0046640B"/>
    <w:rsid w:val="00466438"/>
    <w:rsid w:val="00466457"/>
    <w:rsid w:val="00466481"/>
    <w:rsid w:val="004664AD"/>
    <w:rsid w:val="00466564"/>
    <w:rsid w:val="00466576"/>
    <w:rsid w:val="004665ED"/>
    <w:rsid w:val="0046683D"/>
    <w:rsid w:val="004668D8"/>
    <w:rsid w:val="004669D0"/>
    <w:rsid w:val="004669E4"/>
    <w:rsid w:val="00466A9E"/>
    <w:rsid w:val="00466AA7"/>
    <w:rsid w:val="00466BED"/>
    <w:rsid w:val="00466DC3"/>
    <w:rsid w:val="00466DE2"/>
    <w:rsid w:val="00466DEA"/>
    <w:rsid w:val="00466E21"/>
    <w:rsid w:val="00466F2C"/>
    <w:rsid w:val="00466FF9"/>
    <w:rsid w:val="00467059"/>
    <w:rsid w:val="00467083"/>
    <w:rsid w:val="004670A1"/>
    <w:rsid w:val="004672BB"/>
    <w:rsid w:val="004672C5"/>
    <w:rsid w:val="00467384"/>
    <w:rsid w:val="004673B3"/>
    <w:rsid w:val="00467552"/>
    <w:rsid w:val="0046756A"/>
    <w:rsid w:val="0046758E"/>
    <w:rsid w:val="0046764C"/>
    <w:rsid w:val="00467655"/>
    <w:rsid w:val="00467664"/>
    <w:rsid w:val="0046767E"/>
    <w:rsid w:val="0046780C"/>
    <w:rsid w:val="0046784D"/>
    <w:rsid w:val="004678C0"/>
    <w:rsid w:val="0046791D"/>
    <w:rsid w:val="00467A61"/>
    <w:rsid w:val="00467AA8"/>
    <w:rsid w:val="00467AB6"/>
    <w:rsid w:val="00467AD6"/>
    <w:rsid w:val="00467B36"/>
    <w:rsid w:val="00467B3E"/>
    <w:rsid w:val="00467B6F"/>
    <w:rsid w:val="00467C15"/>
    <w:rsid w:val="00467CC4"/>
    <w:rsid w:val="00467CFE"/>
    <w:rsid w:val="00467D27"/>
    <w:rsid w:val="00467D4D"/>
    <w:rsid w:val="00467D83"/>
    <w:rsid w:val="00467E00"/>
    <w:rsid w:val="00467E08"/>
    <w:rsid w:val="00467ECA"/>
    <w:rsid w:val="00467F8E"/>
    <w:rsid w:val="00467FBC"/>
    <w:rsid w:val="00467FE0"/>
    <w:rsid w:val="00467FF2"/>
    <w:rsid w:val="00470068"/>
    <w:rsid w:val="004700D5"/>
    <w:rsid w:val="0047035E"/>
    <w:rsid w:val="004704AE"/>
    <w:rsid w:val="00470529"/>
    <w:rsid w:val="0047062E"/>
    <w:rsid w:val="00470668"/>
    <w:rsid w:val="0047078C"/>
    <w:rsid w:val="004707A3"/>
    <w:rsid w:val="004707A6"/>
    <w:rsid w:val="004707AD"/>
    <w:rsid w:val="004707C0"/>
    <w:rsid w:val="0047081F"/>
    <w:rsid w:val="00470886"/>
    <w:rsid w:val="004708AF"/>
    <w:rsid w:val="00470952"/>
    <w:rsid w:val="00470A26"/>
    <w:rsid w:val="00470A57"/>
    <w:rsid w:val="00470AB6"/>
    <w:rsid w:val="00470AC5"/>
    <w:rsid w:val="00470B5B"/>
    <w:rsid w:val="00470B60"/>
    <w:rsid w:val="00470DE2"/>
    <w:rsid w:val="00470E39"/>
    <w:rsid w:val="00470E64"/>
    <w:rsid w:val="00470EF6"/>
    <w:rsid w:val="00471074"/>
    <w:rsid w:val="00471088"/>
    <w:rsid w:val="004710AD"/>
    <w:rsid w:val="004710E3"/>
    <w:rsid w:val="004710EC"/>
    <w:rsid w:val="00471158"/>
    <w:rsid w:val="004713D4"/>
    <w:rsid w:val="00471506"/>
    <w:rsid w:val="00471513"/>
    <w:rsid w:val="00471641"/>
    <w:rsid w:val="00471665"/>
    <w:rsid w:val="0047168D"/>
    <w:rsid w:val="004716CD"/>
    <w:rsid w:val="00471710"/>
    <w:rsid w:val="0047173B"/>
    <w:rsid w:val="004717C6"/>
    <w:rsid w:val="00471877"/>
    <w:rsid w:val="00471995"/>
    <w:rsid w:val="00471A1F"/>
    <w:rsid w:val="00471A81"/>
    <w:rsid w:val="00471ABB"/>
    <w:rsid w:val="00471B21"/>
    <w:rsid w:val="00471BE4"/>
    <w:rsid w:val="00471CD2"/>
    <w:rsid w:val="00471D0D"/>
    <w:rsid w:val="00471D91"/>
    <w:rsid w:val="00471E64"/>
    <w:rsid w:val="00471F97"/>
    <w:rsid w:val="0047207A"/>
    <w:rsid w:val="004720B1"/>
    <w:rsid w:val="004720B7"/>
    <w:rsid w:val="00472119"/>
    <w:rsid w:val="004722AF"/>
    <w:rsid w:val="00472366"/>
    <w:rsid w:val="004723D8"/>
    <w:rsid w:val="0047244B"/>
    <w:rsid w:val="004724E2"/>
    <w:rsid w:val="004724EF"/>
    <w:rsid w:val="004724FB"/>
    <w:rsid w:val="004725D0"/>
    <w:rsid w:val="0047264A"/>
    <w:rsid w:val="004727EF"/>
    <w:rsid w:val="0047281E"/>
    <w:rsid w:val="00472931"/>
    <w:rsid w:val="00472969"/>
    <w:rsid w:val="00472A33"/>
    <w:rsid w:val="00472B8E"/>
    <w:rsid w:val="00472D53"/>
    <w:rsid w:val="00472E08"/>
    <w:rsid w:val="00472E19"/>
    <w:rsid w:val="00472E1F"/>
    <w:rsid w:val="00472E3A"/>
    <w:rsid w:val="00472EF7"/>
    <w:rsid w:val="00472F0A"/>
    <w:rsid w:val="00472F0F"/>
    <w:rsid w:val="00472FD5"/>
    <w:rsid w:val="0047303C"/>
    <w:rsid w:val="004732FB"/>
    <w:rsid w:val="0047340E"/>
    <w:rsid w:val="00473444"/>
    <w:rsid w:val="00473527"/>
    <w:rsid w:val="00473574"/>
    <w:rsid w:val="004735F3"/>
    <w:rsid w:val="00473776"/>
    <w:rsid w:val="00473786"/>
    <w:rsid w:val="0047378C"/>
    <w:rsid w:val="0047380F"/>
    <w:rsid w:val="004739C7"/>
    <w:rsid w:val="00473A6A"/>
    <w:rsid w:val="00473B07"/>
    <w:rsid w:val="00473B10"/>
    <w:rsid w:val="00473B24"/>
    <w:rsid w:val="00473B2E"/>
    <w:rsid w:val="00473B88"/>
    <w:rsid w:val="00473B94"/>
    <w:rsid w:val="00473BBD"/>
    <w:rsid w:val="00473BDF"/>
    <w:rsid w:val="00473D3A"/>
    <w:rsid w:val="00473D6B"/>
    <w:rsid w:val="00473E29"/>
    <w:rsid w:val="00473EFC"/>
    <w:rsid w:val="00473FBB"/>
    <w:rsid w:val="00474018"/>
    <w:rsid w:val="00474054"/>
    <w:rsid w:val="0047408B"/>
    <w:rsid w:val="004741CE"/>
    <w:rsid w:val="004741F5"/>
    <w:rsid w:val="00474258"/>
    <w:rsid w:val="004742A3"/>
    <w:rsid w:val="004743E4"/>
    <w:rsid w:val="00474474"/>
    <w:rsid w:val="004744A2"/>
    <w:rsid w:val="00474549"/>
    <w:rsid w:val="00474559"/>
    <w:rsid w:val="0047466F"/>
    <w:rsid w:val="004746CA"/>
    <w:rsid w:val="004748C8"/>
    <w:rsid w:val="0047499E"/>
    <w:rsid w:val="00474AD9"/>
    <w:rsid w:val="00474AED"/>
    <w:rsid w:val="00474BDA"/>
    <w:rsid w:val="00474BFC"/>
    <w:rsid w:val="00474BFD"/>
    <w:rsid w:val="00474C58"/>
    <w:rsid w:val="00474D58"/>
    <w:rsid w:val="00474D97"/>
    <w:rsid w:val="00474DC0"/>
    <w:rsid w:val="00474E01"/>
    <w:rsid w:val="00474E44"/>
    <w:rsid w:val="00474F51"/>
    <w:rsid w:val="00475009"/>
    <w:rsid w:val="004750C5"/>
    <w:rsid w:val="004750FC"/>
    <w:rsid w:val="0047510D"/>
    <w:rsid w:val="00475180"/>
    <w:rsid w:val="00475276"/>
    <w:rsid w:val="0047528D"/>
    <w:rsid w:val="0047534E"/>
    <w:rsid w:val="00475459"/>
    <w:rsid w:val="00475484"/>
    <w:rsid w:val="004754F4"/>
    <w:rsid w:val="004755A0"/>
    <w:rsid w:val="004756ED"/>
    <w:rsid w:val="0047578B"/>
    <w:rsid w:val="00475850"/>
    <w:rsid w:val="004758EE"/>
    <w:rsid w:val="00475932"/>
    <w:rsid w:val="00475975"/>
    <w:rsid w:val="0047597F"/>
    <w:rsid w:val="004759B7"/>
    <w:rsid w:val="00475A75"/>
    <w:rsid w:val="00475A94"/>
    <w:rsid w:val="00475C10"/>
    <w:rsid w:val="00475C6D"/>
    <w:rsid w:val="00475C81"/>
    <w:rsid w:val="00475F44"/>
    <w:rsid w:val="00475FC2"/>
    <w:rsid w:val="004760FC"/>
    <w:rsid w:val="00476273"/>
    <w:rsid w:val="004762A1"/>
    <w:rsid w:val="0047630A"/>
    <w:rsid w:val="004763FA"/>
    <w:rsid w:val="00476568"/>
    <w:rsid w:val="00476650"/>
    <w:rsid w:val="00476893"/>
    <w:rsid w:val="00476901"/>
    <w:rsid w:val="004769AF"/>
    <w:rsid w:val="00476AA5"/>
    <w:rsid w:val="00476ABC"/>
    <w:rsid w:val="00476C2E"/>
    <w:rsid w:val="00476C4A"/>
    <w:rsid w:val="00476C8F"/>
    <w:rsid w:val="0047702D"/>
    <w:rsid w:val="004770BC"/>
    <w:rsid w:val="00477218"/>
    <w:rsid w:val="00477264"/>
    <w:rsid w:val="004772B6"/>
    <w:rsid w:val="004772CC"/>
    <w:rsid w:val="004772D9"/>
    <w:rsid w:val="00477313"/>
    <w:rsid w:val="00477315"/>
    <w:rsid w:val="0047732D"/>
    <w:rsid w:val="00477341"/>
    <w:rsid w:val="0047747F"/>
    <w:rsid w:val="0047763D"/>
    <w:rsid w:val="004776E2"/>
    <w:rsid w:val="004777E6"/>
    <w:rsid w:val="00477866"/>
    <w:rsid w:val="00477898"/>
    <w:rsid w:val="0047793E"/>
    <w:rsid w:val="004779ED"/>
    <w:rsid w:val="00477A11"/>
    <w:rsid w:val="00477C9A"/>
    <w:rsid w:val="00477D00"/>
    <w:rsid w:val="00477D03"/>
    <w:rsid w:val="00477D7B"/>
    <w:rsid w:val="00477D8F"/>
    <w:rsid w:val="00477E12"/>
    <w:rsid w:val="00477E9C"/>
    <w:rsid w:val="00477EC7"/>
    <w:rsid w:val="00477F22"/>
    <w:rsid w:val="00477F97"/>
    <w:rsid w:val="00477FA0"/>
    <w:rsid w:val="00477FE3"/>
    <w:rsid w:val="00480044"/>
    <w:rsid w:val="00480142"/>
    <w:rsid w:val="00480172"/>
    <w:rsid w:val="00480257"/>
    <w:rsid w:val="0048043E"/>
    <w:rsid w:val="0048048C"/>
    <w:rsid w:val="00480492"/>
    <w:rsid w:val="00480574"/>
    <w:rsid w:val="00480594"/>
    <w:rsid w:val="0048070C"/>
    <w:rsid w:val="0048087F"/>
    <w:rsid w:val="004808B7"/>
    <w:rsid w:val="004809FB"/>
    <w:rsid w:val="004809FF"/>
    <w:rsid w:val="00480C08"/>
    <w:rsid w:val="00480D7D"/>
    <w:rsid w:val="00480D8F"/>
    <w:rsid w:val="00480E62"/>
    <w:rsid w:val="00481087"/>
    <w:rsid w:val="00481136"/>
    <w:rsid w:val="0048117B"/>
    <w:rsid w:val="00481199"/>
    <w:rsid w:val="004812CB"/>
    <w:rsid w:val="00481310"/>
    <w:rsid w:val="00481313"/>
    <w:rsid w:val="00481742"/>
    <w:rsid w:val="00481750"/>
    <w:rsid w:val="004817F1"/>
    <w:rsid w:val="0048182E"/>
    <w:rsid w:val="00481873"/>
    <w:rsid w:val="004818A6"/>
    <w:rsid w:val="00481918"/>
    <w:rsid w:val="00481968"/>
    <w:rsid w:val="00481B1A"/>
    <w:rsid w:val="00481B8E"/>
    <w:rsid w:val="00481C13"/>
    <w:rsid w:val="00481C51"/>
    <w:rsid w:val="00481D8C"/>
    <w:rsid w:val="00481DBF"/>
    <w:rsid w:val="00481DF2"/>
    <w:rsid w:val="00481E76"/>
    <w:rsid w:val="00481F03"/>
    <w:rsid w:val="00481F38"/>
    <w:rsid w:val="00481F8C"/>
    <w:rsid w:val="00481FC1"/>
    <w:rsid w:val="00482101"/>
    <w:rsid w:val="0048217F"/>
    <w:rsid w:val="004821BC"/>
    <w:rsid w:val="00482265"/>
    <w:rsid w:val="0048243C"/>
    <w:rsid w:val="00482696"/>
    <w:rsid w:val="004826F0"/>
    <w:rsid w:val="00482716"/>
    <w:rsid w:val="00482804"/>
    <w:rsid w:val="004829F8"/>
    <w:rsid w:val="00482B47"/>
    <w:rsid w:val="00482B70"/>
    <w:rsid w:val="00482CE3"/>
    <w:rsid w:val="00482DBB"/>
    <w:rsid w:val="00482DDC"/>
    <w:rsid w:val="00482F73"/>
    <w:rsid w:val="00482FC6"/>
    <w:rsid w:val="00482FCD"/>
    <w:rsid w:val="0048302E"/>
    <w:rsid w:val="0048304B"/>
    <w:rsid w:val="0048311C"/>
    <w:rsid w:val="00483154"/>
    <w:rsid w:val="00483174"/>
    <w:rsid w:val="0048323E"/>
    <w:rsid w:val="00483311"/>
    <w:rsid w:val="00483395"/>
    <w:rsid w:val="00483433"/>
    <w:rsid w:val="0048344B"/>
    <w:rsid w:val="00483502"/>
    <w:rsid w:val="004835B7"/>
    <w:rsid w:val="004835BE"/>
    <w:rsid w:val="00483692"/>
    <w:rsid w:val="004836F1"/>
    <w:rsid w:val="0048381F"/>
    <w:rsid w:val="00483873"/>
    <w:rsid w:val="00483880"/>
    <w:rsid w:val="0048388F"/>
    <w:rsid w:val="0048389D"/>
    <w:rsid w:val="0048396A"/>
    <w:rsid w:val="004839F2"/>
    <w:rsid w:val="00483A82"/>
    <w:rsid w:val="00483B66"/>
    <w:rsid w:val="00483B81"/>
    <w:rsid w:val="00483C15"/>
    <w:rsid w:val="00483CD0"/>
    <w:rsid w:val="00483CD6"/>
    <w:rsid w:val="00483E06"/>
    <w:rsid w:val="00483E45"/>
    <w:rsid w:val="00483FC3"/>
    <w:rsid w:val="0048411C"/>
    <w:rsid w:val="004841AD"/>
    <w:rsid w:val="004841F3"/>
    <w:rsid w:val="004842C5"/>
    <w:rsid w:val="004842E6"/>
    <w:rsid w:val="004845EE"/>
    <w:rsid w:val="00484609"/>
    <w:rsid w:val="0048463B"/>
    <w:rsid w:val="0048465E"/>
    <w:rsid w:val="004846D9"/>
    <w:rsid w:val="004846EA"/>
    <w:rsid w:val="00484732"/>
    <w:rsid w:val="00484739"/>
    <w:rsid w:val="0048479D"/>
    <w:rsid w:val="004849FB"/>
    <w:rsid w:val="00484A9D"/>
    <w:rsid w:val="00484AA4"/>
    <w:rsid w:val="00484BC7"/>
    <w:rsid w:val="00484C19"/>
    <w:rsid w:val="00484C87"/>
    <w:rsid w:val="00484D1E"/>
    <w:rsid w:val="00484DC5"/>
    <w:rsid w:val="00484EEB"/>
    <w:rsid w:val="00484F17"/>
    <w:rsid w:val="00485072"/>
    <w:rsid w:val="0048514C"/>
    <w:rsid w:val="00485250"/>
    <w:rsid w:val="00485268"/>
    <w:rsid w:val="004854A5"/>
    <w:rsid w:val="0048555F"/>
    <w:rsid w:val="00485608"/>
    <w:rsid w:val="00485612"/>
    <w:rsid w:val="00485675"/>
    <w:rsid w:val="004856A3"/>
    <w:rsid w:val="004856D4"/>
    <w:rsid w:val="004857E7"/>
    <w:rsid w:val="004859A7"/>
    <w:rsid w:val="00485ACB"/>
    <w:rsid w:val="00485BC0"/>
    <w:rsid w:val="00485C68"/>
    <w:rsid w:val="00485CCA"/>
    <w:rsid w:val="00485CD1"/>
    <w:rsid w:val="00485D96"/>
    <w:rsid w:val="00485DE9"/>
    <w:rsid w:val="00485FB3"/>
    <w:rsid w:val="004860DE"/>
    <w:rsid w:val="004862E9"/>
    <w:rsid w:val="004862F2"/>
    <w:rsid w:val="004863BE"/>
    <w:rsid w:val="0048642B"/>
    <w:rsid w:val="004864AF"/>
    <w:rsid w:val="004864E4"/>
    <w:rsid w:val="0048651C"/>
    <w:rsid w:val="0048655E"/>
    <w:rsid w:val="00486662"/>
    <w:rsid w:val="004868F4"/>
    <w:rsid w:val="0048696C"/>
    <w:rsid w:val="00486974"/>
    <w:rsid w:val="00486A33"/>
    <w:rsid w:val="00486C65"/>
    <w:rsid w:val="00486DD0"/>
    <w:rsid w:val="00487080"/>
    <w:rsid w:val="00487114"/>
    <w:rsid w:val="00487192"/>
    <w:rsid w:val="00487431"/>
    <w:rsid w:val="004874BC"/>
    <w:rsid w:val="00487562"/>
    <w:rsid w:val="004875AC"/>
    <w:rsid w:val="004875B0"/>
    <w:rsid w:val="0048770E"/>
    <w:rsid w:val="00487813"/>
    <w:rsid w:val="00487972"/>
    <w:rsid w:val="00487982"/>
    <w:rsid w:val="004879D1"/>
    <w:rsid w:val="00487B42"/>
    <w:rsid w:val="00487BC2"/>
    <w:rsid w:val="00487BC4"/>
    <w:rsid w:val="00487BCC"/>
    <w:rsid w:val="00487C5B"/>
    <w:rsid w:val="00487C5C"/>
    <w:rsid w:val="00487C7A"/>
    <w:rsid w:val="00487C85"/>
    <w:rsid w:val="00487CFE"/>
    <w:rsid w:val="00487E49"/>
    <w:rsid w:val="00487FD8"/>
    <w:rsid w:val="00490040"/>
    <w:rsid w:val="00490135"/>
    <w:rsid w:val="0049017C"/>
    <w:rsid w:val="0049026C"/>
    <w:rsid w:val="0049031F"/>
    <w:rsid w:val="0049032A"/>
    <w:rsid w:val="004906E4"/>
    <w:rsid w:val="0049073D"/>
    <w:rsid w:val="00490885"/>
    <w:rsid w:val="004908B6"/>
    <w:rsid w:val="0049090E"/>
    <w:rsid w:val="0049098E"/>
    <w:rsid w:val="004909C7"/>
    <w:rsid w:val="00490A2F"/>
    <w:rsid w:val="00490A6D"/>
    <w:rsid w:val="00490CE7"/>
    <w:rsid w:val="00490D3E"/>
    <w:rsid w:val="00490DA7"/>
    <w:rsid w:val="00490DC4"/>
    <w:rsid w:val="00490E0E"/>
    <w:rsid w:val="00490E85"/>
    <w:rsid w:val="00490EAD"/>
    <w:rsid w:val="00490FFC"/>
    <w:rsid w:val="004910A1"/>
    <w:rsid w:val="004910D0"/>
    <w:rsid w:val="0049111A"/>
    <w:rsid w:val="00491140"/>
    <w:rsid w:val="0049119D"/>
    <w:rsid w:val="004911D3"/>
    <w:rsid w:val="004911FF"/>
    <w:rsid w:val="0049125E"/>
    <w:rsid w:val="004912D7"/>
    <w:rsid w:val="004912E1"/>
    <w:rsid w:val="00491430"/>
    <w:rsid w:val="00491520"/>
    <w:rsid w:val="00491540"/>
    <w:rsid w:val="004915F6"/>
    <w:rsid w:val="004917C8"/>
    <w:rsid w:val="0049194C"/>
    <w:rsid w:val="00491BFD"/>
    <w:rsid w:val="00491C0A"/>
    <w:rsid w:val="00491C3A"/>
    <w:rsid w:val="00491C3C"/>
    <w:rsid w:val="00491C80"/>
    <w:rsid w:val="00491CCC"/>
    <w:rsid w:val="00491D46"/>
    <w:rsid w:val="00491D49"/>
    <w:rsid w:val="00491DEE"/>
    <w:rsid w:val="00491E21"/>
    <w:rsid w:val="00491E8C"/>
    <w:rsid w:val="00491F52"/>
    <w:rsid w:val="00491F9B"/>
    <w:rsid w:val="00492187"/>
    <w:rsid w:val="004922AF"/>
    <w:rsid w:val="004922BD"/>
    <w:rsid w:val="0049230C"/>
    <w:rsid w:val="0049232C"/>
    <w:rsid w:val="004924F9"/>
    <w:rsid w:val="0049254F"/>
    <w:rsid w:val="0049274B"/>
    <w:rsid w:val="004927B1"/>
    <w:rsid w:val="004927B8"/>
    <w:rsid w:val="004927D1"/>
    <w:rsid w:val="004927F7"/>
    <w:rsid w:val="0049287A"/>
    <w:rsid w:val="004929C6"/>
    <w:rsid w:val="00492A85"/>
    <w:rsid w:val="00492AFF"/>
    <w:rsid w:val="00492C04"/>
    <w:rsid w:val="00492C6D"/>
    <w:rsid w:val="00492D2C"/>
    <w:rsid w:val="00492D91"/>
    <w:rsid w:val="00492D9A"/>
    <w:rsid w:val="00492E29"/>
    <w:rsid w:val="00492EF9"/>
    <w:rsid w:val="00492FF0"/>
    <w:rsid w:val="004930B0"/>
    <w:rsid w:val="00493133"/>
    <w:rsid w:val="00493163"/>
    <w:rsid w:val="00493197"/>
    <w:rsid w:val="004931E4"/>
    <w:rsid w:val="00493221"/>
    <w:rsid w:val="00493412"/>
    <w:rsid w:val="004934C6"/>
    <w:rsid w:val="004934ED"/>
    <w:rsid w:val="00493551"/>
    <w:rsid w:val="00493553"/>
    <w:rsid w:val="0049361D"/>
    <w:rsid w:val="0049384E"/>
    <w:rsid w:val="004938B0"/>
    <w:rsid w:val="00493999"/>
    <w:rsid w:val="004939AB"/>
    <w:rsid w:val="00493A0A"/>
    <w:rsid w:val="00493A1E"/>
    <w:rsid w:val="00493AD4"/>
    <w:rsid w:val="00493DE9"/>
    <w:rsid w:val="00493E03"/>
    <w:rsid w:val="00493EC0"/>
    <w:rsid w:val="0049408D"/>
    <w:rsid w:val="00494103"/>
    <w:rsid w:val="004942BA"/>
    <w:rsid w:val="004943CF"/>
    <w:rsid w:val="0049440F"/>
    <w:rsid w:val="0049441E"/>
    <w:rsid w:val="00494584"/>
    <w:rsid w:val="00494805"/>
    <w:rsid w:val="00494857"/>
    <w:rsid w:val="00494896"/>
    <w:rsid w:val="004948AE"/>
    <w:rsid w:val="004948C3"/>
    <w:rsid w:val="004949EA"/>
    <w:rsid w:val="00494A83"/>
    <w:rsid w:val="00494ABA"/>
    <w:rsid w:val="00494B74"/>
    <w:rsid w:val="00494BC2"/>
    <w:rsid w:val="00494BDB"/>
    <w:rsid w:val="00494BE3"/>
    <w:rsid w:val="00494C0C"/>
    <w:rsid w:val="00494C48"/>
    <w:rsid w:val="00494C6A"/>
    <w:rsid w:val="00494D67"/>
    <w:rsid w:val="00494F64"/>
    <w:rsid w:val="0049505E"/>
    <w:rsid w:val="0049511E"/>
    <w:rsid w:val="00495191"/>
    <w:rsid w:val="0049521A"/>
    <w:rsid w:val="0049545B"/>
    <w:rsid w:val="004954D5"/>
    <w:rsid w:val="004955B9"/>
    <w:rsid w:val="00495670"/>
    <w:rsid w:val="004956B3"/>
    <w:rsid w:val="004956B6"/>
    <w:rsid w:val="00495875"/>
    <w:rsid w:val="004958B9"/>
    <w:rsid w:val="0049595F"/>
    <w:rsid w:val="00495999"/>
    <w:rsid w:val="0049599E"/>
    <w:rsid w:val="00495A57"/>
    <w:rsid w:val="00495BCF"/>
    <w:rsid w:val="00495CEC"/>
    <w:rsid w:val="00495D24"/>
    <w:rsid w:val="00495D75"/>
    <w:rsid w:val="00495DB5"/>
    <w:rsid w:val="00495DE8"/>
    <w:rsid w:val="00495E33"/>
    <w:rsid w:val="00495F4F"/>
    <w:rsid w:val="00495FDC"/>
    <w:rsid w:val="00495FFF"/>
    <w:rsid w:val="00496041"/>
    <w:rsid w:val="004960BE"/>
    <w:rsid w:val="004961E7"/>
    <w:rsid w:val="0049629E"/>
    <w:rsid w:val="0049647D"/>
    <w:rsid w:val="004964B1"/>
    <w:rsid w:val="004964E4"/>
    <w:rsid w:val="00496532"/>
    <w:rsid w:val="004965D0"/>
    <w:rsid w:val="004965EA"/>
    <w:rsid w:val="0049664B"/>
    <w:rsid w:val="004967C9"/>
    <w:rsid w:val="00496875"/>
    <w:rsid w:val="004968CC"/>
    <w:rsid w:val="00496967"/>
    <w:rsid w:val="00496A45"/>
    <w:rsid w:val="00496BFA"/>
    <w:rsid w:val="00496C2E"/>
    <w:rsid w:val="00496C45"/>
    <w:rsid w:val="00496D20"/>
    <w:rsid w:val="00496F36"/>
    <w:rsid w:val="00496FA0"/>
    <w:rsid w:val="00496FB1"/>
    <w:rsid w:val="00497011"/>
    <w:rsid w:val="004971BD"/>
    <w:rsid w:val="004972D1"/>
    <w:rsid w:val="004972EB"/>
    <w:rsid w:val="00497349"/>
    <w:rsid w:val="0049737D"/>
    <w:rsid w:val="004973B4"/>
    <w:rsid w:val="004973DA"/>
    <w:rsid w:val="00497420"/>
    <w:rsid w:val="00497433"/>
    <w:rsid w:val="00497459"/>
    <w:rsid w:val="00497655"/>
    <w:rsid w:val="0049772A"/>
    <w:rsid w:val="00497842"/>
    <w:rsid w:val="00497932"/>
    <w:rsid w:val="004979AB"/>
    <w:rsid w:val="00497AC3"/>
    <w:rsid w:val="00497ADF"/>
    <w:rsid w:val="00497B01"/>
    <w:rsid w:val="00497B22"/>
    <w:rsid w:val="00497B70"/>
    <w:rsid w:val="00497B9F"/>
    <w:rsid w:val="00497C95"/>
    <w:rsid w:val="00497EAF"/>
    <w:rsid w:val="00497EBD"/>
    <w:rsid w:val="00497EDD"/>
    <w:rsid w:val="00497F40"/>
    <w:rsid w:val="00497F78"/>
    <w:rsid w:val="00497FA0"/>
    <w:rsid w:val="00497FAF"/>
    <w:rsid w:val="004A00A6"/>
    <w:rsid w:val="004A011F"/>
    <w:rsid w:val="004A0278"/>
    <w:rsid w:val="004A02EE"/>
    <w:rsid w:val="004A039C"/>
    <w:rsid w:val="004A03C0"/>
    <w:rsid w:val="004A0400"/>
    <w:rsid w:val="004A048E"/>
    <w:rsid w:val="004A04EE"/>
    <w:rsid w:val="004A06A6"/>
    <w:rsid w:val="004A0791"/>
    <w:rsid w:val="004A0896"/>
    <w:rsid w:val="004A099E"/>
    <w:rsid w:val="004A09B5"/>
    <w:rsid w:val="004A09EB"/>
    <w:rsid w:val="004A0A40"/>
    <w:rsid w:val="004A0AEB"/>
    <w:rsid w:val="004A0AED"/>
    <w:rsid w:val="004A0B7B"/>
    <w:rsid w:val="004A0B8B"/>
    <w:rsid w:val="004A0C69"/>
    <w:rsid w:val="004A0CF3"/>
    <w:rsid w:val="004A0D3C"/>
    <w:rsid w:val="004A0E17"/>
    <w:rsid w:val="004A0E1A"/>
    <w:rsid w:val="004A0E9B"/>
    <w:rsid w:val="004A0E9E"/>
    <w:rsid w:val="004A0EB3"/>
    <w:rsid w:val="004A1099"/>
    <w:rsid w:val="004A1182"/>
    <w:rsid w:val="004A11BA"/>
    <w:rsid w:val="004A1202"/>
    <w:rsid w:val="004A132D"/>
    <w:rsid w:val="004A1437"/>
    <w:rsid w:val="004A1533"/>
    <w:rsid w:val="004A154D"/>
    <w:rsid w:val="004A1564"/>
    <w:rsid w:val="004A1571"/>
    <w:rsid w:val="004A15A0"/>
    <w:rsid w:val="004A164D"/>
    <w:rsid w:val="004A178C"/>
    <w:rsid w:val="004A183F"/>
    <w:rsid w:val="004A19FA"/>
    <w:rsid w:val="004A1BA4"/>
    <w:rsid w:val="004A1BD6"/>
    <w:rsid w:val="004A1C38"/>
    <w:rsid w:val="004A1CB2"/>
    <w:rsid w:val="004A1D4E"/>
    <w:rsid w:val="004A1D68"/>
    <w:rsid w:val="004A1EBE"/>
    <w:rsid w:val="004A1EC8"/>
    <w:rsid w:val="004A1F5D"/>
    <w:rsid w:val="004A1FFC"/>
    <w:rsid w:val="004A2000"/>
    <w:rsid w:val="004A2044"/>
    <w:rsid w:val="004A207F"/>
    <w:rsid w:val="004A2084"/>
    <w:rsid w:val="004A2138"/>
    <w:rsid w:val="004A2140"/>
    <w:rsid w:val="004A21F2"/>
    <w:rsid w:val="004A2281"/>
    <w:rsid w:val="004A22E3"/>
    <w:rsid w:val="004A244B"/>
    <w:rsid w:val="004A24A1"/>
    <w:rsid w:val="004A24A8"/>
    <w:rsid w:val="004A2586"/>
    <w:rsid w:val="004A284F"/>
    <w:rsid w:val="004A289B"/>
    <w:rsid w:val="004A2986"/>
    <w:rsid w:val="004A2A69"/>
    <w:rsid w:val="004A2ADF"/>
    <w:rsid w:val="004A2C67"/>
    <w:rsid w:val="004A2C92"/>
    <w:rsid w:val="004A2D37"/>
    <w:rsid w:val="004A2E7D"/>
    <w:rsid w:val="004A2FCB"/>
    <w:rsid w:val="004A308F"/>
    <w:rsid w:val="004A30A3"/>
    <w:rsid w:val="004A3119"/>
    <w:rsid w:val="004A3153"/>
    <w:rsid w:val="004A3254"/>
    <w:rsid w:val="004A3438"/>
    <w:rsid w:val="004A3464"/>
    <w:rsid w:val="004A34E8"/>
    <w:rsid w:val="004A358D"/>
    <w:rsid w:val="004A3596"/>
    <w:rsid w:val="004A35DE"/>
    <w:rsid w:val="004A36DF"/>
    <w:rsid w:val="004A3760"/>
    <w:rsid w:val="004A3787"/>
    <w:rsid w:val="004A38CB"/>
    <w:rsid w:val="004A38EF"/>
    <w:rsid w:val="004A3B32"/>
    <w:rsid w:val="004A3B97"/>
    <w:rsid w:val="004A3C79"/>
    <w:rsid w:val="004A3E41"/>
    <w:rsid w:val="004A3E7F"/>
    <w:rsid w:val="004A3E86"/>
    <w:rsid w:val="004A3F28"/>
    <w:rsid w:val="004A3FDB"/>
    <w:rsid w:val="004A41E1"/>
    <w:rsid w:val="004A437F"/>
    <w:rsid w:val="004A43E2"/>
    <w:rsid w:val="004A4430"/>
    <w:rsid w:val="004A457C"/>
    <w:rsid w:val="004A46F6"/>
    <w:rsid w:val="004A4736"/>
    <w:rsid w:val="004A47F8"/>
    <w:rsid w:val="004A489C"/>
    <w:rsid w:val="004A48F6"/>
    <w:rsid w:val="004A494D"/>
    <w:rsid w:val="004A4A7E"/>
    <w:rsid w:val="004A4AC4"/>
    <w:rsid w:val="004A4CC1"/>
    <w:rsid w:val="004A4E48"/>
    <w:rsid w:val="004A4EE4"/>
    <w:rsid w:val="004A4F7F"/>
    <w:rsid w:val="004A4FA6"/>
    <w:rsid w:val="004A4FDF"/>
    <w:rsid w:val="004A4FFA"/>
    <w:rsid w:val="004A5041"/>
    <w:rsid w:val="004A50CE"/>
    <w:rsid w:val="004A517F"/>
    <w:rsid w:val="004A5198"/>
    <w:rsid w:val="004A5243"/>
    <w:rsid w:val="004A52FB"/>
    <w:rsid w:val="004A53A0"/>
    <w:rsid w:val="004A5489"/>
    <w:rsid w:val="004A548D"/>
    <w:rsid w:val="004A54AA"/>
    <w:rsid w:val="004A54F9"/>
    <w:rsid w:val="004A5721"/>
    <w:rsid w:val="004A576C"/>
    <w:rsid w:val="004A57C7"/>
    <w:rsid w:val="004A5863"/>
    <w:rsid w:val="004A5A33"/>
    <w:rsid w:val="004A5B97"/>
    <w:rsid w:val="004A5BD5"/>
    <w:rsid w:val="004A5BDD"/>
    <w:rsid w:val="004A5C25"/>
    <w:rsid w:val="004A5C84"/>
    <w:rsid w:val="004A5CCB"/>
    <w:rsid w:val="004A5D9D"/>
    <w:rsid w:val="004A5DA5"/>
    <w:rsid w:val="004A5E50"/>
    <w:rsid w:val="004A5E73"/>
    <w:rsid w:val="004A5EC1"/>
    <w:rsid w:val="004A5F62"/>
    <w:rsid w:val="004A5FF9"/>
    <w:rsid w:val="004A6003"/>
    <w:rsid w:val="004A60CC"/>
    <w:rsid w:val="004A60CE"/>
    <w:rsid w:val="004A62FE"/>
    <w:rsid w:val="004A6307"/>
    <w:rsid w:val="004A6376"/>
    <w:rsid w:val="004A64D7"/>
    <w:rsid w:val="004A64E0"/>
    <w:rsid w:val="004A64FB"/>
    <w:rsid w:val="004A6627"/>
    <w:rsid w:val="004A662D"/>
    <w:rsid w:val="004A6792"/>
    <w:rsid w:val="004A6795"/>
    <w:rsid w:val="004A6844"/>
    <w:rsid w:val="004A685B"/>
    <w:rsid w:val="004A68D4"/>
    <w:rsid w:val="004A68E9"/>
    <w:rsid w:val="004A6910"/>
    <w:rsid w:val="004A6990"/>
    <w:rsid w:val="004A6A32"/>
    <w:rsid w:val="004A6C0C"/>
    <w:rsid w:val="004A6C1C"/>
    <w:rsid w:val="004A6C70"/>
    <w:rsid w:val="004A6D20"/>
    <w:rsid w:val="004A6D5C"/>
    <w:rsid w:val="004A6E3E"/>
    <w:rsid w:val="004A6F3F"/>
    <w:rsid w:val="004A6F47"/>
    <w:rsid w:val="004A6F77"/>
    <w:rsid w:val="004A6FE1"/>
    <w:rsid w:val="004A700A"/>
    <w:rsid w:val="004A7067"/>
    <w:rsid w:val="004A70ED"/>
    <w:rsid w:val="004A7163"/>
    <w:rsid w:val="004A7238"/>
    <w:rsid w:val="004A728F"/>
    <w:rsid w:val="004A72DC"/>
    <w:rsid w:val="004A744B"/>
    <w:rsid w:val="004A74CB"/>
    <w:rsid w:val="004A75B1"/>
    <w:rsid w:val="004A75FE"/>
    <w:rsid w:val="004A76E0"/>
    <w:rsid w:val="004A7756"/>
    <w:rsid w:val="004A776D"/>
    <w:rsid w:val="004A7792"/>
    <w:rsid w:val="004A7798"/>
    <w:rsid w:val="004A7862"/>
    <w:rsid w:val="004A791B"/>
    <w:rsid w:val="004A79A8"/>
    <w:rsid w:val="004A7A52"/>
    <w:rsid w:val="004A7AED"/>
    <w:rsid w:val="004A7C47"/>
    <w:rsid w:val="004A7C7D"/>
    <w:rsid w:val="004A7CD1"/>
    <w:rsid w:val="004A7E22"/>
    <w:rsid w:val="004A7E3D"/>
    <w:rsid w:val="004A7E42"/>
    <w:rsid w:val="004A7F0C"/>
    <w:rsid w:val="004A7F8F"/>
    <w:rsid w:val="004B00B7"/>
    <w:rsid w:val="004B030F"/>
    <w:rsid w:val="004B0385"/>
    <w:rsid w:val="004B039F"/>
    <w:rsid w:val="004B03EB"/>
    <w:rsid w:val="004B03FE"/>
    <w:rsid w:val="004B046E"/>
    <w:rsid w:val="004B06DB"/>
    <w:rsid w:val="004B07F6"/>
    <w:rsid w:val="004B0906"/>
    <w:rsid w:val="004B09E6"/>
    <w:rsid w:val="004B0A79"/>
    <w:rsid w:val="004B0BFF"/>
    <w:rsid w:val="004B0C6C"/>
    <w:rsid w:val="004B0E3D"/>
    <w:rsid w:val="004B0E55"/>
    <w:rsid w:val="004B0ED5"/>
    <w:rsid w:val="004B0EDB"/>
    <w:rsid w:val="004B0F44"/>
    <w:rsid w:val="004B0F63"/>
    <w:rsid w:val="004B0F86"/>
    <w:rsid w:val="004B1187"/>
    <w:rsid w:val="004B119D"/>
    <w:rsid w:val="004B11B5"/>
    <w:rsid w:val="004B1251"/>
    <w:rsid w:val="004B12B6"/>
    <w:rsid w:val="004B12B7"/>
    <w:rsid w:val="004B12D1"/>
    <w:rsid w:val="004B13EC"/>
    <w:rsid w:val="004B1451"/>
    <w:rsid w:val="004B1569"/>
    <w:rsid w:val="004B157E"/>
    <w:rsid w:val="004B16D3"/>
    <w:rsid w:val="004B16D4"/>
    <w:rsid w:val="004B16F1"/>
    <w:rsid w:val="004B1829"/>
    <w:rsid w:val="004B184C"/>
    <w:rsid w:val="004B1853"/>
    <w:rsid w:val="004B19FE"/>
    <w:rsid w:val="004B1A54"/>
    <w:rsid w:val="004B1AF7"/>
    <w:rsid w:val="004B1B7A"/>
    <w:rsid w:val="004B1C6D"/>
    <w:rsid w:val="004B1CC6"/>
    <w:rsid w:val="004B1D97"/>
    <w:rsid w:val="004B1F77"/>
    <w:rsid w:val="004B2019"/>
    <w:rsid w:val="004B21ED"/>
    <w:rsid w:val="004B221B"/>
    <w:rsid w:val="004B224C"/>
    <w:rsid w:val="004B2356"/>
    <w:rsid w:val="004B254B"/>
    <w:rsid w:val="004B256A"/>
    <w:rsid w:val="004B2636"/>
    <w:rsid w:val="004B27A6"/>
    <w:rsid w:val="004B27CA"/>
    <w:rsid w:val="004B27F8"/>
    <w:rsid w:val="004B28CC"/>
    <w:rsid w:val="004B29FB"/>
    <w:rsid w:val="004B2A4D"/>
    <w:rsid w:val="004B2AD6"/>
    <w:rsid w:val="004B2B3A"/>
    <w:rsid w:val="004B2B55"/>
    <w:rsid w:val="004B2B84"/>
    <w:rsid w:val="004B2B8A"/>
    <w:rsid w:val="004B2BEF"/>
    <w:rsid w:val="004B2C6A"/>
    <w:rsid w:val="004B2D99"/>
    <w:rsid w:val="004B2DC5"/>
    <w:rsid w:val="004B2DE7"/>
    <w:rsid w:val="004B2F45"/>
    <w:rsid w:val="004B2FAD"/>
    <w:rsid w:val="004B2FC7"/>
    <w:rsid w:val="004B2FE8"/>
    <w:rsid w:val="004B30C3"/>
    <w:rsid w:val="004B30D8"/>
    <w:rsid w:val="004B3159"/>
    <w:rsid w:val="004B3197"/>
    <w:rsid w:val="004B31BA"/>
    <w:rsid w:val="004B31DD"/>
    <w:rsid w:val="004B31F5"/>
    <w:rsid w:val="004B32F3"/>
    <w:rsid w:val="004B33C2"/>
    <w:rsid w:val="004B353A"/>
    <w:rsid w:val="004B35F2"/>
    <w:rsid w:val="004B3603"/>
    <w:rsid w:val="004B362B"/>
    <w:rsid w:val="004B377B"/>
    <w:rsid w:val="004B3789"/>
    <w:rsid w:val="004B38EA"/>
    <w:rsid w:val="004B3A24"/>
    <w:rsid w:val="004B3B13"/>
    <w:rsid w:val="004B3B45"/>
    <w:rsid w:val="004B3C17"/>
    <w:rsid w:val="004B3C6C"/>
    <w:rsid w:val="004B3D2F"/>
    <w:rsid w:val="004B3D7B"/>
    <w:rsid w:val="004B3DB0"/>
    <w:rsid w:val="004B3DE8"/>
    <w:rsid w:val="004B41C2"/>
    <w:rsid w:val="004B41CD"/>
    <w:rsid w:val="004B4214"/>
    <w:rsid w:val="004B427D"/>
    <w:rsid w:val="004B45A5"/>
    <w:rsid w:val="004B4629"/>
    <w:rsid w:val="004B4694"/>
    <w:rsid w:val="004B46ED"/>
    <w:rsid w:val="004B47C0"/>
    <w:rsid w:val="004B488F"/>
    <w:rsid w:val="004B496F"/>
    <w:rsid w:val="004B4970"/>
    <w:rsid w:val="004B49A3"/>
    <w:rsid w:val="004B4E54"/>
    <w:rsid w:val="004B4EB2"/>
    <w:rsid w:val="004B506C"/>
    <w:rsid w:val="004B51C2"/>
    <w:rsid w:val="004B5219"/>
    <w:rsid w:val="004B5228"/>
    <w:rsid w:val="004B525A"/>
    <w:rsid w:val="004B5296"/>
    <w:rsid w:val="004B5303"/>
    <w:rsid w:val="004B5353"/>
    <w:rsid w:val="004B53FE"/>
    <w:rsid w:val="004B5541"/>
    <w:rsid w:val="004B5543"/>
    <w:rsid w:val="004B559D"/>
    <w:rsid w:val="004B55E5"/>
    <w:rsid w:val="004B56AB"/>
    <w:rsid w:val="004B56AF"/>
    <w:rsid w:val="004B56F2"/>
    <w:rsid w:val="004B5821"/>
    <w:rsid w:val="004B5847"/>
    <w:rsid w:val="004B5944"/>
    <w:rsid w:val="004B5956"/>
    <w:rsid w:val="004B5985"/>
    <w:rsid w:val="004B5B22"/>
    <w:rsid w:val="004B5B2D"/>
    <w:rsid w:val="004B5B5E"/>
    <w:rsid w:val="004B5BE0"/>
    <w:rsid w:val="004B5CAF"/>
    <w:rsid w:val="004B5D00"/>
    <w:rsid w:val="004B5D6E"/>
    <w:rsid w:val="004B5DFF"/>
    <w:rsid w:val="004B5EDA"/>
    <w:rsid w:val="004B5F02"/>
    <w:rsid w:val="004B60F7"/>
    <w:rsid w:val="004B611B"/>
    <w:rsid w:val="004B61B3"/>
    <w:rsid w:val="004B61D7"/>
    <w:rsid w:val="004B6280"/>
    <w:rsid w:val="004B63F9"/>
    <w:rsid w:val="004B6402"/>
    <w:rsid w:val="004B6404"/>
    <w:rsid w:val="004B64CE"/>
    <w:rsid w:val="004B664B"/>
    <w:rsid w:val="004B665C"/>
    <w:rsid w:val="004B66BA"/>
    <w:rsid w:val="004B66DF"/>
    <w:rsid w:val="004B673A"/>
    <w:rsid w:val="004B67BC"/>
    <w:rsid w:val="004B67C7"/>
    <w:rsid w:val="004B6811"/>
    <w:rsid w:val="004B689D"/>
    <w:rsid w:val="004B68D2"/>
    <w:rsid w:val="004B68F3"/>
    <w:rsid w:val="004B699D"/>
    <w:rsid w:val="004B6A68"/>
    <w:rsid w:val="004B6AC8"/>
    <w:rsid w:val="004B6AFC"/>
    <w:rsid w:val="004B6BBA"/>
    <w:rsid w:val="004B6C0E"/>
    <w:rsid w:val="004B6C1F"/>
    <w:rsid w:val="004B6CE8"/>
    <w:rsid w:val="004B6D45"/>
    <w:rsid w:val="004B6D58"/>
    <w:rsid w:val="004B6D6D"/>
    <w:rsid w:val="004B6E55"/>
    <w:rsid w:val="004B6E5E"/>
    <w:rsid w:val="004B6F62"/>
    <w:rsid w:val="004B6FE3"/>
    <w:rsid w:val="004B6FEC"/>
    <w:rsid w:val="004B703B"/>
    <w:rsid w:val="004B70B9"/>
    <w:rsid w:val="004B7122"/>
    <w:rsid w:val="004B7178"/>
    <w:rsid w:val="004B721D"/>
    <w:rsid w:val="004B7228"/>
    <w:rsid w:val="004B72DC"/>
    <w:rsid w:val="004B7349"/>
    <w:rsid w:val="004B74AA"/>
    <w:rsid w:val="004B75B1"/>
    <w:rsid w:val="004B75E0"/>
    <w:rsid w:val="004B7791"/>
    <w:rsid w:val="004B77C0"/>
    <w:rsid w:val="004B77FD"/>
    <w:rsid w:val="004B7812"/>
    <w:rsid w:val="004B783D"/>
    <w:rsid w:val="004B78CC"/>
    <w:rsid w:val="004B78E2"/>
    <w:rsid w:val="004B798B"/>
    <w:rsid w:val="004B7AAD"/>
    <w:rsid w:val="004B7CFD"/>
    <w:rsid w:val="004B7D9D"/>
    <w:rsid w:val="004B7DD1"/>
    <w:rsid w:val="004B7F9F"/>
    <w:rsid w:val="004B7FD3"/>
    <w:rsid w:val="004C001F"/>
    <w:rsid w:val="004C00C6"/>
    <w:rsid w:val="004C011F"/>
    <w:rsid w:val="004C02F0"/>
    <w:rsid w:val="004C0379"/>
    <w:rsid w:val="004C041D"/>
    <w:rsid w:val="004C0472"/>
    <w:rsid w:val="004C04AB"/>
    <w:rsid w:val="004C0534"/>
    <w:rsid w:val="004C05B0"/>
    <w:rsid w:val="004C079E"/>
    <w:rsid w:val="004C0843"/>
    <w:rsid w:val="004C0ACC"/>
    <w:rsid w:val="004C0B12"/>
    <w:rsid w:val="004C0B55"/>
    <w:rsid w:val="004C0B94"/>
    <w:rsid w:val="004C0E97"/>
    <w:rsid w:val="004C0EBC"/>
    <w:rsid w:val="004C0FC7"/>
    <w:rsid w:val="004C1041"/>
    <w:rsid w:val="004C10D2"/>
    <w:rsid w:val="004C1161"/>
    <w:rsid w:val="004C122C"/>
    <w:rsid w:val="004C130E"/>
    <w:rsid w:val="004C1316"/>
    <w:rsid w:val="004C1538"/>
    <w:rsid w:val="004C155A"/>
    <w:rsid w:val="004C173F"/>
    <w:rsid w:val="004C17CA"/>
    <w:rsid w:val="004C1833"/>
    <w:rsid w:val="004C18C5"/>
    <w:rsid w:val="004C197A"/>
    <w:rsid w:val="004C19A9"/>
    <w:rsid w:val="004C1A35"/>
    <w:rsid w:val="004C1A5F"/>
    <w:rsid w:val="004C1B15"/>
    <w:rsid w:val="004C1C17"/>
    <w:rsid w:val="004C1C38"/>
    <w:rsid w:val="004C1EA1"/>
    <w:rsid w:val="004C1FA8"/>
    <w:rsid w:val="004C2033"/>
    <w:rsid w:val="004C21FE"/>
    <w:rsid w:val="004C222F"/>
    <w:rsid w:val="004C2432"/>
    <w:rsid w:val="004C2486"/>
    <w:rsid w:val="004C2496"/>
    <w:rsid w:val="004C24B5"/>
    <w:rsid w:val="004C25B0"/>
    <w:rsid w:val="004C2641"/>
    <w:rsid w:val="004C27D0"/>
    <w:rsid w:val="004C27FE"/>
    <w:rsid w:val="004C2898"/>
    <w:rsid w:val="004C289F"/>
    <w:rsid w:val="004C28FD"/>
    <w:rsid w:val="004C2900"/>
    <w:rsid w:val="004C2904"/>
    <w:rsid w:val="004C2979"/>
    <w:rsid w:val="004C2A9D"/>
    <w:rsid w:val="004C2ACE"/>
    <w:rsid w:val="004C2C92"/>
    <w:rsid w:val="004C2D12"/>
    <w:rsid w:val="004C2D26"/>
    <w:rsid w:val="004C2D35"/>
    <w:rsid w:val="004C2DD6"/>
    <w:rsid w:val="004C2FC0"/>
    <w:rsid w:val="004C315D"/>
    <w:rsid w:val="004C3177"/>
    <w:rsid w:val="004C32E6"/>
    <w:rsid w:val="004C3377"/>
    <w:rsid w:val="004C34D9"/>
    <w:rsid w:val="004C3682"/>
    <w:rsid w:val="004C36A0"/>
    <w:rsid w:val="004C37E2"/>
    <w:rsid w:val="004C3806"/>
    <w:rsid w:val="004C382B"/>
    <w:rsid w:val="004C3905"/>
    <w:rsid w:val="004C39C6"/>
    <w:rsid w:val="004C39F7"/>
    <w:rsid w:val="004C3A09"/>
    <w:rsid w:val="004C3B4C"/>
    <w:rsid w:val="004C3B74"/>
    <w:rsid w:val="004C3BFE"/>
    <w:rsid w:val="004C3C7A"/>
    <w:rsid w:val="004C3C9A"/>
    <w:rsid w:val="004C3D0B"/>
    <w:rsid w:val="004C3D23"/>
    <w:rsid w:val="004C3DFF"/>
    <w:rsid w:val="004C3E43"/>
    <w:rsid w:val="004C3E85"/>
    <w:rsid w:val="004C3E93"/>
    <w:rsid w:val="004C3F9C"/>
    <w:rsid w:val="004C4015"/>
    <w:rsid w:val="004C40E2"/>
    <w:rsid w:val="004C40E6"/>
    <w:rsid w:val="004C4133"/>
    <w:rsid w:val="004C41B9"/>
    <w:rsid w:val="004C428B"/>
    <w:rsid w:val="004C43C8"/>
    <w:rsid w:val="004C441E"/>
    <w:rsid w:val="004C461A"/>
    <w:rsid w:val="004C464C"/>
    <w:rsid w:val="004C46F0"/>
    <w:rsid w:val="004C4723"/>
    <w:rsid w:val="004C4791"/>
    <w:rsid w:val="004C47F5"/>
    <w:rsid w:val="004C48C8"/>
    <w:rsid w:val="004C4A22"/>
    <w:rsid w:val="004C4C00"/>
    <w:rsid w:val="004C4C1D"/>
    <w:rsid w:val="004C4CEF"/>
    <w:rsid w:val="004C4EF4"/>
    <w:rsid w:val="004C5152"/>
    <w:rsid w:val="004C5259"/>
    <w:rsid w:val="004C525D"/>
    <w:rsid w:val="004C52DE"/>
    <w:rsid w:val="004C541A"/>
    <w:rsid w:val="004C54D0"/>
    <w:rsid w:val="004C54D5"/>
    <w:rsid w:val="004C5583"/>
    <w:rsid w:val="004C559F"/>
    <w:rsid w:val="004C5767"/>
    <w:rsid w:val="004C5858"/>
    <w:rsid w:val="004C586C"/>
    <w:rsid w:val="004C591B"/>
    <w:rsid w:val="004C598D"/>
    <w:rsid w:val="004C5A11"/>
    <w:rsid w:val="004C5A13"/>
    <w:rsid w:val="004C5AE7"/>
    <w:rsid w:val="004C5B1F"/>
    <w:rsid w:val="004C5BEE"/>
    <w:rsid w:val="004C5CFB"/>
    <w:rsid w:val="004C5E5E"/>
    <w:rsid w:val="004C5E72"/>
    <w:rsid w:val="004C5ED2"/>
    <w:rsid w:val="004C5FBD"/>
    <w:rsid w:val="004C6101"/>
    <w:rsid w:val="004C6122"/>
    <w:rsid w:val="004C617B"/>
    <w:rsid w:val="004C618B"/>
    <w:rsid w:val="004C62D1"/>
    <w:rsid w:val="004C63BC"/>
    <w:rsid w:val="004C6496"/>
    <w:rsid w:val="004C657B"/>
    <w:rsid w:val="004C6591"/>
    <w:rsid w:val="004C65EF"/>
    <w:rsid w:val="004C662B"/>
    <w:rsid w:val="004C67E3"/>
    <w:rsid w:val="004C681C"/>
    <w:rsid w:val="004C6821"/>
    <w:rsid w:val="004C68A7"/>
    <w:rsid w:val="004C68C8"/>
    <w:rsid w:val="004C6945"/>
    <w:rsid w:val="004C69FE"/>
    <w:rsid w:val="004C6A19"/>
    <w:rsid w:val="004C6B5D"/>
    <w:rsid w:val="004C6B60"/>
    <w:rsid w:val="004C6C37"/>
    <w:rsid w:val="004C6DB3"/>
    <w:rsid w:val="004C6E1F"/>
    <w:rsid w:val="004C6E28"/>
    <w:rsid w:val="004C6E51"/>
    <w:rsid w:val="004C6F4C"/>
    <w:rsid w:val="004C700F"/>
    <w:rsid w:val="004C70E1"/>
    <w:rsid w:val="004C70FC"/>
    <w:rsid w:val="004C711D"/>
    <w:rsid w:val="004C7159"/>
    <w:rsid w:val="004C71D5"/>
    <w:rsid w:val="004C7215"/>
    <w:rsid w:val="004C7295"/>
    <w:rsid w:val="004C72A9"/>
    <w:rsid w:val="004C731A"/>
    <w:rsid w:val="004C7393"/>
    <w:rsid w:val="004C740D"/>
    <w:rsid w:val="004C7482"/>
    <w:rsid w:val="004C74EF"/>
    <w:rsid w:val="004C75E0"/>
    <w:rsid w:val="004C7754"/>
    <w:rsid w:val="004C78A0"/>
    <w:rsid w:val="004C7994"/>
    <w:rsid w:val="004C79B6"/>
    <w:rsid w:val="004C7A9A"/>
    <w:rsid w:val="004C7B1E"/>
    <w:rsid w:val="004C7B3F"/>
    <w:rsid w:val="004C7B5D"/>
    <w:rsid w:val="004C7C06"/>
    <w:rsid w:val="004C7C26"/>
    <w:rsid w:val="004C7C59"/>
    <w:rsid w:val="004C7CB2"/>
    <w:rsid w:val="004C7D1C"/>
    <w:rsid w:val="004C7D1F"/>
    <w:rsid w:val="004C7E23"/>
    <w:rsid w:val="004C7E9B"/>
    <w:rsid w:val="004D0022"/>
    <w:rsid w:val="004D0093"/>
    <w:rsid w:val="004D00AE"/>
    <w:rsid w:val="004D00EF"/>
    <w:rsid w:val="004D011F"/>
    <w:rsid w:val="004D017E"/>
    <w:rsid w:val="004D0287"/>
    <w:rsid w:val="004D0307"/>
    <w:rsid w:val="004D030F"/>
    <w:rsid w:val="004D04A3"/>
    <w:rsid w:val="004D0620"/>
    <w:rsid w:val="004D063D"/>
    <w:rsid w:val="004D0676"/>
    <w:rsid w:val="004D069B"/>
    <w:rsid w:val="004D06EA"/>
    <w:rsid w:val="004D07AF"/>
    <w:rsid w:val="004D0887"/>
    <w:rsid w:val="004D0889"/>
    <w:rsid w:val="004D08D7"/>
    <w:rsid w:val="004D09E4"/>
    <w:rsid w:val="004D0A2B"/>
    <w:rsid w:val="004D0A6D"/>
    <w:rsid w:val="004D0A8C"/>
    <w:rsid w:val="004D0BBA"/>
    <w:rsid w:val="004D0E45"/>
    <w:rsid w:val="004D0EF2"/>
    <w:rsid w:val="004D0F27"/>
    <w:rsid w:val="004D0F63"/>
    <w:rsid w:val="004D0F93"/>
    <w:rsid w:val="004D0FC0"/>
    <w:rsid w:val="004D1033"/>
    <w:rsid w:val="004D1079"/>
    <w:rsid w:val="004D1180"/>
    <w:rsid w:val="004D1228"/>
    <w:rsid w:val="004D12EC"/>
    <w:rsid w:val="004D132E"/>
    <w:rsid w:val="004D13B1"/>
    <w:rsid w:val="004D1473"/>
    <w:rsid w:val="004D14C2"/>
    <w:rsid w:val="004D153B"/>
    <w:rsid w:val="004D15DC"/>
    <w:rsid w:val="004D161C"/>
    <w:rsid w:val="004D1643"/>
    <w:rsid w:val="004D1652"/>
    <w:rsid w:val="004D167F"/>
    <w:rsid w:val="004D16D7"/>
    <w:rsid w:val="004D1770"/>
    <w:rsid w:val="004D178D"/>
    <w:rsid w:val="004D18DA"/>
    <w:rsid w:val="004D1A16"/>
    <w:rsid w:val="004D1A7E"/>
    <w:rsid w:val="004D1C02"/>
    <w:rsid w:val="004D1C09"/>
    <w:rsid w:val="004D1C47"/>
    <w:rsid w:val="004D1C93"/>
    <w:rsid w:val="004D1D5C"/>
    <w:rsid w:val="004D1DC8"/>
    <w:rsid w:val="004D1DC9"/>
    <w:rsid w:val="004D1F11"/>
    <w:rsid w:val="004D2048"/>
    <w:rsid w:val="004D2111"/>
    <w:rsid w:val="004D2113"/>
    <w:rsid w:val="004D2157"/>
    <w:rsid w:val="004D226A"/>
    <w:rsid w:val="004D22A9"/>
    <w:rsid w:val="004D23F6"/>
    <w:rsid w:val="004D23FC"/>
    <w:rsid w:val="004D247E"/>
    <w:rsid w:val="004D2502"/>
    <w:rsid w:val="004D262B"/>
    <w:rsid w:val="004D26A6"/>
    <w:rsid w:val="004D2728"/>
    <w:rsid w:val="004D28E9"/>
    <w:rsid w:val="004D293E"/>
    <w:rsid w:val="004D2A2A"/>
    <w:rsid w:val="004D2B4E"/>
    <w:rsid w:val="004D2D5B"/>
    <w:rsid w:val="004D2EEF"/>
    <w:rsid w:val="004D309D"/>
    <w:rsid w:val="004D3127"/>
    <w:rsid w:val="004D3175"/>
    <w:rsid w:val="004D3204"/>
    <w:rsid w:val="004D3284"/>
    <w:rsid w:val="004D330A"/>
    <w:rsid w:val="004D337E"/>
    <w:rsid w:val="004D33F7"/>
    <w:rsid w:val="004D341B"/>
    <w:rsid w:val="004D3496"/>
    <w:rsid w:val="004D349F"/>
    <w:rsid w:val="004D34FF"/>
    <w:rsid w:val="004D3528"/>
    <w:rsid w:val="004D36CD"/>
    <w:rsid w:val="004D36EA"/>
    <w:rsid w:val="004D370A"/>
    <w:rsid w:val="004D3857"/>
    <w:rsid w:val="004D3897"/>
    <w:rsid w:val="004D38EC"/>
    <w:rsid w:val="004D39F3"/>
    <w:rsid w:val="004D3B04"/>
    <w:rsid w:val="004D3B62"/>
    <w:rsid w:val="004D3CC9"/>
    <w:rsid w:val="004D3CF9"/>
    <w:rsid w:val="004D3D9B"/>
    <w:rsid w:val="004D3DAF"/>
    <w:rsid w:val="004D3EA8"/>
    <w:rsid w:val="004D3EC0"/>
    <w:rsid w:val="004D3EE8"/>
    <w:rsid w:val="004D4078"/>
    <w:rsid w:val="004D4092"/>
    <w:rsid w:val="004D4155"/>
    <w:rsid w:val="004D4221"/>
    <w:rsid w:val="004D424D"/>
    <w:rsid w:val="004D4276"/>
    <w:rsid w:val="004D42E0"/>
    <w:rsid w:val="004D4425"/>
    <w:rsid w:val="004D458E"/>
    <w:rsid w:val="004D459A"/>
    <w:rsid w:val="004D4615"/>
    <w:rsid w:val="004D48D0"/>
    <w:rsid w:val="004D492E"/>
    <w:rsid w:val="004D4B2B"/>
    <w:rsid w:val="004D4B2D"/>
    <w:rsid w:val="004D4BD0"/>
    <w:rsid w:val="004D4C95"/>
    <w:rsid w:val="004D4E17"/>
    <w:rsid w:val="004D4E1A"/>
    <w:rsid w:val="004D4E61"/>
    <w:rsid w:val="004D4E70"/>
    <w:rsid w:val="004D4FF3"/>
    <w:rsid w:val="004D5148"/>
    <w:rsid w:val="004D51A8"/>
    <w:rsid w:val="004D5260"/>
    <w:rsid w:val="004D52CB"/>
    <w:rsid w:val="004D5314"/>
    <w:rsid w:val="004D5393"/>
    <w:rsid w:val="004D5400"/>
    <w:rsid w:val="004D545D"/>
    <w:rsid w:val="004D54C1"/>
    <w:rsid w:val="004D5556"/>
    <w:rsid w:val="004D58B1"/>
    <w:rsid w:val="004D58D0"/>
    <w:rsid w:val="004D58F2"/>
    <w:rsid w:val="004D5961"/>
    <w:rsid w:val="004D59A2"/>
    <w:rsid w:val="004D5BAA"/>
    <w:rsid w:val="004D5D5E"/>
    <w:rsid w:val="004D5DE9"/>
    <w:rsid w:val="004D5E9A"/>
    <w:rsid w:val="004D5F4A"/>
    <w:rsid w:val="004D6112"/>
    <w:rsid w:val="004D6139"/>
    <w:rsid w:val="004D6167"/>
    <w:rsid w:val="004D618E"/>
    <w:rsid w:val="004D61E4"/>
    <w:rsid w:val="004D62E4"/>
    <w:rsid w:val="004D630C"/>
    <w:rsid w:val="004D6331"/>
    <w:rsid w:val="004D6449"/>
    <w:rsid w:val="004D64B9"/>
    <w:rsid w:val="004D655E"/>
    <w:rsid w:val="004D659A"/>
    <w:rsid w:val="004D6774"/>
    <w:rsid w:val="004D67B1"/>
    <w:rsid w:val="004D6849"/>
    <w:rsid w:val="004D691B"/>
    <w:rsid w:val="004D6995"/>
    <w:rsid w:val="004D6A0D"/>
    <w:rsid w:val="004D6A32"/>
    <w:rsid w:val="004D6A6B"/>
    <w:rsid w:val="004D6A78"/>
    <w:rsid w:val="004D6B85"/>
    <w:rsid w:val="004D6BE6"/>
    <w:rsid w:val="004D6BFA"/>
    <w:rsid w:val="004D6C29"/>
    <w:rsid w:val="004D6C8C"/>
    <w:rsid w:val="004D6C98"/>
    <w:rsid w:val="004D6E2C"/>
    <w:rsid w:val="004D6E9F"/>
    <w:rsid w:val="004D6EA4"/>
    <w:rsid w:val="004D6EEB"/>
    <w:rsid w:val="004D701A"/>
    <w:rsid w:val="004D7063"/>
    <w:rsid w:val="004D707E"/>
    <w:rsid w:val="004D70C3"/>
    <w:rsid w:val="004D7163"/>
    <w:rsid w:val="004D7174"/>
    <w:rsid w:val="004D735E"/>
    <w:rsid w:val="004D7484"/>
    <w:rsid w:val="004D74E9"/>
    <w:rsid w:val="004D74F9"/>
    <w:rsid w:val="004D752A"/>
    <w:rsid w:val="004D7552"/>
    <w:rsid w:val="004D7634"/>
    <w:rsid w:val="004D7696"/>
    <w:rsid w:val="004D76A3"/>
    <w:rsid w:val="004D7736"/>
    <w:rsid w:val="004D790B"/>
    <w:rsid w:val="004D7975"/>
    <w:rsid w:val="004D7A54"/>
    <w:rsid w:val="004D7A70"/>
    <w:rsid w:val="004D7ACC"/>
    <w:rsid w:val="004D7AF7"/>
    <w:rsid w:val="004D7D3B"/>
    <w:rsid w:val="004D7DFE"/>
    <w:rsid w:val="004D7EE6"/>
    <w:rsid w:val="004D7FCC"/>
    <w:rsid w:val="004E004A"/>
    <w:rsid w:val="004E00B1"/>
    <w:rsid w:val="004E00F0"/>
    <w:rsid w:val="004E0130"/>
    <w:rsid w:val="004E01BC"/>
    <w:rsid w:val="004E020F"/>
    <w:rsid w:val="004E03AA"/>
    <w:rsid w:val="004E03CB"/>
    <w:rsid w:val="004E04CF"/>
    <w:rsid w:val="004E07F7"/>
    <w:rsid w:val="004E0951"/>
    <w:rsid w:val="004E0A4A"/>
    <w:rsid w:val="004E0B79"/>
    <w:rsid w:val="004E0D38"/>
    <w:rsid w:val="004E0E21"/>
    <w:rsid w:val="004E0E49"/>
    <w:rsid w:val="004E0E6B"/>
    <w:rsid w:val="004E0EB2"/>
    <w:rsid w:val="004E0F91"/>
    <w:rsid w:val="004E0FB7"/>
    <w:rsid w:val="004E0FE0"/>
    <w:rsid w:val="004E0FFF"/>
    <w:rsid w:val="004E101F"/>
    <w:rsid w:val="004E10A4"/>
    <w:rsid w:val="004E1192"/>
    <w:rsid w:val="004E11C8"/>
    <w:rsid w:val="004E13B4"/>
    <w:rsid w:val="004E13DE"/>
    <w:rsid w:val="004E13FC"/>
    <w:rsid w:val="004E145D"/>
    <w:rsid w:val="004E1519"/>
    <w:rsid w:val="004E1601"/>
    <w:rsid w:val="004E16ED"/>
    <w:rsid w:val="004E1806"/>
    <w:rsid w:val="004E19AA"/>
    <w:rsid w:val="004E19BA"/>
    <w:rsid w:val="004E1A72"/>
    <w:rsid w:val="004E1A90"/>
    <w:rsid w:val="004E1AAD"/>
    <w:rsid w:val="004E1B7D"/>
    <w:rsid w:val="004E1C30"/>
    <w:rsid w:val="004E1D70"/>
    <w:rsid w:val="004E1EE4"/>
    <w:rsid w:val="004E1EFB"/>
    <w:rsid w:val="004E1F9A"/>
    <w:rsid w:val="004E1FE2"/>
    <w:rsid w:val="004E2030"/>
    <w:rsid w:val="004E2053"/>
    <w:rsid w:val="004E2125"/>
    <w:rsid w:val="004E21E4"/>
    <w:rsid w:val="004E21FB"/>
    <w:rsid w:val="004E220D"/>
    <w:rsid w:val="004E2270"/>
    <w:rsid w:val="004E234D"/>
    <w:rsid w:val="004E23DD"/>
    <w:rsid w:val="004E24F9"/>
    <w:rsid w:val="004E263C"/>
    <w:rsid w:val="004E264E"/>
    <w:rsid w:val="004E2736"/>
    <w:rsid w:val="004E2796"/>
    <w:rsid w:val="004E2865"/>
    <w:rsid w:val="004E287F"/>
    <w:rsid w:val="004E2905"/>
    <w:rsid w:val="004E29DA"/>
    <w:rsid w:val="004E2A1F"/>
    <w:rsid w:val="004E2B4C"/>
    <w:rsid w:val="004E2B52"/>
    <w:rsid w:val="004E2B7C"/>
    <w:rsid w:val="004E2BD6"/>
    <w:rsid w:val="004E2BDA"/>
    <w:rsid w:val="004E2CB2"/>
    <w:rsid w:val="004E2CEB"/>
    <w:rsid w:val="004E2D02"/>
    <w:rsid w:val="004E2D24"/>
    <w:rsid w:val="004E2D9A"/>
    <w:rsid w:val="004E2E2C"/>
    <w:rsid w:val="004E2E8F"/>
    <w:rsid w:val="004E2EA9"/>
    <w:rsid w:val="004E2FC7"/>
    <w:rsid w:val="004E30BF"/>
    <w:rsid w:val="004E30C3"/>
    <w:rsid w:val="004E30C5"/>
    <w:rsid w:val="004E30EF"/>
    <w:rsid w:val="004E3156"/>
    <w:rsid w:val="004E31BA"/>
    <w:rsid w:val="004E3367"/>
    <w:rsid w:val="004E33A6"/>
    <w:rsid w:val="004E3431"/>
    <w:rsid w:val="004E34C6"/>
    <w:rsid w:val="004E35CD"/>
    <w:rsid w:val="004E35FB"/>
    <w:rsid w:val="004E360D"/>
    <w:rsid w:val="004E363F"/>
    <w:rsid w:val="004E36A5"/>
    <w:rsid w:val="004E37D6"/>
    <w:rsid w:val="004E3862"/>
    <w:rsid w:val="004E38D6"/>
    <w:rsid w:val="004E39B7"/>
    <w:rsid w:val="004E3AB3"/>
    <w:rsid w:val="004E3B02"/>
    <w:rsid w:val="004E3BEF"/>
    <w:rsid w:val="004E3C2E"/>
    <w:rsid w:val="004E3C79"/>
    <w:rsid w:val="004E3DD8"/>
    <w:rsid w:val="004E3E59"/>
    <w:rsid w:val="004E3E5A"/>
    <w:rsid w:val="004E3FBE"/>
    <w:rsid w:val="004E3FDC"/>
    <w:rsid w:val="004E403E"/>
    <w:rsid w:val="004E405F"/>
    <w:rsid w:val="004E4072"/>
    <w:rsid w:val="004E40B0"/>
    <w:rsid w:val="004E44A3"/>
    <w:rsid w:val="004E4595"/>
    <w:rsid w:val="004E463A"/>
    <w:rsid w:val="004E478A"/>
    <w:rsid w:val="004E47D7"/>
    <w:rsid w:val="004E485D"/>
    <w:rsid w:val="004E489A"/>
    <w:rsid w:val="004E48AE"/>
    <w:rsid w:val="004E49E9"/>
    <w:rsid w:val="004E4A3A"/>
    <w:rsid w:val="004E4A4A"/>
    <w:rsid w:val="004E4CCB"/>
    <w:rsid w:val="004E4DC1"/>
    <w:rsid w:val="004E4E5C"/>
    <w:rsid w:val="004E4E9A"/>
    <w:rsid w:val="004E5031"/>
    <w:rsid w:val="004E5062"/>
    <w:rsid w:val="004E50DB"/>
    <w:rsid w:val="004E5116"/>
    <w:rsid w:val="004E51EA"/>
    <w:rsid w:val="004E51FB"/>
    <w:rsid w:val="004E5250"/>
    <w:rsid w:val="004E52FD"/>
    <w:rsid w:val="004E5329"/>
    <w:rsid w:val="004E53B9"/>
    <w:rsid w:val="004E53DF"/>
    <w:rsid w:val="004E5400"/>
    <w:rsid w:val="004E546D"/>
    <w:rsid w:val="004E56D2"/>
    <w:rsid w:val="004E5779"/>
    <w:rsid w:val="004E57C9"/>
    <w:rsid w:val="004E584A"/>
    <w:rsid w:val="004E591E"/>
    <w:rsid w:val="004E5972"/>
    <w:rsid w:val="004E5977"/>
    <w:rsid w:val="004E5978"/>
    <w:rsid w:val="004E59FA"/>
    <w:rsid w:val="004E5A0D"/>
    <w:rsid w:val="004E5A8B"/>
    <w:rsid w:val="004E5ACB"/>
    <w:rsid w:val="004E5B1E"/>
    <w:rsid w:val="004E5B2C"/>
    <w:rsid w:val="004E5CA5"/>
    <w:rsid w:val="004E5CF5"/>
    <w:rsid w:val="004E5D9F"/>
    <w:rsid w:val="004E5F33"/>
    <w:rsid w:val="004E5FC5"/>
    <w:rsid w:val="004E60FD"/>
    <w:rsid w:val="004E6153"/>
    <w:rsid w:val="004E615D"/>
    <w:rsid w:val="004E61BF"/>
    <w:rsid w:val="004E62D0"/>
    <w:rsid w:val="004E6361"/>
    <w:rsid w:val="004E641E"/>
    <w:rsid w:val="004E654F"/>
    <w:rsid w:val="004E662C"/>
    <w:rsid w:val="004E66C9"/>
    <w:rsid w:val="004E67AF"/>
    <w:rsid w:val="004E6827"/>
    <w:rsid w:val="004E689A"/>
    <w:rsid w:val="004E691A"/>
    <w:rsid w:val="004E6A12"/>
    <w:rsid w:val="004E6AC4"/>
    <w:rsid w:val="004E6ADD"/>
    <w:rsid w:val="004E6C2F"/>
    <w:rsid w:val="004E6C73"/>
    <w:rsid w:val="004E6D90"/>
    <w:rsid w:val="004E6F04"/>
    <w:rsid w:val="004E6F69"/>
    <w:rsid w:val="004E6FF0"/>
    <w:rsid w:val="004E703E"/>
    <w:rsid w:val="004E7046"/>
    <w:rsid w:val="004E712D"/>
    <w:rsid w:val="004E71C4"/>
    <w:rsid w:val="004E74FE"/>
    <w:rsid w:val="004E751E"/>
    <w:rsid w:val="004E7533"/>
    <w:rsid w:val="004E76E6"/>
    <w:rsid w:val="004E7707"/>
    <w:rsid w:val="004E772C"/>
    <w:rsid w:val="004E77E1"/>
    <w:rsid w:val="004E7803"/>
    <w:rsid w:val="004E781B"/>
    <w:rsid w:val="004E7871"/>
    <w:rsid w:val="004E7880"/>
    <w:rsid w:val="004E78DD"/>
    <w:rsid w:val="004E79C4"/>
    <w:rsid w:val="004E79F7"/>
    <w:rsid w:val="004E7A44"/>
    <w:rsid w:val="004E7A5D"/>
    <w:rsid w:val="004E7C10"/>
    <w:rsid w:val="004E7C1B"/>
    <w:rsid w:val="004E7CBE"/>
    <w:rsid w:val="004E7E90"/>
    <w:rsid w:val="004E7EBD"/>
    <w:rsid w:val="004E7F05"/>
    <w:rsid w:val="004E7F98"/>
    <w:rsid w:val="004E7F99"/>
    <w:rsid w:val="004E7FC4"/>
    <w:rsid w:val="004E7FF2"/>
    <w:rsid w:val="004F00D1"/>
    <w:rsid w:val="004F0185"/>
    <w:rsid w:val="004F01F1"/>
    <w:rsid w:val="004F026D"/>
    <w:rsid w:val="004F029C"/>
    <w:rsid w:val="004F032F"/>
    <w:rsid w:val="004F038A"/>
    <w:rsid w:val="004F042D"/>
    <w:rsid w:val="004F0587"/>
    <w:rsid w:val="004F05A9"/>
    <w:rsid w:val="004F0642"/>
    <w:rsid w:val="004F0657"/>
    <w:rsid w:val="004F07F1"/>
    <w:rsid w:val="004F082F"/>
    <w:rsid w:val="004F0887"/>
    <w:rsid w:val="004F0974"/>
    <w:rsid w:val="004F0A3B"/>
    <w:rsid w:val="004F0BFC"/>
    <w:rsid w:val="004F0BFD"/>
    <w:rsid w:val="004F0C36"/>
    <w:rsid w:val="004F0C37"/>
    <w:rsid w:val="004F0CC5"/>
    <w:rsid w:val="004F0E2D"/>
    <w:rsid w:val="004F1003"/>
    <w:rsid w:val="004F101C"/>
    <w:rsid w:val="004F1056"/>
    <w:rsid w:val="004F10A7"/>
    <w:rsid w:val="004F120F"/>
    <w:rsid w:val="004F1267"/>
    <w:rsid w:val="004F12AE"/>
    <w:rsid w:val="004F134D"/>
    <w:rsid w:val="004F13CB"/>
    <w:rsid w:val="004F1597"/>
    <w:rsid w:val="004F1658"/>
    <w:rsid w:val="004F165F"/>
    <w:rsid w:val="004F1692"/>
    <w:rsid w:val="004F1795"/>
    <w:rsid w:val="004F179C"/>
    <w:rsid w:val="004F1801"/>
    <w:rsid w:val="004F182A"/>
    <w:rsid w:val="004F183C"/>
    <w:rsid w:val="004F19E9"/>
    <w:rsid w:val="004F1B26"/>
    <w:rsid w:val="004F1B6A"/>
    <w:rsid w:val="004F1C41"/>
    <w:rsid w:val="004F1D24"/>
    <w:rsid w:val="004F1D31"/>
    <w:rsid w:val="004F1E28"/>
    <w:rsid w:val="004F2206"/>
    <w:rsid w:val="004F22E2"/>
    <w:rsid w:val="004F231E"/>
    <w:rsid w:val="004F2438"/>
    <w:rsid w:val="004F2441"/>
    <w:rsid w:val="004F265F"/>
    <w:rsid w:val="004F267A"/>
    <w:rsid w:val="004F268A"/>
    <w:rsid w:val="004F26A1"/>
    <w:rsid w:val="004F271D"/>
    <w:rsid w:val="004F2834"/>
    <w:rsid w:val="004F28F0"/>
    <w:rsid w:val="004F291D"/>
    <w:rsid w:val="004F295B"/>
    <w:rsid w:val="004F29C0"/>
    <w:rsid w:val="004F29D3"/>
    <w:rsid w:val="004F2A1B"/>
    <w:rsid w:val="004F2A28"/>
    <w:rsid w:val="004F2A50"/>
    <w:rsid w:val="004F2A5A"/>
    <w:rsid w:val="004F2B04"/>
    <w:rsid w:val="004F2B97"/>
    <w:rsid w:val="004F2C35"/>
    <w:rsid w:val="004F2D41"/>
    <w:rsid w:val="004F2D4F"/>
    <w:rsid w:val="004F2DF1"/>
    <w:rsid w:val="004F2E70"/>
    <w:rsid w:val="004F2F3F"/>
    <w:rsid w:val="004F2F6A"/>
    <w:rsid w:val="004F2F80"/>
    <w:rsid w:val="004F2FB6"/>
    <w:rsid w:val="004F3005"/>
    <w:rsid w:val="004F3157"/>
    <w:rsid w:val="004F316D"/>
    <w:rsid w:val="004F3177"/>
    <w:rsid w:val="004F3184"/>
    <w:rsid w:val="004F31E3"/>
    <w:rsid w:val="004F3252"/>
    <w:rsid w:val="004F326D"/>
    <w:rsid w:val="004F3289"/>
    <w:rsid w:val="004F331C"/>
    <w:rsid w:val="004F3431"/>
    <w:rsid w:val="004F3453"/>
    <w:rsid w:val="004F346A"/>
    <w:rsid w:val="004F375A"/>
    <w:rsid w:val="004F37FA"/>
    <w:rsid w:val="004F39B0"/>
    <w:rsid w:val="004F3A86"/>
    <w:rsid w:val="004F3B0C"/>
    <w:rsid w:val="004F3CB1"/>
    <w:rsid w:val="004F3EC5"/>
    <w:rsid w:val="004F3EFB"/>
    <w:rsid w:val="004F4061"/>
    <w:rsid w:val="004F406A"/>
    <w:rsid w:val="004F40C8"/>
    <w:rsid w:val="004F413C"/>
    <w:rsid w:val="004F4194"/>
    <w:rsid w:val="004F424F"/>
    <w:rsid w:val="004F4286"/>
    <w:rsid w:val="004F4390"/>
    <w:rsid w:val="004F4414"/>
    <w:rsid w:val="004F44D3"/>
    <w:rsid w:val="004F45F9"/>
    <w:rsid w:val="004F46E7"/>
    <w:rsid w:val="004F48B2"/>
    <w:rsid w:val="004F4943"/>
    <w:rsid w:val="004F498C"/>
    <w:rsid w:val="004F4ACB"/>
    <w:rsid w:val="004F4C67"/>
    <w:rsid w:val="004F4CC3"/>
    <w:rsid w:val="004F4D9E"/>
    <w:rsid w:val="004F4E52"/>
    <w:rsid w:val="004F4FE3"/>
    <w:rsid w:val="004F5080"/>
    <w:rsid w:val="004F518D"/>
    <w:rsid w:val="004F535D"/>
    <w:rsid w:val="004F537D"/>
    <w:rsid w:val="004F5644"/>
    <w:rsid w:val="004F5673"/>
    <w:rsid w:val="004F56BF"/>
    <w:rsid w:val="004F572B"/>
    <w:rsid w:val="004F5771"/>
    <w:rsid w:val="004F57D2"/>
    <w:rsid w:val="004F57DF"/>
    <w:rsid w:val="004F58FD"/>
    <w:rsid w:val="004F59AD"/>
    <w:rsid w:val="004F5A0B"/>
    <w:rsid w:val="004F5A9E"/>
    <w:rsid w:val="004F5BA2"/>
    <w:rsid w:val="004F5BC2"/>
    <w:rsid w:val="004F5BCD"/>
    <w:rsid w:val="004F5BD6"/>
    <w:rsid w:val="004F5D09"/>
    <w:rsid w:val="004F5D58"/>
    <w:rsid w:val="004F5D67"/>
    <w:rsid w:val="004F5E23"/>
    <w:rsid w:val="004F6003"/>
    <w:rsid w:val="004F6055"/>
    <w:rsid w:val="004F6190"/>
    <w:rsid w:val="004F62EC"/>
    <w:rsid w:val="004F6343"/>
    <w:rsid w:val="004F63AC"/>
    <w:rsid w:val="004F6413"/>
    <w:rsid w:val="004F6A95"/>
    <w:rsid w:val="004F6AD3"/>
    <w:rsid w:val="004F6B7A"/>
    <w:rsid w:val="004F6B80"/>
    <w:rsid w:val="004F6BDB"/>
    <w:rsid w:val="004F6CEF"/>
    <w:rsid w:val="004F6DDB"/>
    <w:rsid w:val="004F6DFF"/>
    <w:rsid w:val="004F6E24"/>
    <w:rsid w:val="004F6F6F"/>
    <w:rsid w:val="004F6FEB"/>
    <w:rsid w:val="004F718E"/>
    <w:rsid w:val="004F719F"/>
    <w:rsid w:val="004F7260"/>
    <w:rsid w:val="004F731C"/>
    <w:rsid w:val="004F74C7"/>
    <w:rsid w:val="004F756B"/>
    <w:rsid w:val="004F76DB"/>
    <w:rsid w:val="004F77AB"/>
    <w:rsid w:val="004F77D0"/>
    <w:rsid w:val="004F7910"/>
    <w:rsid w:val="004F797C"/>
    <w:rsid w:val="004F7F1E"/>
    <w:rsid w:val="004F7F52"/>
    <w:rsid w:val="004F7FCE"/>
    <w:rsid w:val="004F7FD9"/>
    <w:rsid w:val="00500040"/>
    <w:rsid w:val="00500051"/>
    <w:rsid w:val="005000A9"/>
    <w:rsid w:val="005000CA"/>
    <w:rsid w:val="005000E3"/>
    <w:rsid w:val="00500136"/>
    <w:rsid w:val="00500176"/>
    <w:rsid w:val="0050042F"/>
    <w:rsid w:val="005004A0"/>
    <w:rsid w:val="005004BB"/>
    <w:rsid w:val="005004C5"/>
    <w:rsid w:val="00500541"/>
    <w:rsid w:val="005007B0"/>
    <w:rsid w:val="00500876"/>
    <w:rsid w:val="0050089C"/>
    <w:rsid w:val="00500908"/>
    <w:rsid w:val="00500A1F"/>
    <w:rsid w:val="00500AD1"/>
    <w:rsid w:val="00500B19"/>
    <w:rsid w:val="00500BAB"/>
    <w:rsid w:val="00500BBF"/>
    <w:rsid w:val="00500C39"/>
    <w:rsid w:val="00500C8A"/>
    <w:rsid w:val="00500CCF"/>
    <w:rsid w:val="00500CD6"/>
    <w:rsid w:val="00500D77"/>
    <w:rsid w:val="00500F96"/>
    <w:rsid w:val="00501055"/>
    <w:rsid w:val="005010B9"/>
    <w:rsid w:val="005010F7"/>
    <w:rsid w:val="0050114F"/>
    <w:rsid w:val="0050115F"/>
    <w:rsid w:val="00501264"/>
    <w:rsid w:val="005012AF"/>
    <w:rsid w:val="00501386"/>
    <w:rsid w:val="0050141F"/>
    <w:rsid w:val="0050151D"/>
    <w:rsid w:val="005015D7"/>
    <w:rsid w:val="005016D5"/>
    <w:rsid w:val="005016F5"/>
    <w:rsid w:val="00501950"/>
    <w:rsid w:val="005019B3"/>
    <w:rsid w:val="00501AB6"/>
    <w:rsid w:val="00501BD9"/>
    <w:rsid w:val="00501C25"/>
    <w:rsid w:val="00501C54"/>
    <w:rsid w:val="00501D71"/>
    <w:rsid w:val="00501E0E"/>
    <w:rsid w:val="00501E55"/>
    <w:rsid w:val="00501FBA"/>
    <w:rsid w:val="0050200F"/>
    <w:rsid w:val="00502182"/>
    <w:rsid w:val="005021C1"/>
    <w:rsid w:val="005021C9"/>
    <w:rsid w:val="0050222F"/>
    <w:rsid w:val="005022BE"/>
    <w:rsid w:val="005022D9"/>
    <w:rsid w:val="00502332"/>
    <w:rsid w:val="00502472"/>
    <w:rsid w:val="00502479"/>
    <w:rsid w:val="00502589"/>
    <w:rsid w:val="005025A9"/>
    <w:rsid w:val="005026D8"/>
    <w:rsid w:val="005027A6"/>
    <w:rsid w:val="00502868"/>
    <w:rsid w:val="0050296B"/>
    <w:rsid w:val="00502A22"/>
    <w:rsid w:val="00502A84"/>
    <w:rsid w:val="00502AA2"/>
    <w:rsid w:val="00502B29"/>
    <w:rsid w:val="00502B6F"/>
    <w:rsid w:val="00502BF9"/>
    <w:rsid w:val="00502C9B"/>
    <w:rsid w:val="00502CE2"/>
    <w:rsid w:val="00502CE3"/>
    <w:rsid w:val="00502D42"/>
    <w:rsid w:val="00502D53"/>
    <w:rsid w:val="00502D5A"/>
    <w:rsid w:val="00502D60"/>
    <w:rsid w:val="00502D97"/>
    <w:rsid w:val="00502DAE"/>
    <w:rsid w:val="00502E97"/>
    <w:rsid w:val="00502FFB"/>
    <w:rsid w:val="005030DE"/>
    <w:rsid w:val="00503141"/>
    <w:rsid w:val="005031B3"/>
    <w:rsid w:val="00503324"/>
    <w:rsid w:val="0050336C"/>
    <w:rsid w:val="005036AE"/>
    <w:rsid w:val="005036C7"/>
    <w:rsid w:val="005036F4"/>
    <w:rsid w:val="005037F8"/>
    <w:rsid w:val="00503870"/>
    <w:rsid w:val="005038A0"/>
    <w:rsid w:val="005038FA"/>
    <w:rsid w:val="005038FB"/>
    <w:rsid w:val="00503972"/>
    <w:rsid w:val="0050398A"/>
    <w:rsid w:val="00503A7C"/>
    <w:rsid w:val="00503B64"/>
    <w:rsid w:val="00503C33"/>
    <w:rsid w:val="00503C44"/>
    <w:rsid w:val="00503CE3"/>
    <w:rsid w:val="00503D9C"/>
    <w:rsid w:val="00503E1C"/>
    <w:rsid w:val="00503E21"/>
    <w:rsid w:val="00503F26"/>
    <w:rsid w:val="00503F45"/>
    <w:rsid w:val="0050412F"/>
    <w:rsid w:val="005042ED"/>
    <w:rsid w:val="00504305"/>
    <w:rsid w:val="0050430D"/>
    <w:rsid w:val="00504503"/>
    <w:rsid w:val="00504513"/>
    <w:rsid w:val="00504708"/>
    <w:rsid w:val="0050486A"/>
    <w:rsid w:val="005048C5"/>
    <w:rsid w:val="0050494B"/>
    <w:rsid w:val="00504994"/>
    <w:rsid w:val="0050499D"/>
    <w:rsid w:val="005049AE"/>
    <w:rsid w:val="00504A0E"/>
    <w:rsid w:val="00504A1E"/>
    <w:rsid w:val="00504A60"/>
    <w:rsid w:val="00504A73"/>
    <w:rsid w:val="00504A82"/>
    <w:rsid w:val="00504A9B"/>
    <w:rsid w:val="00504ADB"/>
    <w:rsid w:val="00504B30"/>
    <w:rsid w:val="00504BA4"/>
    <w:rsid w:val="00504DDF"/>
    <w:rsid w:val="00504EB6"/>
    <w:rsid w:val="00504F54"/>
    <w:rsid w:val="00504F5A"/>
    <w:rsid w:val="005050B2"/>
    <w:rsid w:val="005051A4"/>
    <w:rsid w:val="005052AC"/>
    <w:rsid w:val="0050537B"/>
    <w:rsid w:val="005053DF"/>
    <w:rsid w:val="0050543B"/>
    <w:rsid w:val="005054D2"/>
    <w:rsid w:val="00505705"/>
    <w:rsid w:val="00505814"/>
    <w:rsid w:val="0050587C"/>
    <w:rsid w:val="005058B9"/>
    <w:rsid w:val="00505A6B"/>
    <w:rsid w:val="00505CBC"/>
    <w:rsid w:val="00505D10"/>
    <w:rsid w:val="00505D82"/>
    <w:rsid w:val="00505E19"/>
    <w:rsid w:val="00505EB4"/>
    <w:rsid w:val="005060D8"/>
    <w:rsid w:val="0050635B"/>
    <w:rsid w:val="0050635D"/>
    <w:rsid w:val="0050642A"/>
    <w:rsid w:val="00506503"/>
    <w:rsid w:val="005065D1"/>
    <w:rsid w:val="005065F4"/>
    <w:rsid w:val="00506611"/>
    <w:rsid w:val="00506664"/>
    <w:rsid w:val="005067EB"/>
    <w:rsid w:val="00506825"/>
    <w:rsid w:val="00506830"/>
    <w:rsid w:val="005068E9"/>
    <w:rsid w:val="00506907"/>
    <w:rsid w:val="00506971"/>
    <w:rsid w:val="005069C4"/>
    <w:rsid w:val="005069D4"/>
    <w:rsid w:val="005069ED"/>
    <w:rsid w:val="00506A54"/>
    <w:rsid w:val="00506AB5"/>
    <w:rsid w:val="00506B41"/>
    <w:rsid w:val="00506BC2"/>
    <w:rsid w:val="00506C79"/>
    <w:rsid w:val="00506DEB"/>
    <w:rsid w:val="00506E8B"/>
    <w:rsid w:val="00506F0D"/>
    <w:rsid w:val="00506FE5"/>
    <w:rsid w:val="0050708F"/>
    <w:rsid w:val="005070FB"/>
    <w:rsid w:val="005071B0"/>
    <w:rsid w:val="00507211"/>
    <w:rsid w:val="00507304"/>
    <w:rsid w:val="00507358"/>
    <w:rsid w:val="005073BA"/>
    <w:rsid w:val="00507417"/>
    <w:rsid w:val="00507513"/>
    <w:rsid w:val="0050763E"/>
    <w:rsid w:val="005078F6"/>
    <w:rsid w:val="00507981"/>
    <w:rsid w:val="005079C4"/>
    <w:rsid w:val="00507A63"/>
    <w:rsid w:val="00507A98"/>
    <w:rsid w:val="00507D51"/>
    <w:rsid w:val="00507D8A"/>
    <w:rsid w:val="00507ED4"/>
    <w:rsid w:val="0051004E"/>
    <w:rsid w:val="0051014F"/>
    <w:rsid w:val="005101D0"/>
    <w:rsid w:val="005101F3"/>
    <w:rsid w:val="0051025A"/>
    <w:rsid w:val="00510302"/>
    <w:rsid w:val="00510390"/>
    <w:rsid w:val="005103C5"/>
    <w:rsid w:val="005104B4"/>
    <w:rsid w:val="00510594"/>
    <w:rsid w:val="0051069D"/>
    <w:rsid w:val="005106CA"/>
    <w:rsid w:val="005106F5"/>
    <w:rsid w:val="00510802"/>
    <w:rsid w:val="00510D2E"/>
    <w:rsid w:val="00510D32"/>
    <w:rsid w:val="00510D3B"/>
    <w:rsid w:val="00510E62"/>
    <w:rsid w:val="00510E9E"/>
    <w:rsid w:val="00510F4F"/>
    <w:rsid w:val="00510F5B"/>
    <w:rsid w:val="00510F9F"/>
    <w:rsid w:val="00511012"/>
    <w:rsid w:val="00511105"/>
    <w:rsid w:val="00511177"/>
    <w:rsid w:val="005112D2"/>
    <w:rsid w:val="0051132A"/>
    <w:rsid w:val="0051138D"/>
    <w:rsid w:val="005114C2"/>
    <w:rsid w:val="00511632"/>
    <w:rsid w:val="00511763"/>
    <w:rsid w:val="00511940"/>
    <w:rsid w:val="0051194E"/>
    <w:rsid w:val="00511A44"/>
    <w:rsid w:val="00511E66"/>
    <w:rsid w:val="00511EF1"/>
    <w:rsid w:val="00511F64"/>
    <w:rsid w:val="00512117"/>
    <w:rsid w:val="005121A7"/>
    <w:rsid w:val="00512210"/>
    <w:rsid w:val="0051226C"/>
    <w:rsid w:val="00512294"/>
    <w:rsid w:val="005122D2"/>
    <w:rsid w:val="0051242C"/>
    <w:rsid w:val="005125A0"/>
    <w:rsid w:val="005125FE"/>
    <w:rsid w:val="0051274E"/>
    <w:rsid w:val="00512773"/>
    <w:rsid w:val="005127A5"/>
    <w:rsid w:val="005128EB"/>
    <w:rsid w:val="005129DB"/>
    <w:rsid w:val="00512B1A"/>
    <w:rsid w:val="00512B61"/>
    <w:rsid w:val="00512BE2"/>
    <w:rsid w:val="00512D04"/>
    <w:rsid w:val="00512D2B"/>
    <w:rsid w:val="00512DA9"/>
    <w:rsid w:val="00512DCF"/>
    <w:rsid w:val="00512EA2"/>
    <w:rsid w:val="00512FB1"/>
    <w:rsid w:val="005130A8"/>
    <w:rsid w:val="00513120"/>
    <w:rsid w:val="005131D3"/>
    <w:rsid w:val="005132A6"/>
    <w:rsid w:val="00513353"/>
    <w:rsid w:val="0051352C"/>
    <w:rsid w:val="0051355E"/>
    <w:rsid w:val="00513571"/>
    <w:rsid w:val="00513745"/>
    <w:rsid w:val="00513779"/>
    <w:rsid w:val="005139D4"/>
    <w:rsid w:val="005139D8"/>
    <w:rsid w:val="00513A41"/>
    <w:rsid w:val="00513A64"/>
    <w:rsid w:val="00513ADE"/>
    <w:rsid w:val="00513AF9"/>
    <w:rsid w:val="00513BD7"/>
    <w:rsid w:val="00513CAF"/>
    <w:rsid w:val="00513CDE"/>
    <w:rsid w:val="00513D03"/>
    <w:rsid w:val="00513D3D"/>
    <w:rsid w:val="00513EA5"/>
    <w:rsid w:val="00514083"/>
    <w:rsid w:val="005141BC"/>
    <w:rsid w:val="005141E5"/>
    <w:rsid w:val="005141EC"/>
    <w:rsid w:val="0051454F"/>
    <w:rsid w:val="00514559"/>
    <w:rsid w:val="00514623"/>
    <w:rsid w:val="00514654"/>
    <w:rsid w:val="00514723"/>
    <w:rsid w:val="0051479B"/>
    <w:rsid w:val="00514848"/>
    <w:rsid w:val="00514886"/>
    <w:rsid w:val="00514987"/>
    <w:rsid w:val="00514A1D"/>
    <w:rsid w:val="00514AAF"/>
    <w:rsid w:val="00514B05"/>
    <w:rsid w:val="00514BA8"/>
    <w:rsid w:val="00514BFB"/>
    <w:rsid w:val="00514C3B"/>
    <w:rsid w:val="00514E4A"/>
    <w:rsid w:val="00514E59"/>
    <w:rsid w:val="00514EC8"/>
    <w:rsid w:val="00514EEF"/>
    <w:rsid w:val="00514FC2"/>
    <w:rsid w:val="0051504F"/>
    <w:rsid w:val="005150EF"/>
    <w:rsid w:val="005150FB"/>
    <w:rsid w:val="0051518F"/>
    <w:rsid w:val="005152AE"/>
    <w:rsid w:val="00515354"/>
    <w:rsid w:val="00515403"/>
    <w:rsid w:val="00515405"/>
    <w:rsid w:val="0051545D"/>
    <w:rsid w:val="00515507"/>
    <w:rsid w:val="00515529"/>
    <w:rsid w:val="00515583"/>
    <w:rsid w:val="00515780"/>
    <w:rsid w:val="00515785"/>
    <w:rsid w:val="005157F1"/>
    <w:rsid w:val="00515A57"/>
    <w:rsid w:val="00515AE1"/>
    <w:rsid w:val="00515B6D"/>
    <w:rsid w:val="00515BCB"/>
    <w:rsid w:val="00515BFA"/>
    <w:rsid w:val="00515C0C"/>
    <w:rsid w:val="00515D68"/>
    <w:rsid w:val="00515DF9"/>
    <w:rsid w:val="00515E73"/>
    <w:rsid w:val="00515FA3"/>
    <w:rsid w:val="00515FEB"/>
    <w:rsid w:val="005160A2"/>
    <w:rsid w:val="00516123"/>
    <w:rsid w:val="00516187"/>
    <w:rsid w:val="0051627D"/>
    <w:rsid w:val="005162B6"/>
    <w:rsid w:val="005163B4"/>
    <w:rsid w:val="0051667B"/>
    <w:rsid w:val="005166DE"/>
    <w:rsid w:val="00516708"/>
    <w:rsid w:val="00516780"/>
    <w:rsid w:val="0051688D"/>
    <w:rsid w:val="005168FF"/>
    <w:rsid w:val="0051693F"/>
    <w:rsid w:val="00516971"/>
    <w:rsid w:val="0051697D"/>
    <w:rsid w:val="005169A6"/>
    <w:rsid w:val="00516A9C"/>
    <w:rsid w:val="00516BB7"/>
    <w:rsid w:val="00516BFD"/>
    <w:rsid w:val="00516C29"/>
    <w:rsid w:val="00516C99"/>
    <w:rsid w:val="00516D50"/>
    <w:rsid w:val="00516F1A"/>
    <w:rsid w:val="00516F6D"/>
    <w:rsid w:val="00516FD1"/>
    <w:rsid w:val="005170D4"/>
    <w:rsid w:val="00517225"/>
    <w:rsid w:val="005172B7"/>
    <w:rsid w:val="0051739A"/>
    <w:rsid w:val="005173A1"/>
    <w:rsid w:val="0051757C"/>
    <w:rsid w:val="005175E6"/>
    <w:rsid w:val="00517606"/>
    <w:rsid w:val="00517835"/>
    <w:rsid w:val="005178FB"/>
    <w:rsid w:val="005179D0"/>
    <w:rsid w:val="00517A86"/>
    <w:rsid w:val="00517AB1"/>
    <w:rsid w:val="00517AF5"/>
    <w:rsid w:val="00517B32"/>
    <w:rsid w:val="00517BDC"/>
    <w:rsid w:val="00517C81"/>
    <w:rsid w:val="00517D2C"/>
    <w:rsid w:val="00517DCB"/>
    <w:rsid w:val="00517EFE"/>
    <w:rsid w:val="00517F18"/>
    <w:rsid w:val="00517FD5"/>
    <w:rsid w:val="0052001E"/>
    <w:rsid w:val="00520023"/>
    <w:rsid w:val="00520135"/>
    <w:rsid w:val="005201C0"/>
    <w:rsid w:val="005201CA"/>
    <w:rsid w:val="00520269"/>
    <w:rsid w:val="005202CD"/>
    <w:rsid w:val="005203F3"/>
    <w:rsid w:val="005204CB"/>
    <w:rsid w:val="00520543"/>
    <w:rsid w:val="005205A9"/>
    <w:rsid w:val="005205CE"/>
    <w:rsid w:val="005205F1"/>
    <w:rsid w:val="005206B8"/>
    <w:rsid w:val="005207C2"/>
    <w:rsid w:val="00520964"/>
    <w:rsid w:val="005209BB"/>
    <w:rsid w:val="00520A34"/>
    <w:rsid w:val="00520B06"/>
    <w:rsid w:val="00520C02"/>
    <w:rsid w:val="00520C71"/>
    <w:rsid w:val="00520D89"/>
    <w:rsid w:val="00520F3C"/>
    <w:rsid w:val="00521088"/>
    <w:rsid w:val="00521105"/>
    <w:rsid w:val="005211AA"/>
    <w:rsid w:val="005213A9"/>
    <w:rsid w:val="0052159A"/>
    <w:rsid w:val="0052167B"/>
    <w:rsid w:val="0052172A"/>
    <w:rsid w:val="00521850"/>
    <w:rsid w:val="00521897"/>
    <w:rsid w:val="005218CF"/>
    <w:rsid w:val="00521A11"/>
    <w:rsid w:val="00521B0B"/>
    <w:rsid w:val="00521B10"/>
    <w:rsid w:val="00521BF8"/>
    <w:rsid w:val="00521D0A"/>
    <w:rsid w:val="00521E97"/>
    <w:rsid w:val="00521F39"/>
    <w:rsid w:val="00522047"/>
    <w:rsid w:val="0052206B"/>
    <w:rsid w:val="0052220B"/>
    <w:rsid w:val="005222A8"/>
    <w:rsid w:val="00522352"/>
    <w:rsid w:val="0052238A"/>
    <w:rsid w:val="005226C8"/>
    <w:rsid w:val="00522705"/>
    <w:rsid w:val="00522856"/>
    <w:rsid w:val="00522961"/>
    <w:rsid w:val="005229A8"/>
    <w:rsid w:val="005229B2"/>
    <w:rsid w:val="00522ADA"/>
    <w:rsid w:val="00522B7C"/>
    <w:rsid w:val="00522BBA"/>
    <w:rsid w:val="00522D91"/>
    <w:rsid w:val="00522DC8"/>
    <w:rsid w:val="00522EBF"/>
    <w:rsid w:val="00522EE4"/>
    <w:rsid w:val="00523016"/>
    <w:rsid w:val="00523232"/>
    <w:rsid w:val="0052326A"/>
    <w:rsid w:val="00523284"/>
    <w:rsid w:val="005232F6"/>
    <w:rsid w:val="0052334F"/>
    <w:rsid w:val="00523418"/>
    <w:rsid w:val="00523439"/>
    <w:rsid w:val="0052349D"/>
    <w:rsid w:val="005234E1"/>
    <w:rsid w:val="005234F4"/>
    <w:rsid w:val="00523538"/>
    <w:rsid w:val="0052358B"/>
    <w:rsid w:val="005235C2"/>
    <w:rsid w:val="0052370E"/>
    <w:rsid w:val="00523838"/>
    <w:rsid w:val="005238E2"/>
    <w:rsid w:val="0052392F"/>
    <w:rsid w:val="005239AA"/>
    <w:rsid w:val="00523D95"/>
    <w:rsid w:val="00523E1C"/>
    <w:rsid w:val="00523EE2"/>
    <w:rsid w:val="00523FE2"/>
    <w:rsid w:val="00524087"/>
    <w:rsid w:val="0052410D"/>
    <w:rsid w:val="00524161"/>
    <w:rsid w:val="005241A5"/>
    <w:rsid w:val="00524333"/>
    <w:rsid w:val="00524351"/>
    <w:rsid w:val="00524468"/>
    <w:rsid w:val="005244A5"/>
    <w:rsid w:val="00524615"/>
    <w:rsid w:val="00524645"/>
    <w:rsid w:val="005247C3"/>
    <w:rsid w:val="005247F0"/>
    <w:rsid w:val="00524878"/>
    <w:rsid w:val="00524995"/>
    <w:rsid w:val="005249C5"/>
    <w:rsid w:val="00524AC3"/>
    <w:rsid w:val="00524B30"/>
    <w:rsid w:val="00524B3C"/>
    <w:rsid w:val="00524B6F"/>
    <w:rsid w:val="00524BDD"/>
    <w:rsid w:val="00524BE8"/>
    <w:rsid w:val="00524CD0"/>
    <w:rsid w:val="00524D26"/>
    <w:rsid w:val="00524D4A"/>
    <w:rsid w:val="00524F23"/>
    <w:rsid w:val="00524F3E"/>
    <w:rsid w:val="00524FEA"/>
    <w:rsid w:val="0052500D"/>
    <w:rsid w:val="00525055"/>
    <w:rsid w:val="00525112"/>
    <w:rsid w:val="00525166"/>
    <w:rsid w:val="005251B1"/>
    <w:rsid w:val="00525208"/>
    <w:rsid w:val="00525287"/>
    <w:rsid w:val="005252DE"/>
    <w:rsid w:val="005253A1"/>
    <w:rsid w:val="00525401"/>
    <w:rsid w:val="0052542A"/>
    <w:rsid w:val="0052542D"/>
    <w:rsid w:val="005254FC"/>
    <w:rsid w:val="00525599"/>
    <w:rsid w:val="005255C3"/>
    <w:rsid w:val="0052575D"/>
    <w:rsid w:val="005257D9"/>
    <w:rsid w:val="005257E4"/>
    <w:rsid w:val="005259C4"/>
    <w:rsid w:val="005259D2"/>
    <w:rsid w:val="00525B09"/>
    <w:rsid w:val="00525C62"/>
    <w:rsid w:val="00525D6B"/>
    <w:rsid w:val="00525DD9"/>
    <w:rsid w:val="00525EA3"/>
    <w:rsid w:val="00525F97"/>
    <w:rsid w:val="00525FB0"/>
    <w:rsid w:val="00526138"/>
    <w:rsid w:val="005262E2"/>
    <w:rsid w:val="00526329"/>
    <w:rsid w:val="0052634E"/>
    <w:rsid w:val="00526354"/>
    <w:rsid w:val="005263A6"/>
    <w:rsid w:val="005263D7"/>
    <w:rsid w:val="00526423"/>
    <w:rsid w:val="0052642D"/>
    <w:rsid w:val="00526480"/>
    <w:rsid w:val="0052654D"/>
    <w:rsid w:val="00526578"/>
    <w:rsid w:val="0052663B"/>
    <w:rsid w:val="00526702"/>
    <w:rsid w:val="005267A7"/>
    <w:rsid w:val="005267C8"/>
    <w:rsid w:val="00526824"/>
    <w:rsid w:val="0052690C"/>
    <w:rsid w:val="0052694E"/>
    <w:rsid w:val="00526989"/>
    <w:rsid w:val="00526ABE"/>
    <w:rsid w:val="00526AF4"/>
    <w:rsid w:val="00526B7E"/>
    <w:rsid w:val="00526C4C"/>
    <w:rsid w:val="00526C89"/>
    <w:rsid w:val="00526C92"/>
    <w:rsid w:val="00526CF8"/>
    <w:rsid w:val="00526E94"/>
    <w:rsid w:val="00526F94"/>
    <w:rsid w:val="00526FD3"/>
    <w:rsid w:val="005270C6"/>
    <w:rsid w:val="005270D0"/>
    <w:rsid w:val="00527186"/>
    <w:rsid w:val="005271AC"/>
    <w:rsid w:val="00527291"/>
    <w:rsid w:val="00527331"/>
    <w:rsid w:val="00527433"/>
    <w:rsid w:val="00527446"/>
    <w:rsid w:val="00527457"/>
    <w:rsid w:val="005275D3"/>
    <w:rsid w:val="005275FC"/>
    <w:rsid w:val="0052768C"/>
    <w:rsid w:val="00527711"/>
    <w:rsid w:val="00527733"/>
    <w:rsid w:val="0052777E"/>
    <w:rsid w:val="0052782D"/>
    <w:rsid w:val="0052786C"/>
    <w:rsid w:val="0052789A"/>
    <w:rsid w:val="00527966"/>
    <w:rsid w:val="0052799D"/>
    <w:rsid w:val="00527B8E"/>
    <w:rsid w:val="00527C2E"/>
    <w:rsid w:val="00527CEA"/>
    <w:rsid w:val="00527D3A"/>
    <w:rsid w:val="00527D70"/>
    <w:rsid w:val="00527D7E"/>
    <w:rsid w:val="00527F93"/>
    <w:rsid w:val="00527F9F"/>
    <w:rsid w:val="0053005B"/>
    <w:rsid w:val="005300A0"/>
    <w:rsid w:val="005300C8"/>
    <w:rsid w:val="005301B9"/>
    <w:rsid w:val="005301E1"/>
    <w:rsid w:val="00530215"/>
    <w:rsid w:val="0053036D"/>
    <w:rsid w:val="0053037D"/>
    <w:rsid w:val="005303B0"/>
    <w:rsid w:val="0053057F"/>
    <w:rsid w:val="0053060B"/>
    <w:rsid w:val="0053068F"/>
    <w:rsid w:val="005306B3"/>
    <w:rsid w:val="0053077C"/>
    <w:rsid w:val="00530896"/>
    <w:rsid w:val="005308A5"/>
    <w:rsid w:val="005308DF"/>
    <w:rsid w:val="00530C90"/>
    <w:rsid w:val="00530CF2"/>
    <w:rsid w:val="00530D51"/>
    <w:rsid w:val="00530EF5"/>
    <w:rsid w:val="0053104B"/>
    <w:rsid w:val="005310AF"/>
    <w:rsid w:val="0053116D"/>
    <w:rsid w:val="0053117E"/>
    <w:rsid w:val="005311F7"/>
    <w:rsid w:val="005312DB"/>
    <w:rsid w:val="00531396"/>
    <w:rsid w:val="00531420"/>
    <w:rsid w:val="00531474"/>
    <w:rsid w:val="00531489"/>
    <w:rsid w:val="00531493"/>
    <w:rsid w:val="005314A1"/>
    <w:rsid w:val="005314DC"/>
    <w:rsid w:val="005314E1"/>
    <w:rsid w:val="0053154C"/>
    <w:rsid w:val="0053155A"/>
    <w:rsid w:val="00531610"/>
    <w:rsid w:val="005316AF"/>
    <w:rsid w:val="005316CB"/>
    <w:rsid w:val="005317AC"/>
    <w:rsid w:val="00531815"/>
    <w:rsid w:val="0053196C"/>
    <w:rsid w:val="005319E7"/>
    <w:rsid w:val="005319FA"/>
    <w:rsid w:val="00531A34"/>
    <w:rsid w:val="00531BC1"/>
    <w:rsid w:val="00531BCB"/>
    <w:rsid w:val="00531C89"/>
    <w:rsid w:val="00531CA3"/>
    <w:rsid w:val="00531CE0"/>
    <w:rsid w:val="00531D12"/>
    <w:rsid w:val="00531D63"/>
    <w:rsid w:val="00531D66"/>
    <w:rsid w:val="00531F1A"/>
    <w:rsid w:val="00531FA4"/>
    <w:rsid w:val="005321BC"/>
    <w:rsid w:val="005321DE"/>
    <w:rsid w:val="00532240"/>
    <w:rsid w:val="00532299"/>
    <w:rsid w:val="0053235A"/>
    <w:rsid w:val="005323DC"/>
    <w:rsid w:val="00532579"/>
    <w:rsid w:val="0053257F"/>
    <w:rsid w:val="005326B3"/>
    <w:rsid w:val="00532718"/>
    <w:rsid w:val="00532747"/>
    <w:rsid w:val="00532789"/>
    <w:rsid w:val="005327D7"/>
    <w:rsid w:val="005327F0"/>
    <w:rsid w:val="0053287B"/>
    <w:rsid w:val="0053293C"/>
    <w:rsid w:val="00532962"/>
    <w:rsid w:val="005329B6"/>
    <w:rsid w:val="005329C8"/>
    <w:rsid w:val="00532D96"/>
    <w:rsid w:val="00532E2E"/>
    <w:rsid w:val="00532E43"/>
    <w:rsid w:val="00532E60"/>
    <w:rsid w:val="00533043"/>
    <w:rsid w:val="0053306D"/>
    <w:rsid w:val="005330EA"/>
    <w:rsid w:val="00533250"/>
    <w:rsid w:val="005332A9"/>
    <w:rsid w:val="005332DD"/>
    <w:rsid w:val="00533598"/>
    <w:rsid w:val="005335FE"/>
    <w:rsid w:val="00533629"/>
    <w:rsid w:val="005336CE"/>
    <w:rsid w:val="0053373F"/>
    <w:rsid w:val="00533748"/>
    <w:rsid w:val="00533829"/>
    <w:rsid w:val="005338AA"/>
    <w:rsid w:val="00533A27"/>
    <w:rsid w:val="00533A6A"/>
    <w:rsid w:val="00533AC4"/>
    <w:rsid w:val="00533AF8"/>
    <w:rsid w:val="00533B06"/>
    <w:rsid w:val="00533B62"/>
    <w:rsid w:val="00533B7F"/>
    <w:rsid w:val="00533BA3"/>
    <w:rsid w:val="00533BF5"/>
    <w:rsid w:val="00533EC1"/>
    <w:rsid w:val="00533ED3"/>
    <w:rsid w:val="00533FB3"/>
    <w:rsid w:val="00534033"/>
    <w:rsid w:val="005340E3"/>
    <w:rsid w:val="00534104"/>
    <w:rsid w:val="00534171"/>
    <w:rsid w:val="00534288"/>
    <w:rsid w:val="005342A7"/>
    <w:rsid w:val="005342C3"/>
    <w:rsid w:val="005342DC"/>
    <w:rsid w:val="00534467"/>
    <w:rsid w:val="00534645"/>
    <w:rsid w:val="00534671"/>
    <w:rsid w:val="005347AF"/>
    <w:rsid w:val="005347F0"/>
    <w:rsid w:val="00534801"/>
    <w:rsid w:val="0053484E"/>
    <w:rsid w:val="005348D9"/>
    <w:rsid w:val="005348ED"/>
    <w:rsid w:val="0053490A"/>
    <w:rsid w:val="005349BD"/>
    <w:rsid w:val="00534A29"/>
    <w:rsid w:val="00534C9E"/>
    <w:rsid w:val="00534CBC"/>
    <w:rsid w:val="00534D45"/>
    <w:rsid w:val="00534D66"/>
    <w:rsid w:val="00534E74"/>
    <w:rsid w:val="00534F32"/>
    <w:rsid w:val="005350A6"/>
    <w:rsid w:val="0053511A"/>
    <w:rsid w:val="005351D0"/>
    <w:rsid w:val="00535272"/>
    <w:rsid w:val="005352ED"/>
    <w:rsid w:val="00535351"/>
    <w:rsid w:val="005353CB"/>
    <w:rsid w:val="00535407"/>
    <w:rsid w:val="0053544C"/>
    <w:rsid w:val="0053545D"/>
    <w:rsid w:val="0053547B"/>
    <w:rsid w:val="005354BB"/>
    <w:rsid w:val="005354FF"/>
    <w:rsid w:val="0053551C"/>
    <w:rsid w:val="00535609"/>
    <w:rsid w:val="005357E4"/>
    <w:rsid w:val="0053586C"/>
    <w:rsid w:val="005358E4"/>
    <w:rsid w:val="00535A1B"/>
    <w:rsid w:val="00535A30"/>
    <w:rsid w:val="00535A6E"/>
    <w:rsid w:val="00535AC1"/>
    <w:rsid w:val="00535C80"/>
    <w:rsid w:val="00535CCE"/>
    <w:rsid w:val="00535DC1"/>
    <w:rsid w:val="00535E6D"/>
    <w:rsid w:val="00535F91"/>
    <w:rsid w:val="00535F9F"/>
    <w:rsid w:val="005360E0"/>
    <w:rsid w:val="00536104"/>
    <w:rsid w:val="0053616A"/>
    <w:rsid w:val="005362F5"/>
    <w:rsid w:val="00536384"/>
    <w:rsid w:val="00536420"/>
    <w:rsid w:val="00536558"/>
    <w:rsid w:val="005365AE"/>
    <w:rsid w:val="005365D3"/>
    <w:rsid w:val="005366AF"/>
    <w:rsid w:val="00536709"/>
    <w:rsid w:val="00536913"/>
    <w:rsid w:val="0053699E"/>
    <w:rsid w:val="005369A9"/>
    <w:rsid w:val="005369C5"/>
    <w:rsid w:val="00536A67"/>
    <w:rsid w:val="00536A72"/>
    <w:rsid w:val="00536BAF"/>
    <w:rsid w:val="00536BBE"/>
    <w:rsid w:val="00536BC0"/>
    <w:rsid w:val="00536C5A"/>
    <w:rsid w:val="00536C65"/>
    <w:rsid w:val="00536CB7"/>
    <w:rsid w:val="00536E0A"/>
    <w:rsid w:val="00536EBA"/>
    <w:rsid w:val="00536FAD"/>
    <w:rsid w:val="00536FCE"/>
    <w:rsid w:val="00537130"/>
    <w:rsid w:val="0053725B"/>
    <w:rsid w:val="00537378"/>
    <w:rsid w:val="00537386"/>
    <w:rsid w:val="005373BF"/>
    <w:rsid w:val="00537468"/>
    <w:rsid w:val="00537469"/>
    <w:rsid w:val="0053746C"/>
    <w:rsid w:val="005374DA"/>
    <w:rsid w:val="005375A0"/>
    <w:rsid w:val="005375F1"/>
    <w:rsid w:val="00537773"/>
    <w:rsid w:val="00537795"/>
    <w:rsid w:val="005377B7"/>
    <w:rsid w:val="00537826"/>
    <w:rsid w:val="00537885"/>
    <w:rsid w:val="005378EA"/>
    <w:rsid w:val="00537C03"/>
    <w:rsid w:val="00537C1F"/>
    <w:rsid w:val="00537C6A"/>
    <w:rsid w:val="00537C81"/>
    <w:rsid w:val="00537CA2"/>
    <w:rsid w:val="00537CBA"/>
    <w:rsid w:val="00537D84"/>
    <w:rsid w:val="00537FC4"/>
    <w:rsid w:val="00540000"/>
    <w:rsid w:val="005400EF"/>
    <w:rsid w:val="0054015C"/>
    <w:rsid w:val="00540278"/>
    <w:rsid w:val="005402BC"/>
    <w:rsid w:val="005403E4"/>
    <w:rsid w:val="0054046D"/>
    <w:rsid w:val="00540538"/>
    <w:rsid w:val="005406C5"/>
    <w:rsid w:val="005406CC"/>
    <w:rsid w:val="0054079A"/>
    <w:rsid w:val="00540829"/>
    <w:rsid w:val="005408FE"/>
    <w:rsid w:val="005409D7"/>
    <w:rsid w:val="00540A16"/>
    <w:rsid w:val="00540A5D"/>
    <w:rsid w:val="00540C40"/>
    <w:rsid w:val="00540C57"/>
    <w:rsid w:val="00540CCE"/>
    <w:rsid w:val="00540CE5"/>
    <w:rsid w:val="00540DC5"/>
    <w:rsid w:val="00540E05"/>
    <w:rsid w:val="00540EA7"/>
    <w:rsid w:val="00540F0A"/>
    <w:rsid w:val="00541004"/>
    <w:rsid w:val="00541019"/>
    <w:rsid w:val="00541105"/>
    <w:rsid w:val="0054114B"/>
    <w:rsid w:val="00541293"/>
    <w:rsid w:val="005412AD"/>
    <w:rsid w:val="00541337"/>
    <w:rsid w:val="005414C6"/>
    <w:rsid w:val="005414D6"/>
    <w:rsid w:val="00541500"/>
    <w:rsid w:val="00541574"/>
    <w:rsid w:val="005415D7"/>
    <w:rsid w:val="00541608"/>
    <w:rsid w:val="00541628"/>
    <w:rsid w:val="00541650"/>
    <w:rsid w:val="00541786"/>
    <w:rsid w:val="005417D1"/>
    <w:rsid w:val="00541817"/>
    <w:rsid w:val="005418E9"/>
    <w:rsid w:val="00541985"/>
    <w:rsid w:val="0054198A"/>
    <w:rsid w:val="005419D1"/>
    <w:rsid w:val="00541BBA"/>
    <w:rsid w:val="00541C52"/>
    <w:rsid w:val="00541C9E"/>
    <w:rsid w:val="00541CD2"/>
    <w:rsid w:val="00541D2C"/>
    <w:rsid w:val="00541EB4"/>
    <w:rsid w:val="00541F5E"/>
    <w:rsid w:val="00541F92"/>
    <w:rsid w:val="00541FBF"/>
    <w:rsid w:val="005420ED"/>
    <w:rsid w:val="00542197"/>
    <w:rsid w:val="00542244"/>
    <w:rsid w:val="005422C8"/>
    <w:rsid w:val="005423A8"/>
    <w:rsid w:val="00542405"/>
    <w:rsid w:val="00542565"/>
    <w:rsid w:val="005425BB"/>
    <w:rsid w:val="0054269A"/>
    <w:rsid w:val="0054269D"/>
    <w:rsid w:val="00542761"/>
    <w:rsid w:val="00542796"/>
    <w:rsid w:val="005428B0"/>
    <w:rsid w:val="005428D0"/>
    <w:rsid w:val="00542969"/>
    <w:rsid w:val="00542C44"/>
    <w:rsid w:val="00542CC5"/>
    <w:rsid w:val="00542D19"/>
    <w:rsid w:val="00542D2D"/>
    <w:rsid w:val="00542DEB"/>
    <w:rsid w:val="00542E09"/>
    <w:rsid w:val="00542EA1"/>
    <w:rsid w:val="00542EA8"/>
    <w:rsid w:val="005430A0"/>
    <w:rsid w:val="005430D3"/>
    <w:rsid w:val="0054310B"/>
    <w:rsid w:val="005431F5"/>
    <w:rsid w:val="0054324C"/>
    <w:rsid w:val="00543259"/>
    <w:rsid w:val="00543282"/>
    <w:rsid w:val="005432AE"/>
    <w:rsid w:val="00543324"/>
    <w:rsid w:val="00543445"/>
    <w:rsid w:val="0054345F"/>
    <w:rsid w:val="0054349E"/>
    <w:rsid w:val="005434A1"/>
    <w:rsid w:val="0054383F"/>
    <w:rsid w:val="00543850"/>
    <w:rsid w:val="005438F3"/>
    <w:rsid w:val="00543924"/>
    <w:rsid w:val="00543972"/>
    <w:rsid w:val="00543996"/>
    <w:rsid w:val="00543A93"/>
    <w:rsid w:val="00543B79"/>
    <w:rsid w:val="00543B9F"/>
    <w:rsid w:val="00543E06"/>
    <w:rsid w:val="00543E93"/>
    <w:rsid w:val="00543F19"/>
    <w:rsid w:val="00544085"/>
    <w:rsid w:val="005440AC"/>
    <w:rsid w:val="005441AA"/>
    <w:rsid w:val="0054420B"/>
    <w:rsid w:val="00544273"/>
    <w:rsid w:val="005442A2"/>
    <w:rsid w:val="00544405"/>
    <w:rsid w:val="00544569"/>
    <w:rsid w:val="00544573"/>
    <w:rsid w:val="005447DB"/>
    <w:rsid w:val="005447E5"/>
    <w:rsid w:val="005447ED"/>
    <w:rsid w:val="005449DE"/>
    <w:rsid w:val="00544A30"/>
    <w:rsid w:val="00544A92"/>
    <w:rsid w:val="00544B2B"/>
    <w:rsid w:val="00544BEF"/>
    <w:rsid w:val="00544CBB"/>
    <w:rsid w:val="00544D48"/>
    <w:rsid w:val="00544DB2"/>
    <w:rsid w:val="00544FF4"/>
    <w:rsid w:val="005451B7"/>
    <w:rsid w:val="005452AD"/>
    <w:rsid w:val="005452D6"/>
    <w:rsid w:val="0054536F"/>
    <w:rsid w:val="00545370"/>
    <w:rsid w:val="005453C8"/>
    <w:rsid w:val="00545491"/>
    <w:rsid w:val="0054553C"/>
    <w:rsid w:val="0054558A"/>
    <w:rsid w:val="0054566F"/>
    <w:rsid w:val="0054567B"/>
    <w:rsid w:val="005456BC"/>
    <w:rsid w:val="00545701"/>
    <w:rsid w:val="005458A6"/>
    <w:rsid w:val="005459BC"/>
    <w:rsid w:val="00545ABD"/>
    <w:rsid w:val="00545BAD"/>
    <w:rsid w:val="00545BFB"/>
    <w:rsid w:val="00545C16"/>
    <w:rsid w:val="00545C56"/>
    <w:rsid w:val="00545D91"/>
    <w:rsid w:val="00545DBD"/>
    <w:rsid w:val="00545ECE"/>
    <w:rsid w:val="00545F01"/>
    <w:rsid w:val="00545FF9"/>
    <w:rsid w:val="00546071"/>
    <w:rsid w:val="00546075"/>
    <w:rsid w:val="005461BC"/>
    <w:rsid w:val="0054628D"/>
    <w:rsid w:val="0054628E"/>
    <w:rsid w:val="00546351"/>
    <w:rsid w:val="005466E9"/>
    <w:rsid w:val="00546760"/>
    <w:rsid w:val="00546798"/>
    <w:rsid w:val="005467D1"/>
    <w:rsid w:val="005468C0"/>
    <w:rsid w:val="0054692E"/>
    <w:rsid w:val="00546946"/>
    <w:rsid w:val="00546A76"/>
    <w:rsid w:val="00546A82"/>
    <w:rsid w:val="00546AC8"/>
    <w:rsid w:val="00546B8D"/>
    <w:rsid w:val="00546BE5"/>
    <w:rsid w:val="00546C93"/>
    <w:rsid w:val="00546CFC"/>
    <w:rsid w:val="00546D3F"/>
    <w:rsid w:val="00546E3D"/>
    <w:rsid w:val="00546F47"/>
    <w:rsid w:val="00546FFA"/>
    <w:rsid w:val="00547048"/>
    <w:rsid w:val="00547052"/>
    <w:rsid w:val="00547085"/>
    <w:rsid w:val="005470C7"/>
    <w:rsid w:val="0054735F"/>
    <w:rsid w:val="00547364"/>
    <w:rsid w:val="0054740D"/>
    <w:rsid w:val="00547441"/>
    <w:rsid w:val="00547442"/>
    <w:rsid w:val="00547537"/>
    <w:rsid w:val="005475B9"/>
    <w:rsid w:val="00547693"/>
    <w:rsid w:val="00547696"/>
    <w:rsid w:val="0054782E"/>
    <w:rsid w:val="005478FF"/>
    <w:rsid w:val="00547903"/>
    <w:rsid w:val="0054798A"/>
    <w:rsid w:val="005479D0"/>
    <w:rsid w:val="00547A4B"/>
    <w:rsid w:val="00547BA8"/>
    <w:rsid w:val="00547C74"/>
    <w:rsid w:val="00547CA1"/>
    <w:rsid w:val="00547CFB"/>
    <w:rsid w:val="00547F23"/>
    <w:rsid w:val="005500CA"/>
    <w:rsid w:val="0055024B"/>
    <w:rsid w:val="005502FB"/>
    <w:rsid w:val="00550332"/>
    <w:rsid w:val="005504B4"/>
    <w:rsid w:val="00550685"/>
    <w:rsid w:val="005506AF"/>
    <w:rsid w:val="005506BC"/>
    <w:rsid w:val="005507AA"/>
    <w:rsid w:val="0055085A"/>
    <w:rsid w:val="005508EE"/>
    <w:rsid w:val="00550950"/>
    <w:rsid w:val="00550A29"/>
    <w:rsid w:val="00550B34"/>
    <w:rsid w:val="00550B60"/>
    <w:rsid w:val="00550ECF"/>
    <w:rsid w:val="00550FC7"/>
    <w:rsid w:val="005510DA"/>
    <w:rsid w:val="005511C6"/>
    <w:rsid w:val="00551235"/>
    <w:rsid w:val="005512AA"/>
    <w:rsid w:val="005512B9"/>
    <w:rsid w:val="005512FB"/>
    <w:rsid w:val="00551328"/>
    <w:rsid w:val="00551387"/>
    <w:rsid w:val="005513B3"/>
    <w:rsid w:val="005513E5"/>
    <w:rsid w:val="0055140B"/>
    <w:rsid w:val="0055149F"/>
    <w:rsid w:val="00551527"/>
    <w:rsid w:val="005515A2"/>
    <w:rsid w:val="00551614"/>
    <w:rsid w:val="005517D2"/>
    <w:rsid w:val="00551863"/>
    <w:rsid w:val="0055192D"/>
    <w:rsid w:val="00551936"/>
    <w:rsid w:val="005519A8"/>
    <w:rsid w:val="00551A47"/>
    <w:rsid w:val="00551AC5"/>
    <w:rsid w:val="00551CA2"/>
    <w:rsid w:val="00551CF2"/>
    <w:rsid w:val="00551F19"/>
    <w:rsid w:val="00551F54"/>
    <w:rsid w:val="00551F77"/>
    <w:rsid w:val="00551FD1"/>
    <w:rsid w:val="00552032"/>
    <w:rsid w:val="00552035"/>
    <w:rsid w:val="00552069"/>
    <w:rsid w:val="005521CB"/>
    <w:rsid w:val="005521EF"/>
    <w:rsid w:val="00552435"/>
    <w:rsid w:val="005524AB"/>
    <w:rsid w:val="005524F4"/>
    <w:rsid w:val="0055258E"/>
    <w:rsid w:val="005525B7"/>
    <w:rsid w:val="00552689"/>
    <w:rsid w:val="005528A6"/>
    <w:rsid w:val="00552AC0"/>
    <w:rsid w:val="00552D10"/>
    <w:rsid w:val="00552D6C"/>
    <w:rsid w:val="00552D84"/>
    <w:rsid w:val="00552D9C"/>
    <w:rsid w:val="00552ED8"/>
    <w:rsid w:val="00552F6A"/>
    <w:rsid w:val="00552F7F"/>
    <w:rsid w:val="005530B3"/>
    <w:rsid w:val="005531BD"/>
    <w:rsid w:val="005531F2"/>
    <w:rsid w:val="0055323F"/>
    <w:rsid w:val="00553254"/>
    <w:rsid w:val="00553339"/>
    <w:rsid w:val="00553380"/>
    <w:rsid w:val="005533B1"/>
    <w:rsid w:val="005533D2"/>
    <w:rsid w:val="005535BC"/>
    <w:rsid w:val="00553747"/>
    <w:rsid w:val="00553A35"/>
    <w:rsid w:val="00553A48"/>
    <w:rsid w:val="00553AC7"/>
    <w:rsid w:val="00553B6F"/>
    <w:rsid w:val="00553BBE"/>
    <w:rsid w:val="00553BCA"/>
    <w:rsid w:val="00553BE2"/>
    <w:rsid w:val="00553C14"/>
    <w:rsid w:val="00553C79"/>
    <w:rsid w:val="00553CB1"/>
    <w:rsid w:val="00553E92"/>
    <w:rsid w:val="00553FDB"/>
    <w:rsid w:val="00554021"/>
    <w:rsid w:val="0055407B"/>
    <w:rsid w:val="00554119"/>
    <w:rsid w:val="00554150"/>
    <w:rsid w:val="00554240"/>
    <w:rsid w:val="00554251"/>
    <w:rsid w:val="005542F3"/>
    <w:rsid w:val="005543CF"/>
    <w:rsid w:val="0055451C"/>
    <w:rsid w:val="005545E1"/>
    <w:rsid w:val="0055477E"/>
    <w:rsid w:val="0055484E"/>
    <w:rsid w:val="005548B1"/>
    <w:rsid w:val="005549A0"/>
    <w:rsid w:val="005549C6"/>
    <w:rsid w:val="005549EF"/>
    <w:rsid w:val="00554B01"/>
    <w:rsid w:val="00554C7C"/>
    <w:rsid w:val="00554CC0"/>
    <w:rsid w:val="00554CF9"/>
    <w:rsid w:val="00554D51"/>
    <w:rsid w:val="00554E27"/>
    <w:rsid w:val="00554E61"/>
    <w:rsid w:val="00554FAB"/>
    <w:rsid w:val="00554FDE"/>
    <w:rsid w:val="00555223"/>
    <w:rsid w:val="00555278"/>
    <w:rsid w:val="005552A5"/>
    <w:rsid w:val="0055530F"/>
    <w:rsid w:val="00555324"/>
    <w:rsid w:val="00555512"/>
    <w:rsid w:val="0055563B"/>
    <w:rsid w:val="00555653"/>
    <w:rsid w:val="00555711"/>
    <w:rsid w:val="00555794"/>
    <w:rsid w:val="005557F9"/>
    <w:rsid w:val="00555865"/>
    <w:rsid w:val="0055593D"/>
    <w:rsid w:val="005559FB"/>
    <w:rsid w:val="00555C6C"/>
    <w:rsid w:val="00555DFE"/>
    <w:rsid w:val="00555F0E"/>
    <w:rsid w:val="00556074"/>
    <w:rsid w:val="00556082"/>
    <w:rsid w:val="00556168"/>
    <w:rsid w:val="00556209"/>
    <w:rsid w:val="0055621B"/>
    <w:rsid w:val="0055623A"/>
    <w:rsid w:val="00556313"/>
    <w:rsid w:val="00556354"/>
    <w:rsid w:val="00556368"/>
    <w:rsid w:val="00556474"/>
    <w:rsid w:val="00556516"/>
    <w:rsid w:val="005566D2"/>
    <w:rsid w:val="005567B2"/>
    <w:rsid w:val="005567F2"/>
    <w:rsid w:val="005568D0"/>
    <w:rsid w:val="005569EB"/>
    <w:rsid w:val="00556B80"/>
    <w:rsid w:val="00556CB5"/>
    <w:rsid w:val="00556CCC"/>
    <w:rsid w:val="00556F0A"/>
    <w:rsid w:val="00556FCB"/>
    <w:rsid w:val="00556FCE"/>
    <w:rsid w:val="00557220"/>
    <w:rsid w:val="0055723F"/>
    <w:rsid w:val="005572D2"/>
    <w:rsid w:val="0055737E"/>
    <w:rsid w:val="00557579"/>
    <w:rsid w:val="005575A1"/>
    <w:rsid w:val="00557604"/>
    <w:rsid w:val="005577AD"/>
    <w:rsid w:val="00557825"/>
    <w:rsid w:val="00557870"/>
    <w:rsid w:val="0055790F"/>
    <w:rsid w:val="005579AD"/>
    <w:rsid w:val="005579B5"/>
    <w:rsid w:val="00557A93"/>
    <w:rsid w:val="00557BAD"/>
    <w:rsid w:val="00557BF1"/>
    <w:rsid w:val="00557C4A"/>
    <w:rsid w:val="00557C6F"/>
    <w:rsid w:val="00557DB4"/>
    <w:rsid w:val="00557E1C"/>
    <w:rsid w:val="00557F47"/>
    <w:rsid w:val="00557F98"/>
    <w:rsid w:val="005600F4"/>
    <w:rsid w:val="00560277"/>
    <w:rsid w:val="00560306"/>
    <w:rsid w:val="0056034B"/>
    <w:rsid w:val="005603F3"/>
    <w:rsid w:val="00560576"/>
    <w:rsid w:val="00560641"/>
    <w:rsid w:val="005606D2"/>
    <w:rsid w:val="005606DA"/>
    <w:rsid w:val="00560794"/>
    <w:rsid w:val="00560938"/>
    <w:rsid w:val="00560ACC"/>
    <w:rsid w:val="00560AF1"/>
    <w:rsid w:val="00560C6D"/>
    <w:rsid w:val="00560DA5"/>
    <w:rsid w:val="00560EAD"/>
    <w:rsid w:val="00560EF0"/>
    <w:rsid w:val="00561006"/>
    <w:rsid w:val="00561073"/>
    <w:rsid w:val="0056112B"/>
    <w:rsid w:val="00561131"/>
    <w:rsid w:val="0056117F"/>
    <w:rsid w:val="00561185"/>
    <w:rsid w:val="0056119F"/>
    <w:rsid w:val="00561271"/>
    <w:rsid w:val="00561299"/>
    <w:rsid w:val="005612A5"/>
    <w:rsid w:val="005612C6"/>
    <w:rsid w:val="00561310"/>
    <w:rsid w:val="00561376"/>
    <w:rsid w:val="00561389"/>
    <w:rsid w:val="00561395"/>
    <w:rsid w:val="005613D2"/>
    <w:rsid w:val="005613FF"/>
    <w:rsid w:val="005614CD"/>
    <w:rsid w:val="00561562"/>
    <w:rsid w:val="005615B2"/>
    <w:rsid w:val="00561629"/>
    <w:rsid w:val="0056164C"/>
    <w:rsid w:val="0056173F"/>
    <w:rsid w:val="00561859"/>
    <w:rsid w:val="005618CB"/>
    <w:rsid w:val="0056190C"/>
    <w:rsid w:val="00561A65"/>
    <w:rsid w:val="00561A9E"/>
    <w:rsid w:val="00561AA5"/>
    <w:rsid w:val="00561B88"/>
    <w:rsid w:val="00561BAD"/>
    <w:rsid w:val="00561BBD"/>
    <w:rsid w:val="00561C4C"/>
    <w:rsid w:val="00561C89"/>
    <w:rsid w:val="00561D04"/>
    <w:rsid w:val="00561E17"/>
    <w:rsid w:val="00561EB1"/>
    <w:rsid w:val="00561F61"/>
    <w:rsid w:val="00561F78"/>
    <w:rsid w:val="00561FA0"/>
    <w:rsid w:val="00561FC3"/>
    <w:rsid w:val="00562065"/>
    <w:rsid w:val="005620E5"/>
    <w:rsid w:val="0056211E"/>
    <w:rsid w:val="005621A7"/>
    <w:rsid w:val="0056227B"/>
    <w:rsid w:val="0056228A"/>
    <w:rsid w:val="00562302"/>
    <w:rsid w:val="005624EB"/>
    <w:rsid w:val="0056250E"/>
    <w:rsid w:val="00562760"/>
    <w:rsid w:val="0056277E"/>
    <w:rsid w:val="005627A4"/>
    <w:rsid w:val="00562905"/>
    <w:rsid w:val="00562984"/>
    <w:rsid w:val="00562D59"/>
    <w:rsid w:val="00562F24"/>
    <w:rsid w:val="00562F6C"/>
    <w:rsid w:val="005630E4"/>
    <w:rsid w:val="005630E9"/>
    <w:rsid w:val="00563196"/>
    <w:rsid w:val="00563276"/>
    <w:rsid w:val="0056328F"/>
    <w:rsid w:val="00563303"/>
    <w:rsid w:val="00563476"/>
    <w:rsid w:val="00563612"/>
    <w:rsid w:val="005636CC"/>
    <w:rsid w:val="00563702"/>
    <w:rsid w:val="00563791"/>
    <w:rsid w:val="00563834"/>
    <w:rsid w:val="00563873"/>
    <w:rsid w:val="00563929"/>
    <w:rsid w:val="00563951"/>
    <w:rsid w:val="00563984"/>
    <w:rsid w:val="00563A5C"/>
    <w:rsid w:val="00563AA7"/>
    <w:rsid w:val="00563B17"/>
    <w:rsid w:val="00563C38"/>
    <w:rsid w:val="00563CE6"/>
    <w:rsid w:val="00563D82"/>
    <w:rsid w:val="00563D99"/>
    <w:rsid w:val="00563DE6"/>
    <w:rsid w:val="00563EE5"/>
    <w:rsid w:val="00563F65"/>
    <w:rsid w:val="00563F69"/>
    <w:rsid w:val="00564024"/>
    <w:rsid w:val="0056402B"/>
    <w:rsid w:val="005640D7"/>
    <w:rsid w:val="00564130"/>
    <w:rsid w:val="0056418F"/>
    <w:rsid w:val="005641E9"/>
    <w:rsid w:val="005641F9"/>
    <w:rsid w:val="0056428B"/>
    <w:rsid w:val="0056431C"/>
    <w:rsid w:val="00564375"/>
    <w:rsid w:val="005643C8"/>
    <w:rsid w:val="0056442B"/>
    <w:rsid w:val="00564453"/>
    <w:rsid w:val="005644F1"/>
    <w:rsid w:val="0056454F"/>
    <w:rsid w:val="005646F3"/>
    <w:rsid w:val="00564767"/>
    <w:rsid w:val="00564805"/>
    <w:rsid w:val="00564846"/>
    <w:rsid w:val="00564980"/>
    <w:rsid w:val="00564C59"/>
    <w:rsid w:val="00564D04"/>
    <w:rsid w:val="00564DA2"/>
    <w:rsid w:val="00564E74"/>
    <w:rsid w:val="00564E86"/>
    <w:rsid w:val="00565045"/>
    <w:rsid w:val="0056512A"/>
    <w:rsid w:val="005651DB"/>
    <w:rsid w:val="00565212"/>
    <w:rsid w:val="0056528D"/>
    <w:rsid w:val="0056545E"/>
    <w:rsid w:val="00565494"/>
    <w:rsid w:val="005654EE"/>
    <w:rsid w:val="00565557"/>
    <w:rsid w:val="00565664"/>
    <w:rsid w:val="00565795"/>
    <w:rsid w:val="0056579D"/>
    <w:rsid w:val="00565919"/>
    <w:rsid w:val="00565A56"/>
    <w:rsid w:val="00565ADF"/>
    <w:rsid w:val="00565B57"/>
    <w:rsid w:val="00565C6A"/>
    <w:rsid w:val="00565C90"/>
    <w:rsid w:val="00565C9B"/>
    <w:rsid w:val="00565DA6"/>
    <w:rsid w:val="00565E09"/>
    <w:rsid w:val="0056610C"/>
    <w:rsid w:val="0056628B"/>
    <w:rsid w:val="00566298"/>
    <w:rsid w:val="00566451"/>
    <w:rsid w:val="005664C5"/>
    <w:rsid w:val="005664EF"/>
    <w:rsid w:val="00566590"/>
    <w:rsid w:val="005665DC"/>
    <w:rsid w:val="005667D0"/>
    <w:rsid w:val="005667F0"/>
    <w:rsid w:val="0056682F"/>
    <w:rsid w:val="00566897"/>
    <w:rsid w:val="005668CA"/>
    <w:rsid w:val="00566916"/>
    <w:rsid w:val="005669DD"/>
    <w:rsid w:val="00566A6C"/>
    <w:rsid w:val="00566AF7"/>
    <w:rsid w:val="00566BB4"/>
    <w:rsid w:val="00566D32"/>
    <w:rsid w:val="00566DDD"/>
    <w:rsid w:val="00566EAE"/>
    <w:rsid w:val="00566EAF"/>
    <w:rsid w:val="00566EB1"/>
    <w:rsid w:val="00566F3B"/>
    <w:rsid w:val="00566F69"/>
    <w:rsid w:val="00566F6E"/>
    <w:rsid w:val="00566FD8"/>
    <w:rsid w:val="00566FE5"/>
    <w:rsid w:val="00566FEA"/>
    <w:rsid w:val="00567100"/>
    <w:rsid w:val="00567269"/>
    <w:rsid w:val="00567323"/>
    <w:rsid w:val="005673FC"/>
    <w:rsid w:val="0056745B"/>
    <w:rsid w:val="00567512"/>
    <w:rsid w:val="0056760E"/>
    <w:rsid w:val="005676BE"/>
    <w:rsid w:val="00567784"/>
    <w:rsid w:val="00567886"/>
    <w:rsid w:val="005678AF"/>
    <w:rsid w:val="0056790F"/>
    <w:rsid w:val="0056791C"/>
    <w:rsid w:val="00567981"/>
    <w:rsid w:val="00567A15"/>
    <w:rsid w:val="00567ACC"/>
    <w:rsid w:val="00567B4D"/>
    <w:rsid w:val="00567B71"/>
    <w:rsid w:val="00567BD3"/>
    <w:rsid w:val="00567D10"/>
    <w:rsid w:val="00567DEA"/>
    <w:rsid w:val="00567EEE"/>
    <w:rsid w:val="00567EF9"/>
    <w:rsid w:val="00567F5B"/>
    <w:rsid w:val="00570086"/>
    <w:rsid w:val="005700A2"/>
    <w:rsid w:val="00570136"/>
    <w:rsid w:val="005701DE"/>
    <w:rsid w:val="00570218"/>
    <w:rsid w:val="0057021F"/>
    <w:rsid w:val="00570251"/>
    <w:rsid w:val="0057049D"/>
    <w:rsid w:val="005704D0"/>
    <w:rsid w:val="00570631"/>
    <w:rsid w:val="0057078D"/>
    <w:rsid w:val="0057079E"/>
    <w:rsid w:val="00570866"/>
    <w:rsid w:val="00570875"/>
    <w:rsid w:val="0057091E"/>
    <w:rsid w:val="00570A42"/>
    <w:rsid w:val="00570A61"/>
    <w:rsid w:val="00570A83"/>
    <w:rsid w:val="00570A8A"/>
    <w:rsid w:val="00570ABA"/>
    <w:rsid w:val="00570B01"/>
    <w:rsid w:val="00570DCE"/>
    <w:rsid w:val="00570FF8"/>
    <w:rsid w:val="005711FF"/>
    <w:rsid w:val="00571278"/>
    <w:rsid w:val="0057128B"/>
    <w:rsid w:val="00571298"/>
    <w:rsid w:val="005712C1"/>
    <w:rsid w:val="00571328"/>
    <w:rsid w:val="0057139C"/>
    <w:rsid w:val="005713F8"/>
    <w:rsid w:val="00571455"/>
    <w:rsid w:val="005714EE"/>
    <w:rsid w:val="00571517"/>
    <w:rsid w:val="0057156F"/>
    <w:rsid w:val="005716A9"/>
    <w:rsid w:val="005717A8"/>
    <w:rsid w:val="0057183E"/>
    <w:rsid w:val="00571939"/>
    <w:rsid w:val="00571999"/>
    <w:rsid w:val="005719DA"/>
    <w:rsid w:val="00571A65"/>
    <w:rsid w:val="00571AB9"/>
    <w:rsid w:val="00571AE8"/>
    <w:rsid w:val="00571C64"/>
    <w:rsid w:val="00571D21"/>
    <w:rsid w:val="00571D61"/>
    <w:rsid w:val="00571EEA"/>
    <w:rsid w:val="00571F7B"/>
    <w:rsid w:val="005720AE"/>
    <w:rsid w:val="005720DF"/>
    <w:rsid w:val="00572301"/>
    <w:rsid w:val="00572384"/>
    <w:rsid w:val="005723A9"/>
    <w:rsid w:val="005723D6"/>
    <w:rsid w:val="005723D8"/>
    <w:rsid w:val="0057248C"/>
    <w:rsid w:val="0057252B"/>
    <w:rsid w:val="00572603"/>
    <w:rsid w:val="005726BF"/>
    <w:rsid w:val="00572746"/>
    <w:rsid w:val="0057292C"/>
    <w:rsid w:val="00572A6C"/>
    <w:rsid w:val="00572BA9"/>
    <w:rsid w:val="00572BE6"/>
    <w:rsid w:val="00572BEC"/>
    <w:rsid w:val="00572C05"/>
    <w:rsid w:val="00572D8C"/>
    <w:rsid w:val="00572E81"/>
    <w:rsid w:val="00572EAF"/>
    <w:rsid w:val="00572F4B"/>
    <w:rsid w:val="005730FA"/>
    <w:rsid w:val="00573108"/>
    <w:rsid w:val="0057317C"/>
    <w:rsid w:val="00573200"/>
    <w:rsid w:val="00573224"/>
    <w:rsid w:val="005732AE"/>
    <w:rsid w:val="005732B6"/>
    <w:rsid w:val="005732E6"/>
    <w:rsid w:val="00573369"/>
    <w:rsid w:val="00573474"/>
    <w:rsid w:val="005734AC"/>
    <w:rsid w:val="005734F3"/>
    <w:rsid w:val="0057357D"/>
    <w:rsid w:val="005735FB"/>
    <w:rsid w:val="00573613"/>
    <w:rsid w:val="00573631"/>
    <w:rsid w:val="00573655"/>
    <w:rsid w:val="00573700"/>
    <w:rsid w:val="005738B0"/>
    <w:rsid w:val="005738D2"/>
    <w:rsid w:val="00573917"/>
    <w:rsid w:val="005739B9"/>
    <w:rsid w:val="005739C6"/>
    <w:rsid w:val="005739E4"/>
    <w:rsid w:val="00573A1E"/>
    <w:rsid w:val="00573A59"/>
    <w:rsid w:val="00573B96"/>
    <w:rsid w:val="00573C37"/>
    <w:rsid w:val="00573C82"/>
    <w:rsid w:val="00573D58"/>
    <w:rsid w:val="00573F84"/>
    <w:rsid w:val="00574007"/>
    <w:rsid w:val="00574057"/>
    <w:rsid w:val="0057418C"/>
    <w:rsid w:val="0057420E"/>
    <w:rsid w:val="00574359"/>
    <w:rsid w:val="005743DC"/>
    <w:rsid w:val="005743E5"/>
    <w:rsid w:val="00574487"/>
    <w:rsid w:val="005744BE"/>
    <w:rsid w:val="0057465B"/>
    <w:rsid w:val="00574785"/>
    <w:rsid w:val="005747A7"/>
    <w:rsid w:val="0057480A"/>
    <w:rsid w:val="0057483B"/>
    <w:rsid w:val="0057487C"/>
    <w:rsid w:val="00574895"/>
    <w:rsid w:val="005748BC"/>
    <w:rsid w:val="00574941"/>
    <w:rsid w:val="00574953"/>
    <w:rsid w:val="00574993"/>
    <w:rsid w:val="00574A09"/>
    <w:rsid w:val="00574A26"/>
    <w:rsid w:val="00574A49"/>
    <w:rsid w:val="00574A6E"/>
    <w:rsid w:val="00574A8E"/>
    <w:rsid w:val="00574B53"/>
    <w:rsid w:val="00574C11"/>
    <w:rsid w:val="00574CC9"/>
    <w:rsid w:val="00574CFF"/>
    <w:rsid w:val="00574D5C"/>
    <w:rsid w:val="00574D7C"/>
    <w:rsid w:val="00574F7C"/>
    <w:rsid w:val="005750B2"/>
    <w:rsid w:val="005750F6"/>
    <w:rsid w:val="00575166"/>
    <w:rsid w:val="005751ED"/>
    <w:rsid w:val="00575355"/>
    <w:rsid w:val="005753D9"/>
    <w:rsid w:val="0057543C"/>
    <w:rsid w:val="005754AE"/>
    <w:rsid w:val="005754FC"/>
    <w:rsid w:val="005755D2"/>
    <w:rsid w:val="005755E4"/>
    <w:rsid w:val="0057561D"/>
    <w:rsid w:val="00575637"/>
    <w:rsid w:val="00575673"/>
    <w:rsid w:val="0057585B"/>
    <w:rsid w:val="0057587D"/>
    <w:rsid w:val="00575905"/>
    <w:rsid w:val="00575A68"/>
    <w:rsid w:val="00575B2A"/>
    <w:rsid w:val="00575B9F"/>
    <w:rsid w:val="00575BA3"/>
    <w:rsid w:val="00575C0E"/>
    <w:rsid w:val="00575C19"/>
    <w:rsid w:val="00575C27"/>
    <w:rsid w:val="00575CF0"/>
    <w:rsid w:val="00575DFA"/>
    <w:rsid w:val="00575E9B"/>
    <w:rsid w:val="00575EBE"/>
    <w:rsid w:val="00576265"/>
    <w:rsid w:val="005762B4"/>
    <w:rsid w:val="0057632A"/>
    <w:rsid w:val="005763C8"/>
    <w:rsid w:val="00576449"/>
    <w:rsid w:val="005764E4"/>
    <w:rsid w:val="005766A8"/>
    <w:rsid w:val="005766E2"/>
    <w:rsid w:val="00576799"/>
    <w:rsid w:val="005767EE"/>
    <w:rsid w:val="00576843"/>
    <w:rsid w:val="005768FA"/>
    <w:rsid w:val="00576ADF"/>
    <w:rsid w:val="00576BF8"/>
    <w:rsid w:val="00576C61"/>
    <w:rsid w:val="00576CF4"/>
    <w:rsid w:val="00576D6A"/>
    <w:rsid w:val="00576EBA"/>
    <w:rsid w:val="00576F00"/>
    <w:rsid w:val="00576FB6"/>
    <w:rsid w:val="00577057"/>
    <w:rsid w:val="0057705E"/>
    <w:rsid w:val="005770CE"/>
    <w:rsid w:val="00577145"/>
    <w:rsid w:val="0057718B"/>
    <w:rsid w:val="005771F2"/>
    <w:rsid w:val="0057727E"/>
    <w:rsid w:val="00577280"/>
    <w:rsid w:val="00577293"/>
    <w:rsid w:val="0057734F"/>
    <w:rsid w:val="005773AF"/>
    <w:rsid w:val="005773BE"/>
    <w:rsid w:val="00577406"/>
    <w:rsid w:val="00577493"/>
    <w:rsid w:val="00577500"/>
    <w:rsid w:val="0057767F"/>
    <w:rsid w:val="005776B5"/>
    <w:rsid w:val="005776B9"/>
    <w:rsid w:val="005776E8"/>
    <w:rsid w:val="0057773A"/>
    <w:rsid w:val="00577769"/>
    <w:rsid w:val="00577A55"/>
    <w:rsid w:val="00577B0D"/>
    <w:rsid w:val="00577E83"/>
    <w:rsid w:val="00577F07"/>
    <w:rsid w:val="00577F90"/>
    <w:rsid w:val="00580048"/>
    <w:rsid w:val="00580188"/>
    <w:rsid w:val="005802B3"/>
    <w:rsid w:val="00580336"/>
    <w:rsid w:val="00580343"/>
    <w:rsid w:val="00580404"/>
    <w:rsid w:val="0058040A"/>
    <w:rsid w:val="005804BB"/>
    <w:rsid w:val="00580519"/>
    <w:rsid w:val="0058064C"/>
    <w:rsid w:val="005807F5"/>
    <w:rsid w:val="00580A5F"/>
    <w:rsid w:val="00580A72"/>
    <w:rsid w:val="00580A79"/>
    <w:rsid w:val="00580AC1"/>
    <w:rsid w:val="00580BCE"/>
    <w:rsid w:val="00580C2B"/>
    <w:rsid w:val="00580D52"/>
    <w:rsid w:val="00580E70"/>
    <w:rsid w:val="00580E80"/>
    <w:rsid w:val="00580EC3"/>
    <w:rsid w:val="00580F9D"/>
    <w:rsid w:val="00580FE1"/>
    <w:rsid w:val="00581246"/>
    <w:rsid w:val="005812AD"/>
    <w:rsid w:val="00581331"/>
    <w:rsid w:val="005813AF"/>
    <w:rsid w:val="005813FC"/>
    <w:rsid w:val="00581509"/>
    <w:rsid w:val="00581530"/>
    <w:rsid w:val="00581728"/>
    <w:rsid w:val="00581744"/>
    <w:rsid w:val="005817A2"/>
    <w:rsid w:val="005817AE"/>
    <w:rsid w:val="005819C5"/>
    <w:rsid w:val="00581A51"/>
    <w:rsid w:val="00581A8B"/>
    <w:rsid w:val="00581B89"/>
    <w:rsid w:val="00581C46"/>
    <w:rsid w:val="00581C54"/>
    <w:rsid w:val="00581C8B"/>
    <w:rsid w:val="00581DD5"/>
    <w:rsid w:val="00581E8B"/>
    <w:rsid w:val="00581EE1"/>
    <w:rsid w:val="00581F60"/>
    <w:rsid w:val="00581F6B"/>
    <w:rsid w:val="00582117"/>
    <w:rsid w:val="00582161"/>
    <w:rsid w:val="0058224D"/>
    <w:rsid w:val="00582263"/>
    <w:rsid w:val="00582299"/>
    <w:rsid w:val="0058229E"/>
    <w:rsid w:val="00582365"/>
    <w:rsid w:val="00582430"/>
    <w:rsid w:val="00582434"/>
    <w:rsid w:val="0058245B"/>
    <w:rsid w:val="005824C5"/>
    <w:rsid w:val="00582649"/>
    <w:rsid w:val="00582665"/>
    <w:rsid w:val="005826B3"/>
    <w:rsid w:val="005826DA"/>
    <w:rsid w:val="005827C0"/>
    <w:rsid w:val="005827E0"/>
    <w:rsid w:val="00582875"/>
    <w:rsid w:val="0058288E"/>
    <w:rsid w:val="00582993"/>
    <w:rsid w:val="00582C84"/>
    <w:rsid w:val="00582EB5"/>
    <w:rsid w:val="00583019"/>
    <w:rsid w:val="00583095"/>
    <w:rsid w:val="0058311F"/>
    <w:rsid w:val="005833EF"/>
    <w:rsid w:val="005833F0"/>
    <w:rsid w:val="005833FD"/>
    <w:rsid w:val="00583452"/>
    <w:rsid w:val="005834F4"/>
    <w:rsid w:val="00583528"/>
    <w:rsid w:val="0058354D"/>
    <w:rsid w:val="00583601"/>
    <w:rsid w:val="00583654"/>
    <w:rsid w:val="005836C6"/>
    <w:rsid w:val="005836E2"/>
    <w:rsid w:val="005836E7"/>
    <w:rsid w:val="0058372B"/>
    <w:rsid w:val="00583744"/>
    <w:rsid w:val="0058374E"/>
    <w:rsid w:val="005837AB"/>
    <w:rsid w:val="005837D9"/>
    <w:rsid w:val="005837EF"/>
    <w:rsid w:val="00583873"/>
    <w:rsid w:val="005838B1"/>
    <w:rsid w:val="00583913"/>
    <w:rsid w:val="00583AA2"/>
    <w:rsid w:val="00583B51"/>
    <w:rsid w:val="00583C68"/>
    <w:rsid w:val="00583C95"/>
    <w:rsid w:val="00583CC6"/>
    <w:rsid w:val="00583E09"/>
    <w:rsid w:val="00583E5D"/>
    <w:rsid w:val="00583E86"/>
    <w:rsid w:val="00583EBD"/>
    <w:rsid w:val="005840A9"/>
    <w:rsid w:val="00584117"/>
    <w:rsid w:val="00584195"/>
    <w:rsid w:val="0058419E"/>
    <w:rsid w:val="00584253"/>
    <w:rsid w:val="00584344"/>
    <w:rsid w:val="00584513"/>
    <w:rsid w:val="0058458C"/>
    <w:rsid w:val="005845A0"/>
    <w:rsid w:val="005845B1"/>
    <w:rsid w:val="005847F4"/>
    <w:rsid w:val="0058480B"/>
    <w:rsid w:val="0058487F"/>
    <w:rsid w:val="00584929"/>
    <w:rsid w:val="00584A1B"/>
    <w:rsid w:val="00584B11"/>
    <w:rsid w:val="00584B15"/>
    <w:rsid w:val="00584D4C"/>
    <w:rsid w:val="00584D84"/>
    <w:rsid w:val="00584E8E"/>
    <w:rsid w:val="00584F06"/>
    <w:rsid w:val="00584F43"/>
    <w:rsid w:val="00584F6C"/>
    <w:rsid w:val="0058509E"/>
    <w:rsid w:val="005851A4"/>
    <w:rsid w:val="005851CA"/>
    <w:rsid w:val="005852B5"/>
    <w:rsid w:val="0058554E"/>
    <w:rsid w:val="005855C5"/>
    <w:rsid w:val="005855DC"/>
    <w:rsid w:val="00585615"/>
    <w:rsid w:val="0058562D"/>
    <w:rsid w:val="00585730"/>
    <w:rsid w:val="005857EB"/>
    <w:rsid w:val="00585A36"/>
    <w:rsid w:val="00585B53"/>
    <w:rsid w:val="00585B57"/>
    <w:rsid w:val="00585B93"/>
    <w:rsid w:val="00585C1B"/>
    <w:rsid w:val="00585C57"/>
    <w:rsid w:val="00585C66"/>
    <w:rsid w:val="00585CFC"/>
    <w:rsid w:val="00585D31"/>
    <w:rsid w:val="00585D35"/>
    <w:rsid w:val="00585F88"/>
    <w:rsid w:val="005860C2"/>
    <w:rsid w:val="005860DB"/>
    <w:rsid w:val="0058614F"/>
    <w:rsid w:val="005862DC"/>
    <w:rsid w:val="0058639C"/>
    <w:rsid w:val="005863CC"/>
    <w:rsid w:val="005863CD"/>
    <w:rsid w:val="005863D2"/>
    <w:rsid w:val="00586521"/>
    <w:rsid w:val="0058655D"/>
    <w:rsid w:val="0058657B"/>
    <w:rsid w:val="00586673"/>
    <w:rsid w:val="005866B8"/>
    <w:rsid w:val="0058671A"/>
    <w:rsid w:val="005867D3"/>
    <w:rsid w:val="00586955"/>
    <w:rsid w:val="005869E2"/>
    <w:rsid w:val="00586C9A"/>
    <w:rsid w:val="00586E60"/>
    <w:rsid w:val="00586E64"/>
    <w:rsid w:val="00586E66"/>
    <w:rsid w:val="00586EBE"/>
    <w:rsid w:val="00586EC0"/>
    <w:rsid w:val="00586ED0"/>
    <w:rsid w:val="00586EF3"/>
    <w:rsid w:val="00586F18"/>
    <w:rsid w:val="00586FA5"/>
    <w:rsid w:val="005870B8"/>
    <w:rsid w:val="00587195"/>
    <w:rsid w:val="005872BA"/>
    <w:rsid w:val="0058733C"/>
    <w:rsid w:val="005873A7"/>
    <w:rsid w:val="005873C3"/>
    <w:rsid w:val="0058742C"/>
    <w:rsid w:val="005874E2"/>
    <w:rsid w:val="00587639"/>
    <w:rsid w:val="005876FD"/>
    <w:rsid w:val="00587780"/>
    <w:rsid w:val="00587815"/>
    <w:rsid w:val="0058784B"/>
    <w:rsid w:val="00587917"/>
    <w:rsid w:val="00587958"/>
    <w:rsid w:val="00587A22"/>
    <w:rsid w:val="00587A2B"/>
    <w:rsid w:val="00587A77"/>
    <w:rsid w:val="00587B54"/>
    <w:rsid w:val="00587C2C"/>
    <w:rsid w:val="00587C97"/>
    <w:rsid w:val="00587D9E"/>
    <w:rsid w:val="00587DC7"/>
    <w:rsid w:val="00587E4F"/>
    <w:rsid w:val="00587F04"/>
    <w:rsid w:val="00587F53"/>
    <w:rsid w:val="00587FF8"/>
    <w:rsid w:val="00590224"/>
    <w:rsid w:val="0059022E"/>
    <w:rsid w:val="00590382"/>
    <w:rsid w:val="0059039C"/>
    <w:rsid w:val="005904D6"/>
    <w:rsid w:val="00590599"/>
    <w:rsid w:val="00590689"/>
    <w:rsid w:val="005906DB"/>
    <w:rsid w:val="00590746"/>
    <w:rsid w:val="00590804"/>
    <w:rsid w:val="00590837"/>
    <w:rsid w:val="00590903"/>
    <w:rsid w:val="00590945"/>
    <w:rsid w:val="00590AAF"/>
    <w:rsid w:val="00590B34"/>
    <w:rsid w:val="00590B67"/>
    <w:rsid w:val="00590C77"/>
    <w:rsid w:val="00590CA2"/>
    <w:rsid w:val="00590E63"/>
    <w:rsid w:val="00590E78"/>
    <w:rsid w:val="00590F03"/>
    <w:rsid w:val="00590F6A"/>
    <w:rsid w:val="00591082"/>
    <w:rsid w:val="0059109F"/>
    <w:rsid w:val="0059113C"/>
    <w:rsid w:val="005911E5"/>
    <w:rsid w:val="0059127C"/>
    <w:rsid w:val="0059127F"/>
    <w:rsid w:val="00591394"/>
    <w:rsid w:val="0059142E"/>
    <w:rsid w:val="005914F8"/>
    <w:rsid w:val="005915A6"/>
    <w:rsid w:val="005915F6"/>
    <w:rsid w:val="005916EB"/>
    <w:rsid w:val="00591805"/>
    <w:rsid w:val="005918D6"/>
    <w:rsid w:val="0059192E"/>
    <w:rsid w:val="0059195A"/>
    <w:rsid w:val="00591B6B"/>
    <w:rsid w:val="00591B83"/>
    <w:rsid w:val="00591BAA"/>
    <w:rsid w:val="00591C99"/>
    <w:rsid w:val="00591D16"/>
    <w:rsid w:val="00591DA2"/>
    <w:rsid w:val="00591EEA"/>
    <w:rsid w:val="00591F55"/>
    <w:rsid w:val="00591F7E"/>
    <w:rsid w:val="00592096"/>
    <w:rsid w:val="00592099"/>
    <w:rsid w:val="0059219B"/>
    <w:rsid w:val="005921AF"/>
    <w:rsid w:val="005921F3"/>
    <w:rsid w:val="005922B5"/>
    <w:rsid w:val="005922C8"/>
    <w:rsid w:val="00592399"/>
    <w:rsid w:val="005924DC"/>
    <w:rsid w:val="00592638"/>
    <w:rsid w:val="00592649"/>
    <w:rsid w:val="0059264D"/>
    <w:rsid w:val="00592666"/>
    <w:rsid w:val="00592689"/>
    <w:rsid w:val="005927C9"/>
    <w:rsid w:val="005928CA"/>
    <w:rsid w:val="00592903"/>
    <w:rsid w:val="00592944"/>
    <w:rsid w:val="00592A80"/>
    <w:rsid w:val="00592A89"/>
    <w:rsid w:val="00592B19"/>
    <w:rsid w:val="00592BB8"/>
    <w:rsid w:val="00592E17"/>
    <w:rsid w:val="00592E35"/>
    <w:rsid w:val="0059310F"/>
    <w:rsid w:val="00593138"/>
    <w:rsid w:val="005931B5"/>
    <w:rsid w:val="005931E5"/>
    <w:rsid w:val="005932FD"/>
    <w:rsid w:val="00593451"/>
    <w:rsid w:val="0059349B"/>
    <w:rsid w:val="0059357A"/>
    <w:rsid w:val="0059361A"/>
    <w:rsid w:val="0059366E"/>
    <w:rsid w:val="00593673"/>
    <w:rsid w:val="0059372B"/>
    <w:rsid w:val="00593866"/>
    <w:rsid w:val="005938FE"/>
    <w:rsid w:val="00593A33"/>
    <w:rsid w:val="00593A4C"/>
    <w:rsid w:val="00593A5E"/>
    <w:rsid w:val="00593B66"/>
    <w:rsid w:val="00593E0A"/>
    <w:rsid w:val="00593E7F"/>
    <w:rsid w:val="00593E83"/>
    <w:rsid w:val="00594075"/>
    <w:rsid w:val="0059432C"/>
    <w:rsid w:val="00594448"/>
    <w:rsid w:val="00594470"/>
    <w:rsid w:val="00594486"/>
    <w:rsid w:val="00594504"/>
    <w:rsid w:val="00594566"/>
    <w:rsid w:val="005947B5"/>
    <w:rsid w:val="00594870"/>
    <w:rsid w:val="00594959"/>
    <w:rsid w:val="00594976"/>
    <w:rsid w:val="00594A5D"/>
    <w:rsid w:val="00594A64"/>
    <w:rsid w:val="00594CBE"/>
    <w:rsid w:val="00594D32"/>
    <w:rsid w:val="00594D37"/>
    <w:rsid w:val="00594E01"/>
    <w:rsid w:val="00594F60"/>
    <w:rsid w:val="00595034"/>
    <w:rsid w:val="00595156"/>
    <w:rsid w:val="005951F4"/>
    <w:rsid w:val="0059530B"/>
    <w:rsid w:val="005953F5"/>
    <w:rsid w:val="005955A5"/>
    <w:rsid w:val="0059564B"/>
    <w:rsid w:val="0059564E"/>
    <w:rsid w:val="005956C4"/>
    <w:rsid w:val="00595721"/>
    <w:rsid w:val="0059579F"/>
    <w:rsid w:val="00595805"/>
    <w:rsid w:val="00595927"/>
    <w:rsid w:val="00595954"/>
    <w:rsid w:val="00595961"/>
    <w:rsid w:val="00595B08"/>
    <w:rsid w:val="00595BD0"/>
    <w:rsid w:val="00595BFA"/>
    <w:rsid w:val="00595C06"/>
    <w:rsid w:val="00595CF3"/>
    <w:rsid w:val="00595D92"/>
    <w:rsid w:val="00595ECA"/>
    <w:rsid w:val="00595F25"/>
    <w:rsid w:val="00595F66"/>
    <w:rsid w:val="00595F99"/>
    <w:rsid w:val="005960BB"/>
    <w:rsid w:val="00596192"/>
    <w:rsid w:val="0059619A"/>
    <w:rsid w:val="005961B8"/>
    <w:rsid w:val="005961F5"/>
    <w:rsid w:val="0059633E"/>
    <w:rsid w:val="00596449"/>
    <w:rsid w:val="00596495"/>
    <w:rsid w:val="00596659"/>
    <w:rsid w:val="0059666B"/>
    <w:rsid w:val="0059669D"/>
    <w:rsid w:val="005966C8"/>
    <w:rsid w:val="0059675E"/>
    <w:rsid w:val="0059680D"/>
    <w:rsid w:val="005968B5"/>
    <w:rsid w:val="00596AE7"/>
    <w:rsid w:val="00596B4F"/>
    <w:rsid w:val="00596D44"/>
    <w:rsid w:val="00596D75"/>
    <w:rsid w:val="00596E23"/>
    <w:rsid w:val="00596EEF"/>
    <w:rsid w:val="00596F30"/>
    <w:rsid w:val="00596FA3"/>
    <w:rsid w:val="005970D5"/>
    <w:rsid w:val="005971B6"/>
    <w:rsid w:val="005971EC"/>
    <w:rsid w:val="00597250"/>
    <w:rsid w:val="00597269"/>
    <w:rsid w:val="0059733D"/>
    <w:rsid w:val="00597407"/>
    <w:rsid w:val="00597497"/>
    <w:rsid w:val="00597554"/>
    <w:rsid w:val="005975B3"/>
    <w:rsid w:val="005975BF"/>
    <w:rsid w:val="00597768"/>
    <w:rsid w:val="00597895"/>
    <w:rsid w:val="005978A0"/>
    <w:rsid w:val="00597A29"/>
    <w:rsid w:val="00597A60"/>
    <w:rsid w:val="00597A81"/>
    <w:rsid w:val="00597B9B"/>
    <w:rsid w:val="00597BA1"/>
    <w:rsid w:val="00597BBB"/>
    <w:rsid w:val="00597BFD"/>
    <w:rsid w:val="00597E45"/>
    <w:rsid w:val="00597E4D"/>
    <w:rsid w:val="005A013F"/>
    <w:rsid w:val="005A0207"/>
    <w:rsid w:val="005A020F"/>
    <w:rsid w:val="005A042B"/>
    <w:rsid w:val="005A044D"/>
    <w:rsid w:val="005A0496"/>
    <w:rsid w:val="005A052F"/>
    <w:rsid w:val="005A0534"/>
    <w:rsid w:val="005A058E"/>
    <w:rsid w:val="005A05DB"/>
    <w:rsid w:val="005A071C"/>
    <w:rsid w:val="005A073C"/>
    <w:rsid w:val="005A0746"/>
    <w:rsid w:val="005A07DC"/>
    <w:rsid w:val="005A08DB"/>
    <w:rsid w:val="005A0A38"/>
    <w:rsid w:val="005A0CE0"/>
    <w:rsid w:val="005A0DAD"/>
    <w:rsid w:val="005A0E13"/>
    <w:rsid w:val="005A0E96"/>
    <w:rsid w:val="005A0FB1"/>
    <w:rsid w:val="005A104B"/>
    <w:rsid w:val="005A1166"/>
    <w:rsid w:val="005A1253"/>
    <w:rsid w:val="005A125A"/>
    <w:rsid w:val="005A1428"/>
    <w:rsid w:val="005A14C8"/>
    <w:rsid w:val="005A14F1"/>
    <w:rsid w:val="005A15A8"/>
    <w:rsid w:val="005A17BC"/>
    <w:rsid w:val="005A17E1"/>
    <w:rsid w:val="005A1862"/>
    <w:rsid w:val="005A1868"/>
    <w:rsid w:val="005A1870"/>
    <w:rsid w:val="005A18E0"/>
    <w:rsid w:val="005A1993"/>
    <w:rsid w:val="005A19CC"/>
    <w:rsid w:val="005A1AF9"/>
    <w:rsid w:val="005A1BC5"/>
    <w:rsid w:val="005A1C7D"/>
    <w:rsid w:val="005A1CC6"/>
    <w:rsid w:val="005A1D25"/>
    <w:rsid w:val="005A1D95"/>
    <w:rsid w:val="005A1DB2"/>
    <w:rsid w:val="005A1E39"/>
    <w:rsid w:val="005A1E62"/>
    <w:rsid w:val="005A2015"/>
    <w:rsid w:val="005A20CD"/>
    <w:rsid w:val="005A2240"/>
    <w:rsid w:val="005A23E9"/>
    <w:rsid w:val="005A2401"/>
    <w:rsid w:val="005A24CF"/>
    <w:rsid w:val="005A2501"/>
    <w:rsid w:val="005A26BE"/>
    <w:rsid w:val="005A2825"/>
    <w:rsid w:val="005A2828"/>
    <w:rsid w:val="005A2849"/>
    <w:rsid w:val="005A289B"/>
    <w:rsid w:val="005A2908"/>
    <w:rsid w:val="005A2A7F"/>
    <w:rsid w:val="005A2B63"/>
    <w:rsid w:val="005A2BA5"/>
    <w:rsid w:val="005A2C0A"/>
    <w:rsid w:val="005A2CD4"/>
    <w:rsid w:val="005A2D07"/>
    <w:rsid w:val="005A2F14"/>
    <w:rsid w:val="005A3017"/>
    <w:rsid w:val="005A302B"/>
    <w:rsid w:val="005A30B3"/>
    <w:rsid w:val="005A3126"/>
    <w:rsid w:val="005A313A"/>
    <w:rsid w:val="005A316C"/>
    <w:rsid w:val="005A319D"/>
    <w:rsid w:val="005A31B1"/>
    <w:rsid w:val="005A31BD"/>
    <w:rsid w:val="005A3238"/>
    <w:rsid w:val="005A3302"/>
    <w:rsid w:val="005A333E"/>
    <w:rsid w:val="005A3350"/>
    <w:rsid w:val="005A3407"/>
    <w:rsid w:val="005A3458"/>
    <w:rsid w:val="005A34AD"/>
    <w:rsid w:val="005A34EE"/>
    <w:rsid w:val="005A35C8"/>
    <w:rsid w:val="005A35D6"/>
    <w:rsid w:val="005A3644"/>
    <w:rsid w:val="005A39C0"/>
    <w:rsid w:val="005A39D9"/>
    <w:rsid w:val="005A3A67"/>
    <w:rsid w:val="005A3AAB"/>
    <w:rsid w:val="005A3B0D"/>
    <w:rsid w:val="005A3C87"/>
    <w:rsid w:val="005A3D36"/>
    <w:rsid w:val="005A3F7E"/>
    <w:rsid w:val="005A4047"/>
    <w:rsid w:val="005A40E2"/>
    <w:rsid w:val="005A40F7"/>
    <w:rsid w:val="005A42EB"/>
    <w:rsid w:val="005A4360"/>
    <w:rsid w:val="005A4384"/>
    <w:rsid w:val="005A43CD"/>
    <w:rsid w:val="005A44EA"/>
    <w:rsid w:val="005A453B"/>
    <w:rsid w:val="005A45D9"/>
    <w:rsid w:val="005A4617"/>
    <w:rsid w:val="005A4705"/>
    <w:rsid w:val="005A4745"/>
    <w:rsid w:val="005A47AE"/>
    <w:rsid w:val="005A490C"/>
    <w:rsid w:val="005A493C"/>
    <w:rsid w:val="005A4999"/>
    <w:rsid w:val="005A49A1"/>
    <w:rsid w:val="005A49B6"/>
    <w:rsid w:val="005A49B8"/>
    <w:rsid w:val="005A4A42"/>
    <w:rsid w:val="005A4ACA"/>
    <w:rsid w:val="005A4B32"/>
    <w:rsid w:val="005A4B49"/>
    <w:rsid w:val="005A4B9F"/>
    <w:rsid w:val="005A4C84"/>
    <w:rsid w:val="005A4D39"/>
    <w:rsid w:val="005A5001"/>
    <w:rsid w:val="005A506D"/>
    <w:rsid w:val="005A5196"/>
    <w:rsid w:val="005A51A4"/>
    <w:rsid w:val="005A5356"/>
    <w:rsid w:val="005A53C2"/>
    <w:rsid w:val="005A53F6"/>
    <w:rsid w:val="005A5457"/>
    <w:rsid w:val="005A548F"/>
    <w:rsid w:val="005A5516"/>
    <w:rsid w:val="005A558A"/>
    <w:rsid w:val="005A55DB"/>
    <w:rsid w:val="005A55E2"/>
    <w:rsid w:val="005A5757"/>
    <w:rsid w:val="005A57D3"/>
    <w:rsid w:val="005A590A"/>
    <w:rsid w:val="005A590B"/>
    <w:rsid w:val="005A59C0"/>
    <w:rsid w:val="005A5A76"/>
    <w:rsid w:val="005A5AF7"/>
    <w:rsid w:val="005A5E62"/>
    <w:rsid w:val="005A5EA2"/>
    <w:rsid w:val="005A5ECA"/>
    <w:rsid w:val="005A5ECC"/>
    <w:rsid w:val="005A5F96"/>
    <w:rsid w:val="005A5FE1"/>
    <w:rsid w:val="005A60DA"/>
    <w:rsid w:val="005A6552"/>
    <w:rsid w:val="005A6578"/>
    <w:rsid w:val="005A6687"/>
    <w:rsid w:val="005A67B6"/>
    <w:rsid w:val="005A68BA"/>
    <w:rsid w:val="005A6A61"/>
    <w:rsid w:val="005A6A62"/>
    <w:rsid w:val="005A6ACF"/>
    <w:rsid w:val="005A6B69"/>
    <w:rsid w:val="005A6C24"/>
    <w:rsid w:val="005A6ECC"/>
    <w:rsid w:val="005A6FCA"/>
    <w:rsid w:val="005A7012"/>
    <w:rsid w:val="005A701F"/>
    <w:rsid w:val="005A7078"/>
    <w:rsid w:val="005A70C0"/>
    <w:rsid w:val="005A7169"/>
    <w:rsid w:val="005A716D"/>
    <w:rsid w:val="005A72EA"/>
    <w:rsid w:val="005A73E0"/>
    <w:rsid w:val="005A75AA"/>
    <w:rsid w:val="005A7766"/>
    <w:rsid w:val="005A797C"/>
    <w:rsid w:val="005A799A"/>
    <w:rsid w:val="005A79C7"/>
    <w:rsid w:val="005A79F9"/>
    <w:rsid w:val="005A7A5E"/>
    <w:rsid w:val="005A7A6F"/>
    <w:rsid w:val="005A7A70"/>
    <w:rsid w:val="005A7B45"/>
    <w:rsid w:val="005A7B78"/>
    <w:rsid w:val="005A7CDB"/>
    <w:rsid w:val="005A7D49"/>
    <w:rsid w:val="005A7DA1"/>
    <w:rsid w:val="005B0012"/>
    <w:rsid w:val="005B0026"/>
    <w:rsid w:val="005B005A"/>
    <w:rsid w:val="005B0100"/>
    <w:rsid w:val="005B0134"/>
    <w:rsid w:val="005B01A2"/>
    <w:rsid w:val="005B01FE"/>
    <w:rsid w:val="005B0228"/>
    <w:rsid w:val="005B0287"/>
    <w:rsid w:val="005B031D"/>
    <w:rsid w:val="005B03E5"/>
    <w:rsid w:val="005B0549"/>
    <w:rsid w:val="005B056D"/>
    <w:rsid w:val="005B05E9"/>
    <w:rsid w:val="005B0646"/>
    <w:rsid w:val="005B0663"/>
    <w:rsid w:val="005B06E9"/>
    <w:rsid w:val="005B0813"/>
    <w:rsid w:val="005B0992"/>
    <w:rsid w:val="005B09BF"/>
    <w:rsid w:val="005B0B26"/>
    <w:rsid w:val="005B0B90"/>
    <w:rsid w:val="005B0C1E"/>
    <w:rsid w:val="005B0C1F"/>
    <w:rsid w:val="005B0DAE"/>
    <w:rsid w:val="005B0E10"/>
    <w:rsid w:val="005B0FCB"/>
    <w:rsid w:val="005B10A8"/>
    <w:rsid w:val="005B1138"/>
    <w:rsid w:val="005B128A"/>
    <w:rsid w:val="005B1290"/>
    <w:rsid w:val="005B130C"/>
    <w:rsid w:val="005B131A"/>
    <w:rsid w:val="005B1341"/>
    <w:rsid w:val="005B1449"/>
    <w:rsid w:val="005B1462"/>
    <w:rsid w:val="005B1506"/>
    <w:rsid w:val="005B15CF"/>
    <w:rsid w:val="005B165C"/>
    <w:rsid w:val="005B16EE"/>
    <w:rsid w:val="005B174C"/>
    <w:rsid w:val="005B1762"/>
    <w:rsid w:val="005B17C4"/>
    <w:rsid w:val="005B17CC"/>
    <w:rsid w:val="005B1877"/>
    <w:rsid w:val="005B18A6"/>
    <w:rsid w:val="005B18C7"/>
    <w:rsid w:val="005B1A11"/>
    <w:rsid w:val="005B1A9E"/>
    <w:rsid w:val="005B1AC5"/>
    <w:rsid w:val="005B1BB4"/>
    <w:rsid w:val="005B1BD5"/>
    <w:rsid w:val="005B1C07"/>
    <w:rsid w:val="005B1E0F"/>
    <w:rsid w:val="005B1E64"/>
    <w:rsid w:val="005B1FB1"/>
    <w:rsid w:val="005B20EA"/>
    <w:rsid w:val="005B214F"/>
    <w:rsid w:val="005B21B6"/>
    <w:rsid w:val="005B22C3"/>
    <w:rsid w:val="005B2350"/>
    <w:rsid w:val="005B2416"/>
    <w:rsid w:val="005B2432"/>
    <w:rsid w:val="005B24CE"/>
    <w:rsid w:val="005B26AB"/>
    <w:rsid w:val="005B26CD"/>
    <w:rsid w:val="005B28B3"/>
    <w:rsid w:val="005B28CF"/>
    <w:rsid w:val="005B28E1"/>
    <w:rsid w:val="005B28E7"/>
    <w:rsid w:val="005B2957"/>
    <w:rsid w:val="005B29C7"/>
    <w:rsid w:val="005B2A7D"/>
    <w:rsid w:val="005B2B94"/>
    <w:rsid w:val="005B2C73"/>
    <w:rsid w:val="005B2C79"/>
    <w:rsid w:val="005B2CDA"/>
    <w:rsid w:val="005B2EB1"/>
    <w:rsid w:val="005B2ED0"/>
    <w:rsid w:val="005B2EE4"/>
    <w:rsid w:val="005B2EF3"/>
    <w:rsid w:val="005B2F35"/>
    <w:rsid w:val="005B2FE5"/>
    <w:rsid w:val="005B3027"/>
    <w:rsid w:val="005B3103"/>
    <w:rsid w:val="005B311F"/>
    <w:rsid w:val="005B31CF"/>
    <w:rsid w:val="005B32A4"/>
    <w:rsid w:val="005B33F8"/>
    <w:rsid w:val="005B3432"/>
    <w:rsid w:val="005B348F"/>
    <w:rsid w:val="005B34B9"/>
    <w:rsid w:val="005B358E"/>
    <w:rsid w:val="005B35C0"/>
    <w:rsid w:val="005B35D9"/>
    <w:rsid w:val="005B3605"/>
    <w:rsid w:val="005B365B"/>
    <w:rsid w:val="005B369C"/>
    <w:rsid w:val="005B36FF"/>
    <w:rsid w:val="005B3738"/>
    <w:rsid w:val="005B37AA"/>
    <w:rsid w:val="005B37D8"/>
    <w:rsid w:val="005B37DF"/>
    <w:rsid w:val="005B38C4"/>
    <w:rsid w:val="005B3967"/>
    <w:rsid w:val="005B3998"/>
    <w:rsid w:val="005B3A66"/>
    <w:rsid w:val="005B3AA9"/>
    <w:rsid w:val="005B3AEA"/>
    <w:rsid w:val="005B3B2D"/>
    <w:rsid w:val="005B3BD6"/>
    <w:rsid w:val="005B3C59"/>
    <w:rsid w:val="005B3E62"/>
    <w:rsid w:val="005B4052"/>
    <w:rsid w:val="005B40A3"/>
    <w:rsid w:val="005B40B1"/>
    <w:rsid w:val="005B414B"/>
    <w:rsid w:val="005B41AB"/>
    <w:rsid w:val="005B41CE"/>
    <w:rsid w:val="005B4314"/>
    <w:rsid w:val="005B43A3"/>
    <w:rsid w:val="005B43BF"/>
    <w:rsid w:val="005B43CA"/>
    <w:rsid w:val="005B4402"/>
    <w:rsid w:val="005B445D"/>
    <w:rsid w:val="005B45B1"/>
    <w:rsid w:val="005B45F4"/>
    <w:rsid w:val="005B4628"/>
    <w:rsid w:val="005B46B9"/>
    <w:rsid w:val="005B4753"/>
    <w:rsid w:val="005B478D"/>
    <w:rsid w:val="005B47B7"/>
    <w:rsid w:val="005B4809"/>
    <w:rsid w:val="005B480B"/>
    <w:rsid w:val="005B48E0"/>
    <w:rsid w:val="005B493E"/>
    <w:rsid w:val="005B4A1D"/>
    <w:rsid w:val="005B4A79"/>
    <w:rsid w:val="005B4A89"/>
    <w:rsid w:val="005B4AE3"/>
    <w:rsid w:val="005B4C1F"/>
    <w:rsid w:val="005B4C50"/>
    <w:rsid w:val="005B4C6A"/>
    <w:rsid w:val="005B4C88"/>
    <w:rsid w:val="005B4D60"/>
    <w:rsid w:val="005B4D77"/>
    <w:rsid w:val="005B4E96"/>
    <w:rsid w:val="005B4F2A"/>
    <w:rsid w:val="005B4FFC"/>
    <w:rsid w:val="005B50F5"/>
    <w:rsid w:val="005B521A"/>
    <w:rsid w:val="005B5244"/>
    <w:rsid w:val="005B5267"/>
    <w:rsid w:val="005B52A6"/>
    <w:rsid w:val="005B52B6"/>
    <w:rsid w:val="005B52CE"/>
    <w:rsid w:val="005B52E7"/>
    <w:rsid w:val="005B540F"/>
    <w:rsid w:val="005B543A"/>
    <w:rsid w:val="005B559B"/>
    <w:rsid w:val="005B56EF"/>
    <w:rsid w:val="005B5793"/>
    <w:rsid w:val="005B58DD"/>
    <w:rsid w:val="005B5999"/>
    <w:rsid w:val="005B5A24"/>
    <w:rsid w:val="005B5B52"/>
    <w:rsid w:val="005B5CF3"/>
    <w:rsid w:val="005B5D5F"/>
    <w:rsid w:val="005B5FE7"/>
    <w:rsid w:val="005B608D"/>
    <w:rsid w:val="005B6172"/>
    <w:rsid w:val="005B6206"/>
    <w:rsid w:val="005B6240"/>
    <w:rsid w:val="005B62D8"/>
    <w:rsid w:val="005B645C"/>
    <w:rsid w:val="005B6645"/>
    <w:rsid w:val="005B6681"/>
    <w:rsid w:val="005B66C9"/>
    <w:rsid w:val="005B681D"/>
    <w:rsid w:val="005B6847"/>
    <w:rsid w:val="005B686D"/>
    <w:rsid w:val="005B6A05"/>
    <w:rsid w:val="005B6A07"/>
    <w:rsid w:val="005B6A72"/>
    <w:rsid w:val="005B6B79"/>
    <w:rsid w:val="005B6BD9"/>
    <w:rsid w:val="005B6CFA"/>
    <w:rsid w:val="005B6D8E"/>
    <w:rsid w:val="005B6F2F"/>
    <w:rsid w:val="005B7175"/>
    <w:rsid w:val="005B7220"/>
    <w:rsid w:val="005B7283"/>
    <w:rsid w:val="005B736F"/>
    <w:rsid w:val="005B73D9"/>
    <w:rsid w:val="005B743D"/>
    <w:rsid w:val="005B760D"/>
    <w:rsid w:val="005B778B"/>
    <w:rsid w:val="005B77B9"/>
    <w:rsid w:val="005B77BD"/>
    <w:rsid w:val="005B7840"/>
    <w:rsid w:val="005B791C"/>
    <w:rsid w:val="005B791F"/>
    <w:rsid w:val="005B793B"/>
    <w:rsid w:val="005B796A"/>
    <w:rsid w:val="005B79A3"/>
    <w:rsid w:val="005B79C7"/>
    <w:rsid w:val="005B7A6B"/>
    <w:rsid w:val="005B7B16"/>
    <w:rsid w:val="005B7B48"/>
    <w:rsid w:val="005B7B92"/>
    <w:rsid w:val="005B7C47"/>
    <w:rsid w:val="005B7D6C"/>
    <w:rsid w:val="005B7E6F"/>
    <w:rsid w:val="005B7E73"/>
    <w:rsid w:val="005B7E7C"/>
    <w:rsid w:val="005C002F"/>
    <w:rsid w:val="005C003A"/>
    <w:rsid w:val="005C0066"/>
    <w:rsid w:val="005C01DC"/>
    <w:rsid w:val="005C02A0"/>
    <w:rsid w:val="005C02A4"/>
    <w:rsid w:val="005C02F8"/>
    <w:rsid w:val="005C03AE"/>
    <w:rsid w:val="005C046E"/>
    <w:rsid w:val="005C058A"/>
    <w:rsid w:val="005C0675"/>
    <w:rsid w:val="005C0738"/>
    <w:rsid w:val="005C0753"/>
    <w:rsid w:val="005C0836"/>
    <w:rsid w:val="005C0922"/>
    <w:rsid w:val="005C0962"/>
    <w:rsid w:val="005C0A85"/>
    <w:rsid w:val="005C0B70"/>
    <w:rsid w:val="005C0B71"/>
    <w:rsid w:val="005C0BD1"/>
    <w:rsid w:val="005C0C71"/>
    <w:rsid w:val="005C0C97"/>
    <w:rsid w:val="005C0CE3"/>
    <w:rsid w:val="005C0E39"/>
    <w:rsid w:val="005C0E5A"/>
    <w:rsid w:val="005C0E5D"/>
    <w:rsid w:val="005C0F90"/>
    <w:rsid w:val="005C0FEF"/>
    <w:rsid w:val="005C10E5"/>
    <w:rsid w:val="005C1542"/>
    <w:rsid w:val="005C154D"/>
    <w:rsid w:val="005C15FD"/>
    <w:rsid w:val="005C1627"/>
    <w:rsid w:val="005C16CD"/>
    <w:rsid w:val="005C17D1"/>
    <w:rsid w:val="005C1845"/>
    <w:rsid w:val="005C1982"/>
    <w:rsid w:val="005C1A11"/>
    <w:rsid w:val="005C1ACC"/>
    <w:rsid w:val="005C1B39"/>
    <w:rsid w:val="005C1B4D"/>
    <w:rsid w:val="005C1BDA"/>
    <w:rsid w:val="005C1E90"/>
    <w:rsid w:val="005C1EEF"/>
    <w:rsid w:val="005C1F65"/>
    <w:rsid w:val="005C2012"/>
    <w:rsid w:val="005C203B"/>
    <w:rsid w:val="005C205E"/>
    <w:rsid w:val="005C20A9"/>
    <w:rsid w:val="005C2151"/>
    <w:rsid w:val="005C22AB"/>
    <w:rsid w:val="005C23A5"/>
    <w:rsid w:val="005C2412"/>
    <w:rsid w:val="005C2449"/>
    <w:rsid w:val="005C24DE"/>
    <w:rsid w:val="005C2617"/>
    <w:rsid w:val="005C2618"/>
    <w:rsid w:val="005C2625"/>
    <w:rsid w:val="005C2670"/>
    <w:rsid w:val="005C27D2"/>
    <w:rsid w:val="005C27ED"/>
    <w:rsid w:val="005C2874"/>
    <w:rsid w:val="005C2974"/>
    <w:rsid w:val="005C29B5"/>
    <w:rsid w:val="005C2ADD"/>
    <w:rsid w:val="005C2B50"/>
    <w:rsid w:val="005C2B5D"/>
    <w:rsid w:val="005C2B98"/>
    <w:rsid w:val="005C2BE2"/>
    <w:rsid w:val="005C2F39"/>
    <w:rsid w:val="005C2FBC"/>
    <w:rsid w:val="005C315A"/>
    <w:rsid w:val="005C31C1"/>
    <w:rsid w:val="005C3331"/>
    <w:rsid w:val="005C3386"/>
    <w:rsid w:val="005C340B"/>
    <w:rsid w:val="005C34ED"/>
    <w:rsid w:val="005C3576"/>
    <w:rsid w:val="005C36D7"/>
    <w:rsid w:val="005C3713"/>
    <w:rsid w:val="005C3745"/>
    <w:rsid w:val="005C38C3"/>
    <w:rsid w:val="005C394B"/>
    <w:rsid w:val="005C3A32"/>
    <w:rsid w:val="005C3B69"/>
    <w:rsid w:val="005C3CC3"/>
    <w:rsid w:val="005C3DA2"/>
    <w:rsid w:val="005C3DDF"/>
    <w:rsid w:val="005C3DE0"/>
    <w:rsid w:val="005C3E19"/>
    <w:rsid w:val="005C3ED7"/>
    <w:rsid w:val="005C3F04"/>
    <w:rsid w:val="005C4138"/>
    <w:rsid w:val="005C4199"/>
    <w:rsid w:val="005C4283"/>
    <w:rsid w:val="005C42E9"/>
    <w:rsid w:val="005C4306"/>
    <w:rsid w:val="005C4357"/>
    <w:rsid w:val="005C4369"/>
    <w:rsid w:val="005C4396"/>
    <w:rsid w:val="005C45CC"/>
    <w:rsid w:val="005C460E"/>
    <w:rsid w:val="005C472E"/>
    <w:rsid w:val="005C47C3"/>
    <w:rsid w:val="005C48E9"/>
    <w:rsid w:val="005C49A6"/>
    <w:rsid w:val="005C4B12"/>
    <w:rsid w:val="005C4BB1"/>
    <w:rsid w:val="005C4C2C"/>
    <w:rsid w:val="005C4C37"/>
    <w:rsid w:val="005C4E36"/>
    <w:rsid w:val="005C4E3C"/>
    <w:rsid w:val="005C4E4D"/>
    <w:rsid w:val="005C4EF7"/>
    <w:rsid w:val="005C4F6B"/>
    <w:rsid w:val="005C4FAC"/>
    <w:rsid w:val="005C4FC5"/>
    <w:rsid w:val="005C4FD1"/>
    <w:rsid w:val="005C5024"/>
    <w:rsid w:val="005C50C4"/>
    <w:rsid w:val="005C5250"/>
    <w:rsid w:val="005C5309"/>
    <w:rsid w:val="005C5348"/>
    <w:rsid w:val="005C53AB"/>
    <w:rsid w:val="005C53CD"/>
    <w:rsid w:val="005C53E0"/>
    <w:rsid w:val="005C540E"/>
    <w:rsid w:val="005C5728"/>
    <w:rsid w:val="005C576E"/>
    <w:rsid w:val="005C589E"/>
    <w:rsid w:val="005C590F"/>
    <w:rsid w:val="005C597A"/>
    <w:rsid w:val="005C59DF"/>
    <w:rsid w:val="005C5A67"/>
    <w:rsid w:val="005C5ACB"/>
    <w:rsid w:val="005C5B0A"/>
    <w:rsid w:val="005C5B29"/>
    <w:rsid w:val="005C5B3E"/>
    <w:rsid w:val="005C5C7B"/>
    <w:rsid w:val="005C5C8A"/>
    <w:rsid w:val="005C5C9D"/>
    <w:rsid w:val="005C5D13"/>
    <w:rsid w:val="005C5E9D"/>
    <w:rsid w:val="005C5EF7"/>
    <w:rsid w:val="005C5F01"/>
    <w:rsid w:val="005C5F08"/>
    <w:rsid w:val="005C5F59"/>
    <w:rsid w:val="005C6056"/>
    <w:rsid w:val="005C60A4"/>
    <w:rsid w:val="005C60CF"/>
    <w:rsid w:val="005C614A"/>
    <w:rsid w:val="005C6173"/>
    <w:rsid w:val="005C62CB"/>
    <w:rsid w:val="005C6488"/>
    <w:rsid w:val="005C64B0"/>
    <w:rsid w:val="005C6548"/>
    <w:rsid w:val="005C6574"/>
    <w:rsid w:val="005C6578"/>
    <w:rsid w:val="005C65B2"/>
    <w:rsid w:val="005C6702"/>
    <w:rsid w:val="005C6720"/>
    <w:rsid w:val="005C6819"/>
    <w:rsid w:val="005C6850"/>
    <w:rsid w:val="005C6AC7"/>
    <w:rsid w:val="005C6B52"/>
    <w:rsid w:val="005C6B56"/>
    <w:rsid w:val="005C6C98"/>
    <w:rsid w:val="005C6CF4"/>
    <w:rsid w:val="005C6D01"/>
    <w:rsid w:val="005C6D10"/>
    <w:rsid w:val="005C6DF3"/>
    <w:rsid w:val="005C6E11"/>
    <w:rsid w:val="005C6F21"/>
    <w:rsid w:val="005C7069"/>
    <w:rsid w:val="005C70CE"/>
    <w:rsid w:val="005C70DA"/>
    <w:rsid w:val="005C70E7"/>
    <w:rsid w:val="005C7165"/>
    <w:rsid w:val="005C71BA"/>
    <w:rsid w:val="005C7215"/>
    <w:rsid w:val="005C721A"/>
    <w:rsid w:val="005C724F"/>
    <w:rsid w:val="005C72D8"/>
    <w:rsid w:val="005C737C"/>
    <w:rsid w:val="005C738F"/>
    <w:rsid w:val="005C73C4"/>
    <w:rsid w:val="005C7475"/>
    <w:rsid w:val="005C74A5"/>
    <w:rsid w:val="005C74D9"/>
    <w:rsid w:val="005C7513"/>
    <w:rsid w:val="005C7550"/>
    <w:rsid w:val="005C760C"/>
    <w:rsid w:val="005C766C"/>
    <w:rsid w:val="005C773E"/>
    <w:rsid w:val="005C782D"/>
    <w:rsid w:val="005C78E5"/>
    <w:rsid w:val="005C795A"/>
    <w:rsid w:val="005C7B7D"/>
    <w:rsid w:val="005C7BDF"/>
    <w:rsid w:val="005C7C2A"/>
    <w:rsid w:val="005C7C9A"/>
    <w:rsid w:val="005C7EA1"/>
    <w:rsid w:val="005C7FA7"/>
    <w:rsid w:val="005D00EA"/>
    <w:rsid w:val="005D0188"/>
    <w:rsid w:val="005D023B"/>
    <w:rsid w:val="005D0425"/>
    <w:rsid w:val="005D04B4"/>
    <w:rsid w:val="005D0503"/>
    <w:rsid w:val="005D050D"/>
    <w:rsid w:val="005D05B4"/>
    <w:rsid w:val="005D06C1"/>
    <w:rsid w:val="005D0741"/>
    <w:rsid w:val="005D07F0"/>
    <w:rsid w:val="005D0885"/>
    <w:rsid w:val="005D08AE"/>
    <w:rsid w:val="005D08EE"/>
    <w:rsid w:val="005D0981"/>
    <w:rsid w:val="005D09B4"/>
    <w:rsid w:val="005D0A27"/>
    <w:rsid w:val="005D0B01"/>
    <w:rsid w:val="005D0B72"/>
    <w:rsid w:val="005D0C83"/>
    <w:rsid w:val="005D0CC0"/>
    <w:rsid w:val="005D0E2D"/>
    <w:rsid w:val="005D0E31"/>
    <w:rsid w:val="005D0E9F"/>
    <w:rsid w:val="005D100C"/>
    <w:rsid w:val="005D1235"/>
    <w:rsid w:val="005D12C4"/>
    <w:rsid w:val="005D1584"/>
    <w:rsid w:val="005D165B"/>
    <w:rsid w:val="005D17A2"/>
    <w:rsid w:val="005D17B8"/>
    <w:rsid w:val="005D17F2"/>
    <w:rsid w:val="005D1864"/>
    <w:rsid w:val="005D1A00"/>
    <w:rsid w:val="005D1A20"/>
    <w:rsid w:val="005D1B11"/>
    <w:rsid w:val="005D1BF6"/>
    <w:rsid w:val="005D1C4E"/>
    <w:rsid w:val="005D1CA0"/>
    <w:rsid w:val="005D1D0C"/>
    <w:rsid w:val="005D1D76"/>
    <w:rsid w:val="005D1DAA"/>
    <w:rsid w:val="005D1E8B"/>
    <w:rsid w:val="005D1F0D"/>
    <w:rsid w:val="005D1FA0"/>
    <w:rsid w:val="005D2112"/>
    <w:rsid w:val="005D21A2"/>
    <w:rsid w:val="005D21FD"/>
    <w:rsid w:val="005D2250"/>
    <w:rsid w:val="005D227A"/>
    <w:rsid w:val="005D2304"/>
    <w:rsid w:val="005D241F"/>
    <w:rsid w:val="005D25CF"/>
    <w:rsid w:val="005D2607"/>
    <w:rsid w:val="005D2617"/>
    <w:rsid w:val="005D2636"/>
    <w:rsid w:val="005D2656"/>
    <w:rsid w:val="005D26C3"/>
    <w:rsid w:val="005D26CF"/>
    <w:rsid w:val="005D275D"/>
    <w:rsid w:val="005D277B"/>
    <w:rsid w:val="005D27E3"/>
    <w:rsid w:val="005D27F7"/>
    <w:rsid w:val="005D28CD"/>
    <w:rsid w:val="005D29F7"/>
    <w:rsid w:val="005D2B6D"/>
    <w:rsid w:val="005D2B78"/>
    <w:rsid w:val="005D2B88"/>
    <w:rsid w:val="005D2D18"/>
    <w:rsid w:val="005D2DF0"/>
    <w:rsid w:val="005D2F7A"/>
    <w:rsid w:val="005D30D1"/>
    <w:rsid w:val="005D3116"/>
    <w:rsid w:val="005D32AF"/>
    <w:rsid w:val="005D336C"/>
    <w:rsid w:val="005D35DE"/>
    <w:rsid w:val="005D36C1"/>
    <w:rsid w:val="005D36EA"/>
    <w:rsid w:val="005D3709"/>
    <w:rsid w:val="005D3759"/>
    <w:rsid w:val="005D38A3"/>
    <w:rsid w:val="005D3926"/>
    <w:rsid w:val="005D3A04"/>
    <w:rsid w:val="005D3A09"/>
    <w:rsid w:val="005D3BEA"/>
    <w:rsid w:val="005D3D13"/>
    <w:rsid w:val="005D3DA3"/>
    <w:rsid w:val="005D3F95"/>
    <w:rsid w:val="005D4004"/>
    <w:rsid w:val="005D4017"/>
    <w:rsid w:val="005D40CE"/>
    <w:rsid w:val="005D40D8"/>
    <w:rsid w:val="005D4113"/>
    <w:rsid w:val="005D41C0"/>
    <w:rsid w:val="005D41DE"/>
    <w:rsid w:val="005D4228"/>
    <w:rsid w:val="005D4312"/>
    <w:rsid w:val="005D43E4"/>
    <w:rsid w:val="005D449F"/>
    <w:rsid w:val="005D45F2"/>
    <w:rsid w:val="005D4841"/>
    <w:rsid w:val="005D48FE"/>
    <w:rsid w:val="005D4954"/>
    <w:rsid w:val="005D4992"/>
    <w:rsid w:val="005D4A0C"/>
    <w:rsid w:val="005D4B9A"/>
    <w:rsid w:val="005D4C91"/>
    <w:rsid w:val="005D4CA1"/>
    <w:rsid w:val="005D4CAD"/>
    <w:rsid w:val="005D4EEA"/>
    <w:rsid w:val="005D4EEE"/>
    <w:rsid w:val="005D4F0B"/>
    <w:rsid w:val="005D501F"/>
    <w:rsid w:val="005D509F"/>
    <w:rsid w:val="005D50C6"/>
    <w:rsid w:val="005D511D"/>
    <w:rsid w:val="005D515D"/>
    <w:rsid w:val="005D51CA"/>
    <w:rsid w:val="005D5212"/>
    <w:rsid w:val="005D526F"/>
    <w:rsid w:val="005D535E"/>
    <w:rsid w:val="005D53E6"/>
    <w:rsid w:val="005D54C6"/>
    <w:rsid w:val="005D55FE"/>
    <w:rsid w:val="005D5631"/>
    <w:rsid w:val="005D5758"/>
    <w:rsid w:val="005D584F"/>
    <w:rsid w:val="005D58A0"/>
    <w:rsid w:val="005D599B"/>
    <w:rsid w:val="005D59E8"/>
    <w:rsid w:val="005D5B95"/>
    <w:rsid w:val="005D5CE9"/>
    <w:rsid w:val="005D5D32"/>
    <w:rsid w:val="005D5E50"/>
    <w:rsid w:val="005D5E8D"/>
    <w:rsid w:val="005D5ED8"/>
    <w:rsid w:val="005D5F2C"/>
    <w:rsid w:val="005D5F5D"/>
    <w:rsid w:val="005D5F88"/>
    <w:rsid w:val="005D5FAB"/>
    <w:rsid w:val="005D5FFD"/>
    <w:rsid w:val="005D606D"/>
    <w:rsid w:val="005D607E"/>
    <w:rsid w:val="005D60A5"/>
    <w:rsid w:val="005D60EE"/>
    <w:rsid w:val="005D63DF"/>
    <w:rsid w:val="005D6493"/>
    <w:rsid w:val="005D6501"/>
    <w:rsid w:val="005D653A"/>
    <w:rsid w:val="005D6588"/>
    <w:rsid w:val="005D658A"/>
    <w:rsid w:val="005D6595"/>
    <w:rsid w:val="005D66FF"/>
    <w:rsid w:val="005D6738"/>
    <w:rsid w:val="005D6947"/>
    <w:rsid w:val="005D697F"/>
    <w:rsid w:val="005D6A71"/>
    <w:rsid w:val="005D6AA8"/>
    <w:rsid w:val="005D6B44"/>
    <w:rsid w:val="005D6BA0"/>
    <w:rsid w:val="005D6BEB"/>
    <w:rsid w:val="005D6E0C"/>
    <w:rsid w:val="005D6E4C"/>
    <w:rsid w:val="005D6E94"/>
    <w:rsid w:val="005D6EB5"/>
    <w:rsid w:val="005D6EB9"/>
    <w:rsid w:val="005D6FAD"/>
    <w:rsid w:val="005D6FBA"/>
    <w:rsid w:val="005D704C"/>
    <w:rsid w:val="005D7118"/>
    <w:rsid w:val="005D7125"/>
    <w:rsid w:val="005D719C"/>
    <w:rsid w:val="005D7216"/>
    <w:rsid w:val="005D72BC"/>
    <w:rsid w:val="005D73A8"/>
    <w:rsid w:val="005D73B9"/>
    <w:rsid w:val="005D7471"/>
    <w:rsid w:val="005D749D"/>
    <w:rsid w:val="005D756D"/>
    <w:rsid w:val="005D75BD"/>
    <w:rsid w:val="005D76E0"/>
    <w:rsid w:val="005D76E7"/>
    <w:rsid w:val="005D7728"/>
    <w:rsid w:val="005D779F"/>
    <w:rsid w:val="005D796C"/>
    <w:rsid w:val="005D7A10"/>
    <w:rsid w:val="005D7A99"/>
    <w:rsid w:val="005D7AEB"/>
    <w:rsid w:val="005D7B4D"/>
    <w:rsid w:val="005D7B4E"/>
    <w:rsid w:val="005D7C7F"/>
    <w:rsid w:val="005D7C8A"/>
    <w:rsid w:val="005D7D4A"/>
    <w:rsid w:val="005D7D70"/>
    <w:rsid w:val="005D7D8A"/>
    <w:rsid w:val="005D7E02"/>
    <w:rsid w:val="005D7E59"/>
    <w:rsid w:val="005D7EFE"/>
    <w:rsid w:val="005D7EFF"/>
    <w:rsid w:val="005E00B9"/>
    <w:rsid w:val="005E01A4"/>
    <w:rsid w:val="005E0209"/>
    <w:rsid w:val="005E035A"/>
    <w:rsid w:val="005E0423"/>
    <w:rsid w:val="005E0494"/>
    <w:rsid w:val="005E04C9"/>
    <w:rsid w:val="005E06A8"/>
    <w:rsid w:val="005E0702"/>
    <w:rsid w:val="005E070C"/>
    <w:rsid w:val="005E07DF"/>
    <w:rsid w:val="005E0858"/>
    <w:rsid w:val="005E08F3"/>
    <w:rsid w:val="005E09E2"/>
    <w:rsid w:val="005E0A2F"/>
    <w:rsid w:val="005E0B96"/>
    <w:rsid w:val="005E0B99"/>
    <w:rsid w:val="005E0BE4"/>
    <w:rsid w:val="005E0CA1"/>
    <w:rsid w:val="005E0CE3"/>
    <w:rsid w:val="005E0DDA"/>
    <w:rsid w:val="005E0DDE"/>
    <w:rsid w:val="005E0FC3"/>
    <w:rsid w:val="005E10A6"/>
    <w:rsid w:val="005E10CB"/>
    <w:rsid w:val="005E118B"/>
    <w:rsid w:val="005E139E"/>
    <w:rsid w:val="005E13DA"/>
    <w:rsid w:val="005E1487"/>
    <w:rsid w:val="005E14BF"/>
    <w:rsid w:val="005E14CA"/>
    <w:rsid w:val="005E14DE"/>
    <w:rsid w:val="005E156C"/>
    <w:rsid w:val="005E1639"/>
    <w:rsid w:val="005E1873"/>
    <w:rsid w:val="005E18C2"/>
    <w:rsid w:val="005E1900"/>
    <w:rsid w:val="005E19B8"/>
    <w:rsid w:val="005E1B15"/>
    <w:rsid w:val="005E1B88"/>
    <w:rsid w:val="005E1BEF"/>
    <w:rsid w:val="005E1C0F"/>
    <w:rsid w:val="005E1CC8"/>
    <w:rsid w:val="005E1DDB"/>
    <w:rsid w:val="005E1E3B"/>
    <w:rsid w:val="005E1E44"/>
    <w:rsid w:val="005E1FE7"/>
    <w:rsid w:val="005E20D8"/>
    <w:rsid w:val="005E21F7"/>
    <w:rsid w:val="005E230A"/>
    <w:rsid w:val="005E2378"/>
    <w:rsid w:val="005E2460"/>
    <w:rsid w:val="005E24D1"/>
    <w:rsid w:val="005E24DF"/>
    <w:rsid w:val="005E2531"/>
    <w:rsid w:val="005E2539"/>
    <w:rsid w:val="005E25F7"/>
    <w:rsid w:val="005E26E5"/>
    <w:rsid w:val="005E2702"/>
    <w:rsid w:val="005E280C"/>
    <w:rsid w:val="005E283E"/>
    <w:rsid w:val="005E285F"/>
    <w:rsid w:val="005E2926"/>
    <w:rsid w:val="005E29B6"/>
    <w:rsid w:val="005E2A5C"/>
    <w:rsid w:val="005E2B77"/>
    <w:rsid w:val="005E2BD4"/>
    <w:rsid w:val="005E2CA5"/>
    <w:rsid w:val="005E2D79"/>
    <w:rsid w:val="005E2E5D"/>
    <w:rsid w:val="005E2FC5"/>
    <w:rsid w:val="005E30AD"/>
    <w:rsid w:val="005E3101"/>
    <w:rsid w:val="005E3104"/>
    <w:rsid w:val="005E3140"/>
    <w:rsid w:val="005E3254"/>
    <w:rsid w:val="005E32E9"/>
    <w:rsid w:val="005E33FF"/>
    <w:rsid w:val="005E3483"/>
    <w:rsid w:val="005E34E1"/>
    <w:rsid w:val="005E3502"/>
    <w:rsid w:val="005E3537"/>
    <w:rsid w:val="005E3568"/>
    <w:rsid w:val="005E3651"/>
    <w:rsid w:val="005E36FC"/>
    <w:rsid w:val="005E37DC"/>
    <w:rsid w:val="005E3912"/>
    <w:rsid w:val="005E393A"/>
    <w:rsid w:val="005E398C"/>
    <w:rsid w:val="005E39CB"/>
    <w:rsid w:val="005E3A4B"/>
    <w:rsid w:val="005E3A7E"/>
    <w:rsid w:val="005E3ABA"/>
    <w:rsid w:val="005E3AC5"/>
    <w:rsid w:val="005E3C17"/>
    <w:rsid w:val="005E3C32"/>
    <w:rsid w:val="005E3C59"/>
    <w:rsid w:val="005E3CCE"/>
    <w:rsid w:val="005E3CF9"/>
    <w:rsid w:val="005E3E12"/>
    <w:rsid w:val="005E3E1C"/>
    <w:rsid w:val="005E3EBA"/>
    <w:rsid w:val="005E3EEB"/>
    <w:rsid w:val="005E3FEF"/>
    <w:rsid w:val="005E4049"/>
    <w:rsid w:val="005E40CA"/>
    <w:rsid w:val="005E4145"/>
    <w:rsid w:val="005E41E2"/>
    <w:rsid w:val="005E41E7"/>
    <w:rsid w:val="005E435C"/>
    <w:rsid w:val="005E43BC"/>
    <w:rsid w:val="005E4420"/>
    <w:rsid w:val="005E443D"/>
    <w:rsid w:val="005E444E"/>
    <w:rsid w:val="005E4674"/>
    <w:rsid w:val="005E47F8"/>
    <w:rsid w:val="005E4855"/>
    <w:rsid w:val="005E49BD"/>
    <w:rsid w:val="005E4AC6"/>
    <w:rsid w:val="005E4AE0"/>
    <w:rsid w:val="005E4B4C"/>
    <w:rsid w:val="005E4B58"/>
    <w:rsid w:val="005E4BF6"/>
    <w:rsid w:val="005E4C0A"/>
    <w:rsid w:val="005E4CC2"/>
    <w:rsid w:val="005E4ECC"/>
    <w:rsid w:val="005E4F4F"/>
    <w:rsid w:val="005E4F6B"/>
    <w:rsid w:val="005E4FCF"/>
    <w:rsid w:val="005E5041"/>
    <w:rsid w:val="005E5091"/>
    <w:rsid w:val="005E50AB"/>
    <w:rsid w:val="005E50C9"/>
    <w:rsid w:val="005E50F7"/>
    <w:rsid w:val="005E5174"/>
    <w:rsid w:val="005E522B"/>
    <w:rsid w:val="005E528C"/>
    <w:rsid w:val="005E5512"/>
    <w:rsid w:val="005E557F"/>
    <w:rsid w:val="005E5600"/>
    <w:rsid w:val="005E564B"/>
    <w:rsid w:val="005E56CE"/>
    <w:rsid w:val="005E5789"/>
    <w:rsid w:val="005E5856"/>
    <w:rsid w:val="005E5874"/>
    <w:rsid w:val="005E5928"/>
    <w:rsid w:val="005E5A9D"/>
    <w:rsid w:val="005E5AEA"/>
    <w:rsid w:val="005E5AFE"/>
    <w:rsid w:val="005E5B91"/>
    <w:rsid w:val="005E5C79"/>
    <w:rsid w:val="005E5CB7"/>
    <w:rsid w:val="005E5CC3"/>
    <w:rsid w:val="005E5D3A"/>
    <w:rsid w:val="005E5D4B"/>
    <w:rsid w:val="005E5ED5"/>
    <w:rsid w:val="005E5EE7"/>
    <w:rsid w:val="005E5EF8"/>
    <w:rsid w:val="005E603B"/>
    <w:rsid w:val="005E606F"/>
    <w:rsid w:val="005E61FF"/>
    <w:rsid w:val="005E6232"/>
    <w:rsid w:val="005E645C"/>
    <w:rsid w:val="005E64C5"/>
    <w:rsid w:val="005E64CA"/>
    <w:rsid w:val="005E64E1"/>
    <w:rsid w:val="005E662F"/>
    <w:rsid w:val="005E66DD"/>
    <w:rsid w:val="005E679F"/>
    <w:rsid w:val="005E6812"/>
    <w:rsid w:val="005E6920"/>
    <w:rsid w:val="005E693E"/>
    <w:rsid w:val="005E6A08"/>
    <w:rsid w:val="005E6A65"/>
    <w:rsid w:val="005E6AFE"/>
    <w:rsid w:val="005E6B69"/>
    <w:rsid w:val="005E6B8D"/>
    <w:rsid w:val="005E6C1B"/>
    <w:rsid w:val="005E6C6A"/>
    <w:rsid w:val="005E6CB0"/>
    <w:rsid w:val="005E6CC1"/>
    <w:rsid w:val="005E6EC2"/>
    <w:rsid w:val="005E6ED3"/>
    <w:rsid w:val="005E6F33"/>
    <w:rsid w:val="005E6F7E"/>
    <w:rsid w:val="005E7077"/>
    <w:rsid w:val="005E7150"/>
    <w:rsid w:val="005E7445"/>
    <w:rsid w:val="005E7449"/>
    <w:rsid w:val="005E74CF"/>
    <w:rsid w:val="005E753C"/>
    <w:rsid w:val="005E75D5"/>
    <w:rsid w:val="005E7667"/>
    <w:rsid w:val="005E76D7"/>
    <w:rsid w:val="005E76F8"/>
    <w:rsid w:val="005E77B0"/>
    <w:rsid w:val="005E77D7"/>
    <w:rsid w:val="005E7821"/>
    <w:rsid w:val="005E7863"/>
    <w:rsid w:val="005E7929"/>
    <w:rsid w:val="005E796E"/>
    <w:rsid w:val="005E7A3C"/>
    <w:rsid w:val="005E7B0E"/>
    <w:rsid w:val="005E7B1C"/>
    <w:rsid w:val="005E7DC8"/>
    <w:rsid w:val="005E7EAA"/>
    <w:rsid w:val="005F0098"/>
    <w:rsid w:val="005F00BB"/>
    <w:rsid w:val="005F024A"/>
    <w:rsid w:val="005F032E"/>
    <w:rsid w:val="005F03D6"/>
    <w:rsid w:val="005F03EA"/>
    <w:rsid w:val="005F0597"/>
    <w:rsid w:val="005F073A"/>
    <w:rsid w:val="005F0767"/>
    <w:rsid w:val="005F077B"/>
    <w:rsid w:val="005F0912"/>
    <w:rsid w:val="005F093A"/>
    <w:rsid w:val="005F0A7E"/>
    <w:rsid w:val="005F0AF3"/>
    <w:rsid w:val="005F0B30"/>
    <w:rsid w:val="005F0B9C"/>
    <w:rsid w:val="005F0BD4"/>
    <w:rsid w:val="005F0C4F"/>
    <w:rsid w:val="005F0D6C"/>
    <w:rsid w:val="005F0F69"/>
    <w:rsid w:val="005F1176"/>
    <w:rsid w:val="005F1250"/>
    <w:rsid w:val="005F12C0"/>
    <w:rsid w:val="005F1555"/>
    <w:rsid w:val="005F1570"/>
    <w:rsid w:val="005F16FA"/>
    <w:rsid w:val="005F175B"/>
    <w:rsid w:val="005F18A2"/>
    <w:rsid w:val="005F18D1"/>
    <w:rsid w:val="005F18E1"/>
    <w:rsid w:val="005F1956"/>
    <w:rsid w:val="005F198D"/>
    <w:rsid w:val="005F1A97"/>
    <w:rsid w:val="005F1BC1"/>
    <w:rsid w:val="005F1C0B"/>
    <w:rsid w:val="005F1F27"/>
    <w:rsid w:val="005F1F4A"/>
    <w:rsid w:val="005F1FC7"/>
    <w:rsid w:val="005F1FF3"/>
    <w:rsid w:val="005F209C"/>
    <w:rsid w:val="005F219A"/>
    <w:rsid w:val="005F21FB"/>
    <w:rsid w:val="005F22A3"/>
    <w:rsid w:val="005F22DE"/>
    <w:rsid w:val="005F239C"/>
    <w:rsid w:val="005F23E4"/>
    <w:rsid w:val="005F244D"/>
    <w:rsid w:val="005F24B4"/>
    <w:rsid w:val="005F24F7"/>
    <w:rsid w:val="005F2501"/>
    <w:rsid w:val="005F259A"/>
    <w:rsid w:val="005F2635"/>
    <w:rsid w:val="005F2702"/>
    <w:rsid w:val="005F27A3"/>
    <w:rsid w:val="005F290C"/>
    <w:rsid w:val="005F2978"/>
    <w:rsid w:val="005F2B49"/>
    <w:rsid w:val="005F2C25"/>
    <w:rsid w:val="005F2C5A"/>
    <w:rsid w:val="005F2C7A"/>
    <w:rsid w:val="005F2DB2"/>
    <w:rsid w:val="005F2E47"/>
    <w:rsid w:val="005F2F6C"/>
    <w:rsid w:val="005F2F74"/>
    <w:rsid w:val="005F2FE6"/>
    <w:rsid w:val="005F3118"/>
    <w:rsid w:val="005F360C"/>
    <w:rsid w:val="005F36FD"/>
    <w:rsid w:val="005F3751"/>
    <w:rsid w:val="005F3768"/>
    <w:rsid w:val="005F37FA"/>
    <w:rsid w:val="005F38E0"/>
    <w:rsid w:val="005F3916"/>
    <w:rsid w:val="005F3923"/>
    <w:rsid w:val="005F3A19"/>
    <w:rsid w:val="005F3A9C"/>
    <w:rsid w:val="005F3AF2"/>
    <w:rsid w:val="005F3B05"/>
    <w:rsid w:val="005F3B56"/>
    <w:rsid w:val="005F3F1C"/>
    <w:rsid w:val="005F3F69"/>
    <w:rsid w:val="005F3FBC"/>
    <w:rsid w:val="005F3FDB"/>
    <w:rsid w:val="005F4066"/>
    <w:rsid w:val="005F408D"/>
    <w:rsid w:val="005F4112"/>
    <w:rsid w:val="005F414B"/>
    <w:rsid w:val="005F4248"/>
    <w:rsid w:val="005F4301"/>
    <w:rsid w:val="005F4343"/>
    <w:rsid w:val="005F438C"/>
    <w:rsid w:val="005F43BF"/>
    <w:rsid w:val="005F43D5"/>
    <w:rsid w:val="005F440D"/>
    <w:rsid w:val="005F447F"/>
    <w:rsid w:val="005F4541"/>
    <w:rsid w:val="005F4579"/>
    <w:rsid w:val="005F4595"/>
    <w:rsid w:val="005F45E5"/>
    <w:rsid w:val="005F4638"/>
    <w:rsid w:val="005F46C9"/>
    <w:rsid w:val="005F4721"/>
    <w:rsid w:val="005F4723"/>
    <w:rsid w:val="005F476C"/>
    <w:rsid w:val="005F479C"/>
    <w:rsid w:val="005F47CC"/>
    <w:rsid w:val="005F48E5"/>
    <w:rsid w:val="005F4910"/>
    <w:rsid w:val="005F4BDA"/>
    <w:rsid w:val="005F4D02"/>
    <w:rsid w:val="005F4D64"/>
    <w:rsid w:val="005F4DBA"/>
    <w:rsid w:val="005F4E5E"/>
    <w:rsid w:val="005F4F70"/>
    <w:rsid w:val="005F4FAB"/>
    <w:rsid w:val="005F4FEE"/>
    <w:rsid w:val="005F50B5"/>
    <w:rsid w:val="005F5212"/>
    <w:rsid w:val="005F5285"/>
    <w:rsid w:val="005F5301"/>
    <w:rsid w:val="005F53CF"/>
    <w:rsid w:val="005F5459"/>
    <w:rsid w:val="005F55B1"/>
    <w:rsid w:val="005F55E0"/>
    <w:rsid w:val="005F566A"/>
    <w:rsid w:val="005F5672"/>
    <w:rsid w:val="005F56A2"/>
    <w:rsid w:val="005F5747"/>
    <w:rsid w:val="005F57E0"/>
    <w:rsid w:val="005F584F"/>
    <w:rsid w:val="005F586A"/>
    <w:rsid w:val="005F5878"/>
    <w:rsid w:val="005F587C"/>
    <w:rsid w:val="005F5888"/>
    <w:rsid w:val="005F58BD"/>
    <w:rsid w:val="005F58DA"/>
    <w:rsid w:val="005F58F7"/>
    <w:rsid w:val="005F5995"/>
    <w:rsid w:val="005F59DA"/>
    <w:rsid w:val="005F5A42"/>
    <w:rsid w:val="005F5AA5"/>
    <w:rsid w:val="005F5AE6"/>
    <w:rsid w:val="005F5AFD"/>
    <w:rsid w:val="005F5B55"/>
    <w:rsid w:val="005F5C5D"/>
    <w:rsid w:val="005F5C87"/>
    <w:rsid w:val="005F5EB4"/>
    <w:rsid w:val="005F5F47"/>
    <w:rsid w:val="005F5F94"/>
    <w:rsid w:val="005F5F9C"/>
    <w:rsid w:val="005F60DD"/>
    <w:rsid w:val="005F6137"/>
    <w:rsid w:val="005F61C4"/>
    <w:rsid w:val="005F62BB"/>
    <w:rsid w:val="005F62D7"/>
    <w:rsid w:val="005F62EA"/>
    <w:rsid w:val="005F6326"/>
    <w:rsid w:val="005F63CB"/>
    <w:rsid w:val="005F63CE"/>
    <w:rsid w:val="005F6421"/>
    <w:rsid w:val="005F6443"/>
    <w:rsid w:val="005F648B"/>
    <w:rsid w:val="005F64A1"/>
    <w:rsid w:val="005F657C"/>
    <w:rsid w:val="005F659A"/>
    <w:rsid w:val="005F672D"/>
    <w:rsid w:val="005F6751"/>
    <w:rsid w:val="005F67DB"/>
    <w:rsid w:val="005F6823"/>
    <w:rsid w:val="005F68DF"/>
    <w:rsid w:val="005F6923"/>
    <w:rsid w:val="005F69FE"/>
    <w:rsid w:val="005F6A58"/>
    <w:rsid w:val="005F6A75"/>
    <w:rsid w:val="005F6A85"/>
    <w:rsid w:val="005F6B9E"/>
    <w:rsid w:val="005F6C6E"/>
    <w:rsid w:val="005F6CEC"/>
    <w:rsid w:val="005F6DAC"/>
    <w:rsid w:val="005F7000"/>
    <w:rsid w:val="005F7105"/>
    <w:rsid w:val="005F720A"/>
    <w:rsid w:val="005F73C5"/>
    <w:rsid w:val="005F73D8"/>
    <w:rsid w:val="005F73EB"/>
    <w:rsid w:val="005F73FD"/>
    <w:rsid w:val="005F7406"/>
    <w:rsid w:val="005F74D1"/>
    <w:rsid w:val="005F752B"/>
    <w:rsid w:val="005F75FF"/>
    <w:rsid w:val="005F7639"/>
    <w:rsid w:val="005F76C1"/>
    <w:rsid w:val="005F771F"/>
    <w:rsid w:val="005F77A9"/>
    <w:rsid w:val="005F783F"/>
    <w:rsid w:val="005F78A6"/>
    <w:rsid w:val="005F791D"/>
    <w:rsid w:val="005F7AC1"/>
    <w:rsid w:val="005F7B1C"/>
    <w:rsid w:val="005F7B86"/>
    <w:rsid w:val="005F7DE2"/>
    <w:rsid w:val="005F7E1B"/>
    <w:rsid w:val="0060003A"/>
    <w:rsid w:val="00600136"/>
    <w:rsid w:val="0060017D"/>
    <w:rsid w:val="00600182"/>
    <w:rsid w:val="006001BC"/>
    <w:rsid w:val="00600253"/>
    <w:rsid w:val="006002EE"/>
    <w:rsid w:val="00600308"/>
    <w:rsid w:val="00600429"/>
    <w:rsid w:val="006004A5"/>
    <w:rsid w:val="0060058C"/>
    <w:rsid w:val="006005AE"/>
    <w:rsid w:val="00600636"/>
    <w:rsid w:val="006006F7"/>
    <w:rsid w:val="0060075F"/>
    <w:rsid w:val="006007DB"/>
    <w:rsid w:val="006007E7"/>
    <w:rsid w:val="006007ED"/>
    <w:rsid w:val="0060092D"/>
    <w:rsid w:val="0060098E"/>
    <w:rsid w:val="006009D4"/>
    <w:rsid w:val="00600A29"/>
    <w:rsid w:val="00600B92"/>
    <w:rsid w:val="00600BDA"/>
    <w:rsid w:val="00600CF5"/>
    <w:rsid w:val="00600D38"/>
    <w:rsid w:val="00600EEE"/>
    <w:rsid w:val="00601236"/>
    <w:rsid w:val="00601242"/>
    <w:rsid w:val="0060124E"/>
    <w:rsid w:val="006012A6"/>
    <w:rsid w:val="006012CB"/>
    <w:rsid w:val="0060130C"/>
    <w:rsid w:val="00601386"/>
    <w:rsid w:val="006013C6"/>
    <w:rsid w:val="006013E1"/>
    <w:rsid w:val="006014D0"/>
    <w:rsid w:val="00601545"/>
    <w:rsid w:val="00601692"/>
    <w:rsid w:val="00601904"/>
    <w:rsid w:val="006019A4"/>
    <w:rsid w:val="006019BD"/>
    <w:rsid w:val="00601A23"/>
    <w:rsid w:val="00601A80"/>
    <w:rsid w:val="00601AFE"/>
    <w:rsid w:val="00601B04"/>
    <w:rsid w:val="00601B5A"/>
    <w:rsid w:val="00601B74"/>
    <w:rsid w:val="00601BE4"/>
    <w:rsid w:val="00601C73"/>
    <w:rsid w:val="00601CC4"/>
    <w:rsid w:val="00601D1C"/>
    <w:rsid w:val="00601D6B"/>
    <w:rsid w:val="00601E1A"/>
    <w:rsid w:val="00601E7C"/>
    <w:rsid w:val="00602074"/>
    <w:rsid w:val="00602142"/>
    <w:rsid w:val="0060216F"/>
    <w:rsid w:val="006021F1"/>
    <w:rsid w:val="006021FE"/>
    <w:rsid w:val="00602261"/>
    <w:rsid w:val="0060229D"/>
    <w:rsid w:val="006022A4"/>
    <w:rsid w:val="006022B0"/>
    <w:rsid w:val="0060233A"/>
    <w:rsid w:val="0060235A"/>
    <w:rsid w:val="0060238E"/>
    <w:rsid w:val="006023F7"/>
    <w:rsid w:val="006024EA"/>
    <w:rsid w:val="00602540"/>
    <w:rsid w:val="0060259B"/>
    <w:rsid w:val="0060259D"/>
    <w:rsid w:val="006025E1"/>
    <w:rsid w:val="006025F6"/>
    <w:rsid w:val="00602692"/>
    <w:rsid w:val="00602812"/>
    <w:rsid w:val="00602934"/>
    <w:rsid w:val="006029D1"/>
    <w:rsid w:val="00602A73"/>
    <w:rsid w:val="00602AD5"/>
    <w:rsid w:val="00602B64"/>
    <w:rsid w:val="00602B92"/>
    <w:rsid w:val="00602BDC"/>
    <w:rsid w:val="00602E94"/>
    <w:rsid w:val="00602F43"/>
    <w:rsid w:val="00602FB6"/>
    <w:rsid w:val="00603080"/>
    <w:rsid w:val="00603107"/>
    <w:rsid w:val="00603188"/>
    <w:rsid w:val="006032DD"/>
    <w:rsid w:val="006032E9"/>
    <w:rsid w:val="00603326"/>
    <w:rsid w:val="00603344"/>
    <w:rsid w:val="006034B2"/>
    <w:rsid w:val="00603531"/>
    <w:rsid w:val="006035B2"/>
    <w:rsid w:val="006036E9"/>
    <w:rsid w:val="00603762"/>
    <w:rsid w:val="00603763"/>
    <w:rsid w:val="00603773"/>
    <w:rsid w:val="0060377E"/>
    <w:rsid w:val="00603799"/>
    <w:rsid w:val="0060384D"/>
    <w:rsid w:val="006038E6"/>
    <w:rsid w:val="00603993"/>
    <w:rsid w:val="006039B0"/>
    <w:rsid w:val="006039EA"/>
    <w:rsid w:val="006039F0"/>
    <w:rsid w:val="00603A56"/>
    <w:rsid w:val="00603AB8"/>
    <w:rsid w:val="00603B08"/>
    <w:rsid w:val="00603B5E"/>
    <w:rsid w:val="00603B86"/>
    <w:rsid w:val="00603C2D"/>
    <w:rsid w:val="00603C8D"/>
    <w:rsid w:val="00603CD5"/>
    <w:rsid w:val="00603CFF"/>
    <w:rsid w:val="00603E7E"/>
    <w:rsid w:val="00603ECA"/>
    <w:rsid w:val="00603F1E"/>
    <w:rsid w:val="00603FC4"/>
    <w:rsid w:val="0060411D"/>
    <w:rsid w:val="00604252"/>
    <w:rsid w:val="006042D8"/>
    <w:rsid w:val="00604308"/>
    <w:rsid w:val="00604340"/>
    <w:rsid w:val="00604458"/>
    <w:rsid w:val="00604514"/>
    <w:rsid w:val="00604554"/>
    <w:rsid w:val="006045E7"/>
    <w:rsid w:val="00604636"/>
    <w:rsid w:val="006047AE"/>
    <w:rsid w:val="006047F9"/>
    <w:rsid w:val="00604865"/>
    <w:rsid w:val="006048BE"/>
    <w:rsid w:val="006049D3"/>
    <w:rsid w:val="00604AF8"/>
    <w:rsid w:val="00604B86"/>
    <w:rsid w:val="00604BE2"/>
    <w:rsid w:val="00604CE3"/>
    <w:rsid w:val="00604DC9"/>
    <w:rsid w:val="00604E4E"/>
    <w:rsid w:val="00604EE9"/>
    <w:rsid w:val="00604F76"/>
    <w:rsid w:val="00604FA7"/>
    <w:rsid w:val="00605284"/>
    <w:rsid w:val="006053A7"/>
    <w:rsid w:val="006053E6"/>
    <w:rsid w:val="006053FE"/>
    <w:rsid w:val="0060541C"/>
    <w:rsid w:val="00605420"/>
    <w:rsid w:val="00605531"/>
    <w:rsid w:val="006055A4"/>
    <w:rsid w:val="0060568D"/>
    <w:rsid w:val="00605726"/>
    <w:rsid w:val="00605761"/>
    <w:rsid w:val="00605776"/>
    <w:rsid w:val="00605838"/>
    <w:rsid w:val="00605A77"/>
    <w:rsid w:val="00605AA0"/>
    <w:rsid w:val="00605AB8"/>
    <w:rsid w:val="00605AF7"/>
    <w:rsid w:val="00605B71"/>
    <w:rsid w:val="00605D66"/>
    <w:rsid w:val="00605E0E"/>
    <w:rsid w:val="0060601A"/>
    <w:rsid w:val="006060DF"/>
    <w:rsid w:val="006061E6"/>
    <w:rsid w:val="00606312"/>
    <w:rsid w:val="0060648B"/>
    <w:rsid w:val="006064F8"/>
    <w:rsid w:val="0060656B"/>
    <w:rsid w:val="006067C0"/>
    <w:rsid w:val="00606898"/>
    <w:rsid w:val="006068E7"/>
    <w:rsid w:val="00606B31"/>
    <w:rsid w:val="00606C17"/>
    <w:rsid w:val="00606C35"/>
    <w:rsid w:val="00606C4C"/>
    <w:rsid w:val="00606C50"/>
    <w:rsid w:val="00606C8B"/>
    <w:rsid w:val="00606CB2"/>
    <w:rsid w:val="00606D0C"/>
    <w:rsid w:val="00606D56"/>
    <w:rsid w:val="00606D99"/>
    <w:rsid w:val="00606DE9"/>
    <w:rsid w:val="00606DF1"/>
    <w:rsid w:val="00606F33"/>
    <w:rsid w:val="00606F3A"/>
    <w:rsid w:val="00606FC1"/>
    <w:rsid w:val="0060700C"/>
    <w:rsid w:val="00607057"/>
    <w:rsid w:val="006070F9"/>
    <w:rsid w:val="00607120"/>
    <w:rsid w:val="00607148"/>
    <w:rsid w:val="006071DA"/>
    <w:rsid w:val="0060726E"/>
    <w:rsid w:val="00607284"/>
    <w:rsid w:val="006072D9"/>
    <w:rsid w:val="00607384"/>
    <w:rsid w:val="006075CA"/>
    <w:rsid w:val="006075CF"/>
    <w:rsid w:val="006075F4"/>
    <w:rsid w:val="0060760B"/>
    <w:rsid w:val="006076AA"/>
    <w:rsid w:val="006079E2"/>
    <w:rsid w:val="00607A5C"/>
    <w:rsid w:val="00607B11"/>
    <w:rsid w:val="00607B6B"/>
    <w:rsid w:val="00607BD2"/>
    <w:rsid w:val="00607CB0"/>
    <w:rsid w:val="00607CEF"/>
    <w:rsid w:val="00607D30"/>
    <w:rsid w:val="00607DA6"/>
    <w:rsid w:val="00607E85"/>
    <w:rsid w:val="00607F60"/>
    <w:rsid w:val="00610033"/>
    <w:rsid w:val="00610041"/>
    <w:rsid w:val="00610060"/>
    <w:rsid w:val="00610089"/>
    <w:rsid w:val="00610114"/>
    <w:rsid w:val="00610146"/>
    <w:rsid w:val="00610162"/>
    <w:rsid w:val="00610172"/>
    <w:rsid w:val="00610199"/>
    <w:rsid w:val="006101FF"/>
    <w:rsid w:val="00610310"/>
    <w:rsid w:val="00610531"/>
    <w:rsid w:val="006105A9"/>
    <w:rsid w:val="006105BE"/>
    <w:rsid w:val="006106E5"/>
    <w:rsid w:val="00610732"/>
    <w:rsid w:val="0061081A"/>
    <w:rsid w:val="00610919"/>
    <w:rsid w:val="00610A45"/>
    <w:rsid w:val="00610ABA"/>
    <w:rsid w:val="00610ABD"/>
    <w:rsid w:val="00610ACC"/>
    <w:rsid w:val="00610B81"/>
    <w:rsid w:val="00610BFC"/>
    <w:rsid w:val="00610C05"/>
    <w:rsid w:val="00610C73"/>
    <w:rsid w:val="00610DBE"/>
    <w:rsid w:val="00610DC1"/>
    <w:rsid w:val="00610DF9"/>
    <w:rsid w:val="00610E97"/>
    <w:rsid w:val="00610F83"/>
    <w:rsid w:val="0061108B"/>
    <w:rsid w:val="0061114C"/>
    <w:rsid w:val="00611280"/>
    <w:rsid w:val="006112C9"/>
    <w:rsid w:val="0061130F"/>
    <w:rsid w:val="0061133D"/>
    <w:rsid w:val="006114BF"/>
    <w:rsid w:val="00611750"/>
    <w:rsid w:val="00611763"/>
    <w:rsid w:val="00611777"/>
    <w:rsid w:val="0061197B"/>
    <w:rsid w:val="00611A30"/>
    <w:rsid w:val="00611A46"/>
    <w:rsid w:val="00611A5E"/>
    <w:rsid w:val="00611C7E"/>
    <w:rsid w:val="00611D04"/>
    <w:rsid w:val="00611D25"/>
    <w:rsid w:val="00611D46"/>
    <w:rsid w:val="00611D4B"/>
    <w:rsid w:val="00611D4D"/>
    <w:rsid w:val="00611E64"/>
    <w:rsid w:val="00611FBA"/>
    <w:rsid w:val="00612093"/>
    <w:rsid w:val="00612115"/>
    <w:rsid w:val="00612208"/>
    <w:rsid w:val="00612234"/>
    <w:rsid w:val="0061227C"/>
    <w:rsid w:val="00612380"/>
    <w:rsid w:val="006123C4"/>
    <w:rsid w:val="006123D6"/>
    <w:rsid w:val="006123DB"/>
    <w:rsid w:val="0061247B"/>
    <w:rsid w:val="00612658"/>
    <w:rsid w:val="00612746"/>
    <w:rsid w:val="006128B2"/>
    <w:rsid w:val="006128D1"/>
    <w:rsid w:val="006129BF"/>
    <w:rsid w:val="00612A68"/>
    <w:rsid w:val="00612ADC"/>
    <w:rsid w:val="00612AF6"/>
    <w:rsid w:val="00612C32"/>
    <w:rsid w:val="00612CA1"/>
    <w:rsid w:val="00612CC7"/>
    <w:rsid w:val="00612CF3"/>
    <w:rsid w:val="00612CF9"/>
    <w:rsid w:val="00612D29"/>
    <w:rsid w:val="00612E57"/>
    <w:rsid w:val="00612EFD"/>
    <w:rsid w:val="00612F02"/>
    <w:rsid w:val="00612F82"/>
    <w:rsid w:val="00613037"/>
    <w:rsid w:val="00613084"/>
    <w:rsid w:val="00613161"/>
    <w:rsid w:val="00613164"/>
    <w:rsid w:val="00613293"/>
    <w:rsid w:val="0061331A"/>
    <w:rsid w:val="00613325"/>
    <w:rsid w:val="0061335B"/>
    <w:rsid w:val="006133A7"/>
    <w:rsid w:val="00613441"/>
    <w:rsid w:val="00613464"/>
    <w:rsid w:val="00613549"/>
    <w:rsid w:val="00613551"/>
    <w:rsid w:val="0061359B"/>
    <w:rsid w:val="006135AB"/>
    <w:rsid w:val="006136DF"/>
    <w:rsid w:val="00613852"/>
    <w:rsid w:val="00613881"/>
    <w:rsid w:val="006138E4"/>
    <w:rsid w:val="00613943"/>
    <w:rsid w:val="0061397A"/>
    <w:rsid w:val="00613A5E"/>
    <w:rsid w:val="00613A76"/>
    <w:rsid w:val="00613AA0"/>
    <w:rsid w:val="00613BDA"/>
    <w:rsid w:val="00613CCC"/>
    <w:rsid w:val="00613CE2"/>
    <w:rsid w:val="00613CE5"/>
    <w:rsid w:val="00613D0B"/>
    <w:rsid w:val="00613D3E"/>
    <w:rsid w:val="00613D5C"/>
    <w:rsid w:val="00613D74"/>
    <w:rsid w:val="00613D97"/>
    <w:rsid w:val="00613DF3"/>
    <w:rsid w:val="00613EE8"/>
    <w:rsid w:val="00613F5B"/>
    <w:rsid w:val="00613FAE"/>
    <w:rsid w:val="00614003"/>
    <w:rsid w:val="00614037"/>
    <w:rsid w:val="00614142"/>
    <w:rsid w:val="006141A6"/>
    <w:rsid w:val="00614200"/>
    <w:rsid w:val="006142EB"/>
    <w:rsid w:val="006144F6"/>
    <w:rsid w:val="00614588"/>
    <w:rsid w:val="006145BB"/>
    <w:rsid w:val="006145C9"/>
    <w:rsid w:val="00614740"/>
    <w:rsid w:val="006148A9"/>
    <w:rsid w:val="006149DB"/>
    <w:rsid w:val="00614A28"/>
    <w:rsid w:val="00614AB7"/>
    <w:rsid w:val="00614B2B"/>
    <w:rsid w:val="00614C16"/>
    <w:rsid w:val="00614CDF"/>
    <w:rsid w:val="00614CE3"/>
    <w:rsid w:val="00614D0D"/>
    <w:rsid w:val="00614DB5"/>
    <w:rsid w:val="00614DDE"/>
    <w:rsid w:val="00614DF0"/>
    <w:rsid w:val="00614ECE"/>
    <w:rsid w:val="00614F63"/>
    <w:rsid w:val="00614FD4"/>
    <w:rsid w:val="006150FD"/>
    <w:rsid w:val="00615116"/>
    <w:rsid w:val="00615129"/>
    <w:rsid w:val="006151FE"/>
    <w:rsid w:val="006152AF"/>
    <w:rsid w:val="006152FF"/>
    <w:rsid w:val="00615358"/>
    <w:rsid w:val="00615363"/>
    <w:rsid w:val="00615463"/>
    <w:rsid w:val="006154B0"/>
    <w:rsid w:val="00615519"/>
    <w:rsid w:val="006155CC"/>
    <w:rsid w:val="00615659"/>
    <w:rsid w:val="006158E8"/>
    <w:rsid w:val="00615951"/>
    <w:rsid w:val="00615A19"/>
    <w:rsid w:val="00615A43"/>
    <w:rsid w:val="00615A47"/>
    <w:rsid w:val="00615ACE"/>
    <w:rsid w:val="00615B19"/>
    <w:rsid w:val="00615B74"/>
    <w:rsid w:val="00615BF0"/>
    <w:rsid w:val="00615C04"/>
    <w:rsid w:val="00615C2C"/>
    <w:rsid w:val="00615CE8"/>
    <w:rsid w:val="00615D0A"/>
    <w:rsid w:val="00615F8E"/>
    <w:rsid w:val="00615FF2"/>
    <w:rsid w:val="0061605D"/>
    <w:rsid w:val="006161BE"/>
    <w:rsid w:val="00616407"/>
    <w:rsid w:val="00616425"/>
    <w:rsid w:val="0061643F"/>
    <w:rsid w:val="006165D9"/>
    <w:rsid w:val="0061661B"/>
    <w:rsid w:val="00616630"/>
    <w:rsid w:val="0061663D"/>
    <w:rsid w:val="0061668C"/>
    <w:rsid w:val="00616809"/>
    <w:rsid w:val="006168B0"/>
    <w:rsid w:val="0061693D"/>
    <w:rsid w:val="00616ADF"/>
    <w:rsid w:val="00616B1F"/>
    <w:rsid w:val="00616C83"/>
    <w:rsid w:val="00616C84"/>
    <w:rsid w:val="00616CD2"/>
    <w:rsid w:val="00616CE3"/>
    <w:rsid w:val="00616D1C"/>
    <w:rsid w:val="00616D24"/>
    <w:rsid w:val="00616DC9"/>
    <w:rsid w:val="00616DCB"/>
    <w:rsid w:val="00616E0E"/>
    <w:rsid w:val="00616E1C"/>
    <w:rsid w:val="00616E37"/>
    <w:rsid w:val="00616E5F"/>
    <w:rsid w:val="00616F98"/>
    <w:rsid w:val="00616FA8"/>
    <w:rsid w:val="006170C8"/>
    <w:rsid w:val="006172CB"/>
    <w:rsid w:val="0061731E"/>
    <w:rsid w:val="00617362"/>
    <w:rsid w:val="006173E6"/>
    <w:rsid w:val="006174C9"/>
    <w:rsid w:val="00617581"/>
    <w:rsid w:val="00617695"/>
    <w:rsid w:val="00617707"/>
    <w:rsid w:val="006177E9"/>
    <w:rsid w:val="00617807"/>
    <w:rsid w:val="00617A26"/>
    <w:rsid w:val="00617AB0"/>
    <w:rsid w:val="00617B4D"/>
    <w:rsid w:val="00617BA5"/>
    <w:rsid w:val="00617BA7"/>
    <w:rsid w:val="00617DEC"/>
    <w:rsid w:val="00617E33"/>
    <w:rsid w:val="00617EE5"/>
    <w:rsid w:val="00617FAE"/>
    <w:rsid w:val="00620233"/>
    <w:rsid w:val="006202AD"/>
    <w:rsid w:val="006202CE"/>
    <w:rsid w:val="006203D7"/>
    <w:rsid w:val="006203D9"/>
    <w:rsid w:val="00620452"/>
    <w:rsid w:val="00620507"/>
    <w:rsid w:val="00620588"/>
    <w:rsid w:val="00620596"/>
    <w:rsid w:val="00620616"/>
    <w:rsid w:val="0062064A"/>
    <w:rsid w:val="006206C7"/>
    <w:rsid w:val="006207D4"/>
    <w:rsid w:val="0062099E"/>
    <w:rsid w:val="00620ACA"/>
    <w:rsid w:val="00620AD6"/>
    <w:rsid w:val="00620B5A"/>
    <w:rsid w:val="00620D2A"/>
    <w:rsid w:val="00620DC2"/>
    <w:rsid w:val="00620DE8"/>
    <w:rsid w:val="00620DF7"/>
    <w:rsid w:val="00620DFF"/>
    <w:rsid w:val="00620E5A"/>
    <w:rsid w:val="00620EFB"/>
    <w:rsid w:val="0062100A"/>
    <w:rsid w:val="00621049"/>
    <w:rsid w:val="00621086"/>
    <w:rsid w:val="00621134"/>
    <w:rsid w:val="0062119E"/>
    <w:rsid w:val="006211B2"/>
    <w:rsid w:val="006212B7"/>
    <w:rsid w:val="00621333"/>
    <w:rsid w:val="0062136F"/>
    <w:rsid w:val="0062137A"/>
    <w:rsid w:val="00621408"/>
    <w:rsid w:val="006214B6"/>
    <w:rsid w:val="006215EC"/>
    <w:rsid w:val="006215ED"/>
    <w:rsid w:val="006216DF"/>
    <w:rsid w:val="006217C1"/>
    <w:rsid w:val="00621863"/>
    <w:rsid w:val="006218B7"/>
    <w:rsid w:val="006218D2"/>
    <w:rsid w:val="006218E4"/>
    <w:rsid w:val="006218E7"/>
    <w:rsid w:val="006219EE"/>
    <w:rsid w:val="00621A3B"/>
    <w:rsid w:val="00621A4F"/>
    <w:rsid w:val="00621A90"/>
    <w:rsid w:val="00621B49"/>
    <w:rsid w:val="00621CF1"/>
    <w:rsid w:val="00621D2F"/>
    <w:rsid w:val="00621D72"/>
    <w:rsid w:val="00621DE7"/>
    <w:rsid w:val="00621E53"/>
    <w:rsid w:val="00621F66"/>
    <w:rsid w:val="00621F7E"/>
    <w:rsid w:val="00622019"/>
    <w:rsid w:val="0062210A"/>
    <w:rsid w:val="00622168"/>
    <w:rsid w:val="006221A1"/>
    <w:rsid w:val="00622379"/>
    <w:rsid w:val="00622526"/>
    <w:rsid w:val="00622554"/>
    <w:rsid w:val="006225BE"/>
    <w:rsid w:val="006225CA"/>
    <w:rsid w:val="006225E0"/>
    <w:rsid w:val="00622835"/>
    <w:rsid w:val="00622879"/>
    <w:rsid w:val="006228A0"/>
    <w:rsid w:val="0062293D"/>
    <w:rsid w:val="00622941"/>
    <w:rsid w:val="00622965"/>
    <w:rsid w:val="006229F4"/>
    <w:rsid w:val="00622A1D"/>
    <w:rsid w:val="00622AB2"/>
    <w:rsid w:val="00622B4A"/>
    <w:rsid w:val="00622BAD"/>
    <w:rsid w:val="00622BBA"/>
    <w:rsid w:val="00622C46"/>
    <w:rsid w:val="00622CCE"/>
    <w:rsid w:val="00623029"/>
    <w:rsid w:val="00623085"/>
    <w:rsid w:val="00623172"/>
    <w:rsid w:val="00623186"/>
    <w:rsid w:val="006231A4"/>
    <w:rsid w:val="006231DA"/>
    <w:rsid w:val="0062323D"/>
    <w:rsid w:val="00623271"/>
    <w:rsid w:val="006232DA"/>
    <w:rsid w:val="006232EB"/>
    <w:rsid w:val="00623359"/>
    <w:rsid w:val="00623398"/>
    <w:rsid w:val="006233B7"/>
    <w:rsid w:val="00623612"/>
    <w:rsid w:val="00623634"/>
    <w:rsid w:val="00623640"/>
    <w:rsid w:val="00623664"/>
    <w:rsid w:val="00623685"/>
    <w:rsid w:val="00623986"/>
    <w:rsid w:val="00623A7E"/>
    <w:rsid w:val="00623B3E"/>
    <w:rsid w:val="00623B7B"/>
    <w:rsid w:val="00623CE4"/>
    <w:rsid w:val="00623E26"/>
    <w:rsid w:val="00623E95"/>
    <w:rsid w:val="00623F05"/>
    <w:rsid w:val="00623F0C"/>
    <w:rsid w:val="00623F28"/>
    <w:rsid w:val="00623F6E"/>
    <w:rsid w:val="00624157"/>
    <w:rsid w:val="006241B3"/>
    <w:rsid w:val="00624364"/>
    <w:rsid w:val="00624408"/>
    <w:rsid w:val="006244A4"/>
    <w:rsid w:val="0062461E"/>
    <w:rsid w:val="00624647"/>
    <w:rsid w:val="0062465D"/>
    <w:rsid w:val="00624766"/>
    <w:rsid w:val="00624769"/>
    <w:rsid w:val="00624792"/>
    <w:rsid w:val="00624811"/>
    <w:rsid w:val="00624963"/>
    <w:rsid w:val="006249B4"/>
    <w:rsid w:val="00624A05"/>
    <w:rsid w:val="00624A06"/>
    <w:rsid w:val="00624A21"/>
    <w:rsid w:val="00624A89"/>
    <w:rsid w:val="00624AA1"/>
    <w:rsid w:val="00624AA3"/>
    <w:rsid w:val="00624BBA"/>
    <w:rsid w:val="00624C28"/>
    <w:rsid w:val="00624C2F"/>
    <w:rsid w:val="00624C73"/>
    <w:rsid w:val="00624C77"/>
    <w:rsid w:val="00624C80"/>
    <w:rsid w:val="00624DA3"/>
    <w:rsid w:val="00624F13"/>
    <w:rsid w:val="00624FAA"/>
    <w:rsid w:val="00624FD3"/>
    <w:rsid w:val="00625010"/>
    <w:rsid w:val="006250D5"/>
    <w:rsid w:val="006250E9"/>
    <w:rsid w:val="00625179"/>
    <w:rsid w:val="00625255"/>
    <w:rsid w:val="006253B1"/>
    <w:rsid w:val="00625520"/>
    <w:rsid w:val="00625591"/>
    <w:rsid w:val="00625740"/>
    <w:rsid w:val="006257F2"/>
    <w:rsid w:val="00625813"/>
    <w:rsid w:val="0062586C"/>
    <w:rsid w:val="0062599B"/>
    <w:rsid w:val="006259A1"/>
    <w:rsid w:val="00625A27"/>
    <w:rsid w:val="00625A57"/>
    <w:rsid w:val="00625B5B"/>
    <w:rsid w:val="00625B5D"/>
    <w:rsid w:val="00625CA6"/>
    <w:rsid w:val="00625D77"/>
    <w:rsid w:val="00625E5E"/>
    <w:rsid w:val="00626111"/>
    <w:rsid w:val="006261AF"/>
    <w:rsid w:val="00626305"/>
    <w:rsid w:val="00626344"/>
    <w:rsid w:val="00626375"/>
    <w:rsid w:val="006263EF"/>
    <w:rsid w:val="00626483"/>
    <w:rsid w:val="00626574"/>
    <w:rsid w:val="00626589"/>
    <w:rsid w:val="006266E5"/>
    <w:rsid w:val="00626761"/>
    <w:rsid w:val="006267AF"/>
    <w:rsid w:val="006267C8"/>
    <w:rsid w:val="00626890"/>
    <w:rsid w:val="00626904"/>
    <w:rsid w:val="00626A5B"/>
    <w:rsid w:val="00626B3A"/>
    <w:rsid w:val="00626B49"/>
    <w:rsid w:val="00626BB8"/>
    <w:rsid w:val="00626C0D"/>
    <w:rsid w:val="00626C21"/>
    <w:rsid w:val="00626C2D"/>
    <w:rsid w:val="00626CA1"/>
    <w:rsid w:val="00626CFD"/>
    <w:rsid w:val="00626D2F"/>
    <w:rsid w:val="00626D50"/>
    <w:rsid w:val="00626DB1"/>
    <w:rsid w:val="00626E37"/>
    <w:rsid w:val="00626EC3"/>
    <w:rsid w:val="00626F3F"/>
    <w:rsid w:val="00627073"/>
    <w:rsid w:val="006270D6"/>
    <w:rsid w:val="006271F2"/>
    <w:rsid w:val="006272BB"/>
    <w:rsid w:val="006273CC"/>
    <w:rsid w:val="006273F7"/>
    <w:rsid w:val="00627407"/>
    <w:rsid w:val="0062741C"/>
    <w:rsid w:val="00627444"/>
    <w:rsid w:val="0062747A"/>
    <w:rsid w:val="00627604"/>
    <w:rsid w:val="00627614"/>
    <w:rsid w:val="006276CB"/>
    <w:rsid w:val="0062771E"/>
    <w:rsid w:val="00627855"/>
    <w:rsid w:val="00627887"/>
    <w:rsid w:val="006278CB"/>
    <w:rsid w:val="006279C7"/>
    <w:rsid w:val="006279EA"/>
    <w:rsid w:val="00627A7E"/>
    <w:rsid w:val="00627AE9"/>
    <w:rsid w:val="00627AFC"/>
    <w:rsid w:val="00627C00"/>
    <w:rsid w:val="00627CC0"/>
    <w:rsid w:val="00627D55"/>
    <w:rsid w:val="00627E29"/>
    <w:rsid w:val="00627F44"/>
    <w:rsid w:val="0063003D"/>
    <w:rsid w:val="00630100"/>
    <w:rsid w:val="00630126"/>
    <w:rsid w:val="0063013E"/>
    <w:rsid w:val="00630379"/>
    <w:rsid w:val="0063042C"/>
    <w:rsid w:val="0063042E"/>
    <w:rsid w:val="00630450"/>
    <w:rsid w:val="006304C8"/>
    <w:rsid w:val="0063050E"/>
    <w:rsid w:val="006305BC"/>
    <w:rsid w:val="006306D6"/>
    <w:rsid w:val="00630717"/>
    <w:rsid w:val="0063072C"/>
    <w:rsid w:val="0063077E"/>
    <w:rsid w:val="00630861"/>
    <w:rsid w:val="0063087D"/>
    <w:rsid w:val="006309F3"/>
    <w:rsid w:val="00630A3E"/>
    <w:rsid w:val="00630C65"/>
    <w:rsid w:val="00630CDD"/>
    <w:rsid w:val="00630D82"/>
    <w:rsid w:val="00630DD4"/>
    <w:rsid w:val="00630E09"/>
    <w:rsid w:val="00630E49"/>
    <w:rsid w:val="00630E66"/>
    <w:rsid w:val="00631065"/>
    <w:rsid w:val="00631074"/>
    <w:rsid w:val="0063112B"/>
    <w:rsid w:val="0063116B"/>
    <w:rsid w:val="0063119C"/>
    <w:rsid w:val="006311EC"/>
    <w:rsid w:val="006312A0"/>
    <w:rsid w:val="006312DB"/>
    <w:rsid w:val="00631325"/>
    <w:rsid w:val="00631343"/>
    <w:rsid w:val="006313D4"/>
    <w:rsid w:val="006313E6"/>
    <w:rsid w:val="006314E2"/>
    <w:rsid w:val="0063154D"/>
    <w:rsid w:val="0063161F"/>
    <w:rsid w:val="00631628"/>
    <w:rsid w:val="0063168E"/>
    <w:rsid w:val="00631690"/>
    <w:rsid w:val="00631732"/>
    <w:rsid w:val="0063176F"/>
    <w:rsid w:val="006317F5"/>
    <w:rsid w:val="00631845"/>
    <w:rsid w:val="006318A8"/>
    <w:rsid w:val="006318BC"/>
    <w:rsid w:val="00631A82"/>
    <w:rsid w:val="00631B11"/>
    <w:rsid w:val="00631BA9"/>
    <w:rsid w:val="00631C54"/>
    <w:rsid w:val="00631CEC"/>
    <w:rsid w:val="00631D2E"/>
    <w:rsid w:val="00631DCD"/>
    <w:rsid w:val="00631F0B"/>
    <w:rsid w:val="00631F6C"/>
    <w:rsid w:val="00631F8E"/>
    <w:rsid w:val="00631F92"/>
    <w:rsid w:val="00631FC7"/>
    <w:rsid w:val="0063203B"/>
    <w:rsid w:val="00632086"/>
    <w:rsid w:val="00632119"/>
    <w:rsid w:val="00632166"/>
    <w:rsid w:val="00632173"/>
    <w:rsid w:val="00632211"/>
    <w:rsid w:val="00632250"/>
    <w:rsid w:val="00632272"/>
    <w:rsid w:val="006323DB"/>
    <w:rsid w:val="0063240F"/>
    <w:rsid w:val="0063245B"/>
    <w:rsid w:val="00632476"/>
    <w:rsid w:val="00632504"/>
    <w:rsid w:val="00632522"/>
    <w:rsid w:val="0063254F"/>
    <w:rsid w:val="00632608"/>
    <w:rsid w:val="00632765"/>
    <w:rsid w:val="00632883"/>
    <w:rsid w:val="006328D1"/>
    <w:rsid w:val="006329DB"/>
    <w:rsid w:val="00632ACE"/>
    <w:rsid w:val="00632BA6"/>
    <w:rsid w:val="00632C98"/>
    <w:rsid w:val="00632D60"/>
    <w:rsid w:val="00632E1D"/>
    <w:rsid w:val="00632F5F"/>
    <w:rsid w:val="00633085"/>
    <w:rsid w:val="006330EF"/>
    <w:rsid w:val="00633129"/>
    <w:rsid w:val="0063318F"/>
    <w:rsid w:val="00633200"/>
    <w:rsid w:val="0063323E"/>
    <w:rsid w:val="0063334D"/>
    <w:rsid w:val="006334C0"/>
    <w:rsid w:val="00633631"/>
    <w:rsid w:val="006336AE"/>
    <w:rsid w:val="00633759"/>
    <w:rsid w:val="00633780"/>
    <w:rsid w:val="0063382B"/>
    <w:rsid w:val="00633873"/>
    <w:rsid w:val="006338B0"/>
    <w:rsid w:val="006338DC"/>
    <w:rsid w:val="006338F6"/>
    <w:rsid w:val="00633925"/>
    <w:rsid w:val="00633A46"/>
    <w:rsid w:val="00633AC6"/>
    <w:rsid w:val="00633B2F"/>
    <w:rsid w:val="00633BB9"/>
    <w:rsid w:val="00633C71"/>
    <w:rsid w:val="00633CB4"/>
    <w:rsid w:val="00633D6F"/>
    <w:rsid w:val="00633F66"/>
    <w:rsid w:val="00633F92"/>
    <w:rsid w:val="00633FEE"/>
    <w:rsid w:val="006341C5"/>
    <w:rsid w:val="006341E9"/>
    <w:rsid w:val="006342E6"/>
    <w:rsid w:val="0063431E"/>
    <w:rsid w:val="0063434B"/>
    <w:rsid w:val="0063435A"/>
    <w:rsid w:val="0063437B"/>
    <w:rsid w:val="006343E4"/>
    <w:rsid w:val="006343FD"/>
    <w:rsid w:val="006344EE"/>
    <w:rsid w:val="00634517"/>
    <w:rsid w:val="0063457C"/>
    <w:rsid w:val="006345EB"/>
    <w:rsid w:val="006346FA"/>
    <w:rsid w:val="00634772"/>
    <w:rsid w:val="006347B9"/>
    <w:rsid w:val="006347C9"/>
    <w:rsid w:val="006347F8"/>
    <w:rsid w:val="006347FF"/>
    <w:rsid w:val="0063483A"/>
    <w:rsid w:val="0063484E"/>
    <w:rsid w:val="00634A25"/>
    <w:rsid w:val="00634A9A"/>
    <w:rsid w:val="00634AB0"/>
    <w:rsid w:val="00634AD0"/>
    <w:rsid w:val="00634BD0"/>
    <w:rsid w:val="00634D1A"/>
    <w:rsid w:val="0063511C"/>
    <w:rsid w:val="00635155"/>
    <w:rsid w:val="0063519A"/>
    <w:rsid w:val="006351DA"/>
    <w:rsid w:val="0063535D"/>
    <w:rsid w:val="00635406"/>
    <w:rsid w:val="006354B7"/>
    <w:rsid w:val="00635536"/>
    <w:rsid w:val="00635650"/>
    <w:rsid w:val="006356AF"/>
    <w:rsid w:val="006358A9"/>
    <w:rsid w:val="006358C8"/>
    <w:rsid w:val="006359D3"/>
    <w:rsid w:val="00635B89"/>
    <w:rsid w:val="00635C3C"/>
    <w:rsid w:val="006360BC"/>
    <w:rsid w:val="006360BF"/>
    <w:rsid w:val="006361BE"/>
    <w:rsid w:val="006361C5"/>
    <w:rsid w:val="00636252"/>
    <w:rsid w:val="006362E1"/>
    <w:rsid w:val="00636317"/>
    <w:rsid w:val="00636319"/>
    <w:rsid w:val="006363F2"/>
    <w:rsid w:val="0063641A"/>
    <w:rsid w:val="006364F0"/>
    <w:rsid w:val="006365EF"/>
    <w:rsid w:val="00636600"/>
    <w:rsid w:val="00636732"/>
    <w:rsid w:val="00636749"/>
    <w:rsid w:val="006367E0"/>
    <w:rsid w:val="0063682F"/>
    <w:rsid w:val="00636925"/>
    <w:rsid w:val="00636945"/>
    <w:rsid w:val="00636C08"/>
    <w:rsid w:val="00636CC0"/>
    <w:rsid w:val="00636D3A"/>
    <w:rsid w:val="00636DB5"/>
    <w:rsid w:val="00636DDD"/>
    <w:rsid w:val="00636EB4"/>
    <w:rsid w:val="00636ED2"/>
    <w:rsid w:val="00636F08"/>
    <w:rsid w:val="00636F7B"/>
    <w:rsid w:val="00637001"/>
    <w:rsid w:val="0063700D"/>
    <w:rsid w:val="00637063"/>
    <w:rsid w:val="00637101"/>
    <w:rsid w:val="0063710B"/>
    <w:rsid w:val="0063764D"/>
    <w:rsid w:val="006376AE"/>
    <w:rsid w:val="0063770F"/>
    <w:rsid w:val="00637792"/>
    <w:rsid w:val="00637923"/>
    <w:rsid w:val="00637937"/>
    <w:rsid w:val="006379F4"/>
    <w:rsid w:val="006379FC"/>
    <w:rsid w:val="00637A33"/>
    <w:rsid w:val="00637A69"/>
    <w:rsid w:val="00637A7B"/>
    <w:rsid w:val="00637B5C"/>
    <w:rsid w:val="00637C4A"/>
    <w:rsid w:val="00637C84"/>
    <w:rsid w:val="00637D0D"/>
    <w:rsid w:val="00637D27"/>
    <w:rsid w:val="00637DEF"/>
    <w:rsid w:val="00637E4C"/>
    <w:rsid w:val="00637EC5"/>
    <w:rsid w:val="00637F7C"/>
    <w:rsid w:val="006400AA"/>
    <w:rsid w:val="006400E6"/>
    <w:rsid w:val="006400F8"/>
    <w:rsid w:val="006401CF"/>
    <w:rsid w:val="00640381"/>
    <w:rsid w:val="0064044A"/>
    <w:rsid w:val="00640452"/>
    <w:rsid w:val="006404AD"/>
    <w:rsid w:val="006404F8"/>
    <w:rsid w:val="00640525"/>
    <w:rsid w:val="00640594"/>
    <w:rsid w:val="006405B5"/>
    <w:rsid w:val="00640687"/>
    <w:rsid w:val="0064099F"/>
    <w:rsid w:val="00640AEA"/>
    <w:rsid w:val="00640B8F"/>
    <w:rsid w:val="00640C31"/>
    <w:rsid w:val="00640D57"/>
    <w:rsid w:val="00640DC1"/>
    <w:rsid w:val="00640DE9"/>
    <w:rsid w:val="00640E24"/>
    <w:rsid w:val="00640EF4"/>
    <w:rsid w:val="00640F88"/>
    <w:rsid w:val="00640F99"/>
    <w:rsid w:val="00641050"/>
    <w:rsid w:val="00641131"/>
    <w:rsid w:val="0064115A"/>
    <w:rsid w:val="00641187"/>
    <w:rsid w:val="006411B5"/>
    <w:rsid w:val="0064131E"/>
    <w:rsid w:val="00641358"/>
    <w:rsid w:val="00641574"/>
    <w:rsid w:val="0064169A"/>
    <w:rsid w:val="006416BF"/>
    <w:rsid w:val="006417C3"/>
    <w:rsid w:val="00641855"/>
    <w:rsid w:val="00641897"/>
    <w:rsid w:val="006418B4"/>
    <w:rsid w:val="006418DB"/>
    <w:rsid w:val="00641934"/>
    <w:rsid w:val="00641962"/>
    <w:rsid w:val="00641996"/>
    <w:rsid w:val="006419BD"/>
    <w:rsid w:val="00641A3C"/>
    <w:rsid w:val="00641BE7"/>
    <w:rsid w:val="00641C6D"/>
    <w:rsid w:val="00641CAA"/>
    <w:rsid w:val="00641F40"/>
    <w:rsid w:val="0064203E"/>
    <w:rsid w:val="0064214C"/>
    <w:rsid w:val="0064214E"/>
    <w:rsid w:val="00642183"/>
    <w:rsid w:val="0064224E"/>
    <w:rsid w:val="00642273"/>
    <w:rsid w:val="006422C0"/>
    <w:rsid w:val="006422D5"/>
    <w:rsid w:val="00642509"/>
    <w:rsid w:val="0064277D"/>
    <w:rsid w:val="006427AD"/>
    <w:rsid w:val="00642809"/>
    <w:rsid w:val="006429E8"/>
    <w:rsid w:val="00642A1A"/>
    <w:rsid w:val="00642AFF"/>
    <w:rsid w:val="00642B30"/>
    <w:rsid w:val="00642CB5"/>
    <w:rsid w:val="00642CF0"/>
    <w:rsid w:val="00642CF9"/>
    <w:rsid w:val="00642D0A"/>
    <w:rsid w:val="00642E7F"/>
    <w:rsid w:val="00642E8F"/>
    <w:rsid w:val="00642F1D"/>
    <w:rsid w:val="0064310E"/>
    <w:rsid w:val="00643197"/>
    <w:rsid w:val="00643226"/>
    <w:rsid w:val="00643262"/>
    <w:rsid w:val="0064330E"/>
    <w:rsid w:val="00643407"/>
    <w:rsid w:val="00643460"/>
    <w:rsid w:val="0064347F"/>
    <w:rsid w:val="0064361A"/>
    <w:rsid w:val="00643625"/>
    <w:rsid w:val="006437FC"/>
    <w:rsid w:val="00643952"/>
    <w:rsid w:val="00643A79"/>
    <w:rsid w:val="00643B0D"/>
    <w:rsid w:val="00643BEC"/>
    <w:rsid w:val="00643C0A"/>
    <w:rsid w:val="00643EA8"/>
    <w:rsid w:val="00643F10"/>
    <w:rsid w:val="00643F2D"/>
    <w:rsid w:val="00643F5F"/>
    <w:rsid w:val="00643F77"/>
    <w:rsid w:val="00643FE3"/>
    <w:rsid w:val="00643FF2"/>
    <w:rsid w:val="0064418F"/>
    <w:rsid w:val="006441A9"/>
    <w:rsid w:val="00644477"/>
    <w:rsid w:val="00644590"/>
    <w:rsid w:val="006446DE"/>
    <w:rsid w:val="006446F8"/>
    <w:rsid w:val="006446FE"/>
    <w:rsid w:val="006447BB"/>
    <w:rsid w:val="006447EB"/>
    <w:rsid w:val="0064483C"/>
    <w:rsid w:val="006448BA"/>
    <w:rsid w:val="0064497D"/>
    <w:rsid w:val="006449F5"/>
    <w:rsid w:val="00644A72"/>
    <w:rsid w:val="00644AEB"/>
    <w:rsid w:val="00644AFA"/>
    <w:rsid w:val="00644BE5"/>
    <w:rsid w:val="00644C57"/>
    <w:rsid w:val="00644C83"/>
    <w:rsid w:val="00644D2B"/>
    <w:rsid w:val="00644D95"/>
    <w:rsid w:val="00644DA0"/>
    <w:rsid w:val="0064505C"/>
    <w:rsid w:val="00645179"/>
    <w:rsid w:val="0064520E"/>
    <w:rsid w:val="00645265"/>
    <w:rsid w:val="0064532D"/>
    <w:rsid w:val="006454B5"/>
    <w:rsid w:val="0064560E"/>
    <w:rsid w:val="00645646"/>
    <w:rsid w:val="00645652"/>
    <w:rsid w:val="0064589C"/>
    <w:rsid w:val="00645937"/>
    <w:rsid w:val="006459D8"/>
    <w:rsid w:val="006459DB"/>
    <w:rsid w:val="006459EF"/>
    <w:rsid w:val="00645A0C"/>
    <w:rsid w:val="00645ACD"/>
    <w:rsid w:val="00645B7F"/>
    <w:rsid w:val="00645C05"/>
    <w:rsid w:val="00645C0D"/>
    <w:rsid w:val="00645C95"/>
    <w:rsid w:val="00645E85"/>
    <w:rsid w:val="00645EB7"/>
    <w:rsid w:val="00645EF0"/>
    <w:rsid w:val="00645F05"/>
    <w:rsid w:val="00645F8C"/>
    <w:rsid w:val="00645FAC"/>
    <w:rsid w:val="00646016"/>
    <w:rsid w:val="00646092"/>
    <w:rsid w:val="006460B1"/>
    <w:rsid w:val="0064616E"/>
    <w:rsid w:val="0064620D"/>
    <w:rsid w:val="0064634E"/>
    <w:rsid w:val="00646448"/>
    <w:rsid w:val="006464D1"/>
    <w:rsid w:val="006465F3"/>
    <w:rsid w:val="00646622"/>
    <w:rsid w:val="0064668F"/>
    <w:rsid w:val="006466D8"/>
    <w:rsid w:val="0064675D"/>
    <w:rsid w:val="0064684F"/>
    <w:rsid w:val="00646888"/>
    <w:rsid w:val="006468DC"/>
    <w:rsid w:val="0064690D"/>
    <w:rsid w:val="006469E3"/>
    <w:rsid w:val="00646A0B"/>
    <w:rsid w:val="00646A8F"/>
    <w:rsid w:val="00646AEE"/>
    <w:rsid w:val="00646B75"/>
    <w:rsid w:val="00646B99"/>
    <w:rsid w:val="00646C00"/>
    <w:rsid w:val="00646D20"/>
    <w:rsid w:val="00646D4B"/>
    <w:rsid w:val="00646DA5"/>
    <w:rsid w:val="00646E84"/>
    <w:rsid w:val="00646EFA"/>
    <w:rsid w:val="00646F41"/>
    <w:rsid w:val="00646F72"/>
    <w:rsid w:val="00646FBC"/>
    <w:rsid w:val="00647025"/>
    <w:rsid w:val="00647044"/>
    <w:rsid w:val="0064706B"/>
    <w:rsid w:val="006470B6"/>
    <w:rsid w:val="00647364"/>
    <w:rsid w:val="00647461"/>
    <w:rsid w:val="00647474"/>
    <w:rsid w:val="00647607"/>
    <w:rsid w:val="00647729"/>
    <w:rsid w:val="00647747"/>
    <w:rsid w:val="006477A8"/>
    <w:rsid w:val="00647805"/>
    <w:rsid w:val="00647822"/>
    <w:rsid w:val="00647923"/>
    <w:rsid w:val="006479C7"/>
    <w:rsid w:val="00647A4C"/>
    <w:rsid w:val="00647B7A"/>
    <w:rsid w:val="00647C3B"/>
    <w:rsid w:val="00647D70"/>
    <w:rsid w:val="00647DAD"/>
    <w:rsid w:val="00647E8A"/>
    <w:rsid w:val="00647EB1"/>
    <w:rsid w:val="00647EEA"/>
    <w:rsid w:val="00647F29"/>
    <w:rsid w:val="00647F82"/>
    <w:rsid w:val="00647F85"/>
    <w:rsid w:val="00650055"/>
    <w:rsid w:val="0065016E"/>
    <w:rsid w:val="00650181"/>
    <w:rsid w:val="00650217"/>
    <w:rsid w:val="00650262"/>
    <w:rsid w:val="00650296"/>
    <w:rsid w:val="00650341"/>
    <w:rsid w:val="0065037E"/>
    <w:rsid w:val="00650416"/>
    <w:rsid w:val="00650519"/>
    <w:rsid w:val="0065054A"/>
    <w:rsid w:val="0065074A"/>
    <w:rsid w:val="00650854"/>
    <w:rsid w:val="00650891"/>
    <w:rsid w:val="0065089C"/>
    <w:rsid w:val="00650946"/>
    <w:rsid w:val="0065099D"/>
    <w:rsid w:val="006509F2"/>
    <w:rsid w:val="00650A04"/>
    <w:rsid w:val="00650AFF"/>
    <w:rsid w:val="00650B59"/>
    <w:rsid w:val="00650C50"/>
    <w:rsid w:val="00650C79"/>
    <w:rsid w:val="00650D1C"/>
    <w:rsid w:val="00650D7B"/>
    <w:rsid w:val="00650D8F"/>
    <w:rsid w:val="00650E15"/>
    <w:rsid w:val="00650E56"/>
    <w:rsid w:val="00650E9C"/>
    <w:rsid w:val="0065101F"/>
    <w:rsid w:val="00651038"/>
    <w:rsid w:val="00651089"/>
    <w:rsid w:val="0065113F"/>
    <w:rsid w:val="00651161"/>
    <w:rsid w:val="00651295"/>
    <w:rsid w:val="00651328"/>
    <w:rsid w:val="0065139A"/>
    <w:rsid w:val="00651496"/>
    <w:rsid w:val="0065160F"/>
    <w:rsid w:val="0065164C"/>
    <w:rsid w:val="00651701"/>
    <w:rsid w:val="0065179F"/>
    <w:rsid w:val="006517BD"/>
    <w:rsid w:val="0065186F"/>
    <w:rsid w:val="006518D8"/>
    <w:rsid w:val="00651938"/>
    <w:rsid w:val="0065194D"/>
    <w:rsid w:val="00651AD0"/>
    <w:rsid w:val="00651AF7"/>
    <w:rsid w:val="00651D18"/>
    <w:rsid w:val="00651D51"/>
    <w:rsid w:val="00651E4A"/>
    <w:rsid w:val="00651EA0"/>
    <w:rsid w:val="00651EF3"/>
    <w:rsid w:val="00651F90"/>
    <w:rsid w:val="0065231F"/>
    <w:rsid w:val="00652438"/>
    <w:rsid w:val="0065243D"/>
    <w:rsid w:val="0065245F"/>
    <w:rsid w:val="006524BB"/>
    <w:rsid w:val="006524BC"/>
    <w:rsid w:val="00652524"/>
    <w:rsid w:val="00652576"/>
    <w:rsid w:val="0065261D"/>
    <w:rsid w:val="0065270F"/>
    <w:rsid w:val="00652800"/>
    <w:rsid w:val="00652996"/>
    <w:rsid w:val="00652A46"/>
    <w:rsid w:val="00652AD7"/>
    <w:rsid w:val="00652DBF"/>
    <w:rsid w:val="00652FCC"/>
    <w:rsid w:val="00652FD6"/>
    <w:rsid w:val="0065307A"/>
    <w:rsid w:val="006530D5"/>
    <w:rsid w:val="006530EB"/>
    <w:rsid w:val="00653100"/>
    <w:rsid w:val="00653137"/>
    <w:rsid w:val="006532E6"/>
    <w:rsid w:val="0065331C"/>
    <w:rsid w:val="006534AC"/>
    <w:rsid w:val="006534BF"/>
    <w:rsid w:val="0065355F"/>
    <w:rsid w:val="00653568"/>
    <w:rsid w:val="0065359D"/>
    <w:rsid w:val="00653619"/>
    <w:rsid w:val="0065365E"/>
    <w:rsid w:val="0065366B"/>
    <w:rsid w:val="006536CC"/>
    <w:rsid w:val="00653723"/>
    <w:rsid w:val="006537D7"/>
    <w:rsid w:val="0065381B"/>
    <w:rsid w:val="0065384E"/>
    <w:rsid w:val="006538A1"/>
    <w:rsid w:val="00653922"/>
    <w:rsid w:val="006539F5"/>
    <w:rsid w:val="00653A8C"/>
    <w:rsid w:val="00653EB6"/>
    <w:rsid w:val="00653EC4"/>
    <w:rsid w:val="0065400A"/>
    <w:rsid w:val="00654168"/>
    <w:rsid w:val="00654321"/>
    <w:rsid w:val="0065444A"/>
    <w:rsid w:val="006544CA"/>
    <w:rsid w:val="006544D5"/>
    <w:rsid w:val="00654721"/>
    <w:rsid w:val="00654732"/>
    <w:rsid w:val="006547FB"/>
    <w:rsid w:val="006548A0"/>
    <w:rsid w:val="00654972"/>
    <w:rsid w:val="00654A2B"/>
    <w:rsid w:val="00654A40"/>
    <w:rsid w:val="00654B4E"/>
    <w:rsid w:val="00654B8D"/>
    <w:rsid w:val="00654C20"/>
    <w:rsid w:val="00654CA7"/>
    <w:rsid w:val="00654CBC"/>
    <w:rsid w:val="00654CCC"/>
    <w:rsid w:val="00654CD5"/>
    <w:rsid w:val="00654D0F"/>
    <w:rsid w:val="00654D82"/>
    <w:rsid w:val="00654D83"/>
    <w:rsid w:val="00654E12"/>
    <w:rsid w:val="00654F68"/>
    <w:rsid w:val="00654FEB"/>
    <w:rsid w:val="00654FEE"/>
    <w:rsid w:val="00655120"/>
    <w:rsid w:val="00655292"/>
    <w:rsid w:val="006552D6"/>
    <w:rsid w:val="00655301"/>
    <w:rsid w:val="0065530D"/>
    <w:rsid w:val="00655326"/>
    <w:rsid w:val="00655393"/>
    <w:rsid w:val="0065539D"/>
    <w:rsid w:val="006553C5"/>
    <w:rsid w:val="006554BD"/>
    <w:rsid w:val="006554EE"/>
    <w:rsid w:val="006554FA"/>
    <w:rsid w:val="00655586"/>
    <w:rsid w:val="006555AE"/>
    <w:rsid w:val="006555DB"/>
    <w:rsid w:val="0065560C"/>
    <w:rsid w:val="00655651"/>
    <w:rsid w:val="0065567E"/>
    <w:rsid w:val="006556B7"/>
    <w:rsid w:val="00655737"/>
    <w:rsid w:val="006557E9"/>
    <w:rsid w:val="0065580F"/>
    <w:rsid w:val="0065584B"/>
    <w:rsid w:val="006558BB"/>
    <w:rsid w:val="00655989"/>
    <w:rsid w:val="006559CA"/>
    <w:rsid w:val="00655A53"/>
    <w:rsid w:val="00655B0E"/>
    <w:rsid w:val="00655B48"/>
    <w:rsid w:val="00655B8D"/>
    <w:rsid w:val="00655CF9"/>
    <w:rsid w:val="00655D0E"/>
    <w:rsid w:val="00655D45"/>
    <w:rsid w:val="00655D7C"/>
    <w:rsid w:val="00655DAC"/>
    <w:rsid w:val="00655E2C"/>
    <w:rsid w:val="00655E92"/>
    <w:rsid w:val="00655ECD"/>
    <w:rsid w:val="00655FDB"/>
    <w:rsid w:val="0065621F"/>
    <w:rsid w:val="00656244"/>
    <w:rsid w:val="0065626E"/>
    <w:rsid w:val="00656271"/>
    <w:rsid w:val="00656429"/>
    <w:rsid w:val="006564D5"/>
    <w:rsid w:val="00656568"/>
    <w:rsid w:val="00656604"/>
    <w:rsid w:val="00656736"/>
    <w:rsid w:val="00656769"/>
    <w:rsid w:val="00656786"/>
    <w:rsid w:val="006567DC"/>
    <w:rsid w:val="0065686A"/>
    <w:rsid w:val="006569F6"/>
    <w:rsid w:val="00656A6B"/>
    <w:rsid w:val="00656A9D"/>
    <w:rsid w:val="00656ACD"/>
    <w:rsid w:val="00656AD6"/>
    <w:rsid w:val="00656BB4"/>
    <w:rsid w:val="00656BF9"/>
    <w:rsid w:val="00656E5A"/>
    <w:rsid w:val="00656F82"/>
    <w:rsid w:val="0065702B"/>
    <w:rsid w:val="006570D6"/>
    <w:rsid w:val="006570ED"/>
    <w:rsid w:val="00657117"/>
    <w:rsid w:val="00657139"/>
    <w:rsid w:val="0065714C"/>
    <w:rsid w:val="00657178"/>
    <w:rsid w:val="006572D1"/>
    <w:rsid w:val="00657306"/>
    <w:rsid w:val="00657369"/>
    <w:rsid w:val="0065746A"/>
    <w:rsid w:val="006574F8"/>
    <w:rsid w:val="00657545"/>
    <w:rsid w:val="006575B9"/>
    <w:rsid w:val="006576C6"/>
    <w:rsid w:val="0065788E"/>
    <w:rsid w:val="00657920"/>
    <w:rsid w:val="00657976"/>
    <w:rsid w:val="00657A38"/>
    <w:rsid w:val="00657A6C"/>
    <w:rsid w:val="00657AF3"/>
    <w:rsid w:val="00657C99"/>
    <w:rsid w:val="00657CA7"/>
    <w:rsid w:val="00657D41"/>
    <w:rsid w:val="00657F4E"/>
    <w:rsid w:val="00657F97"/>
    <w:rsid w:val="0066017C"/>
    <w:rsid w:val="006601B0"/>
    <w:rsid w:val="006602FE"/>
    <w:rsid w:val="00660356"/>
    <w:rsid w:val="006603B0"/>
    <w:rsid w:val="00660406"/>
    <w:rsid w:val="0066042A"/>
    <w:rsid w:val="00660449"/>
    <w:rsid w:val="00660459"/>
    <w:rsid w:val="0066047E"/>
    <w:rsid w:val="006604C6"/>
    <w:rsid w:val="00660576"/>
    <w:rsid w:val="006605E3"/>
    <w:rsid w:val="006607B4"/>
    <w:rsid w:val="00660871"/>
    <w:rsid w:val="006608F1"/>
    <w:rsid w:val="006609F9"/>
    <w:rsid w:val="00660A5B"/>
    <w:rsid w:val="00660A74"/>
    <w:rsid w:val="00660B42"/>
    <w:rsid w:val="00660B5C"/>
    <w:rsid w:val="00660BAB"/>
    <w:rsid w:val="00660C0C"/>
    <w:rsid w:val="00660C6F"/>
    <w:rsid w:val="00660CA0"/>
    <w:rsid w:val="00660CAF"/>
    <w:rsid w:val="00660CED"/>
    <w:rsid w:val="00660D1B"/>
    <w:rsid w:val="00660D98"/>
    <w:rsid w:val="00660E2C"/>
    <w:rsid w:val="00660F6E"/>
    <w:rsid w:val="00660FB6"/>
    <w:rsid w:val="00661029"/>
    <w:rsid w:val="00661034"/>
    <w:rsid w:val="0066106C"/>
    <w:rsid w:val="006611A6"/>
    <w:rsid w:val="006612F0"/>
    <w:rsid w:val="00661386"/>
    <w:rsid w:val="006613C6"/>
    <w:rsid w:val="006614D2"/>
    <w:rsid w:val="0066155C"/>
    <w:rsid w:val="00661581"/>
    <w:rsid w:val="006615C0"/>
    <w:rsid w:val="00661625"/>
    <w:rsid w:val="00661789"/>
    <w:rsid w:val="0066179E"/>
    <w:rsid w:val="006617AB"/>
    <w:rsid w:val="006618A2"/>
    <w:rsid w:val="00661998"/>
    <w:rsid w:val="00661999"/>
    <w:rsid w:val="006619B8"/>
    <w:rsid w:val="00661A06"/>
    <w:rsid w:val="00661A6A"/>
    <w:rsid w:val="00661AF7"/>
    <w:rsid w:val="00661BC9"/>
    <w:rsid w:val="00661D60"/>
    <w:rsid w:val="00661EB0"/>
    <w:rsid w:val="00661F38"/>
    <w:rsid w:val="00661F3C"/>
    <w:rsid w:val="00661F94"/>
    <w:rsid w:val="00662061"/>
    <w:rsid w:val="006621E1"/>
    <w:rsid w:val="00662295"/>
    <w:rsid w:val="00662386"/>
    <w:rsid w:val="0066260F"/>
    <w:rsid w:val="006626F3"/>
    <w:rsid w:val="00662700"/>
    <w:rsid w:val="006627FD"/>
    <w:rsid w:val="006628E1"/>
    <w:rsid w:val="00662A12"/>
    <w:rsid w:val="00662A67"/>
    <w:rsid w:val="00662BFC"/>
    <w:rsid w:val="00662C27"/>
    <w:rsid w:val="00662C79"/>
    <w:rsid w:val="00662DAB"/>
    <w:rsid w:val="00662E5F"/>
    <w:rsid w:val="00662E92"/>
    <w:rsid w:val="00662EFD"/>
    <w:rsid w:val="00662F7D"/>
    <w:rsid w:val="00663122"/>
    <w:rsid w:val="006631F3"/>
    <w:rsid w:val="006632D3"/>
    <w:rsid w:val="00663300"/>
    <w:rsid w:val="00663383"/>
    <w:rsid w:val="00663407"/>
    <w:rsid w:val="0066345C"/>
    <w:rsid w:val="00663497"/>
    <w:rsid w:val="006634B7"/>
    <w:rsid w:val="0066352D"/>
    <w:rsid w:val="00663625"/>
    <w:rsid w:val="006638D7"/>
    <w:rsid w:val="00663A13"/>
    <w:rsid w:val="00663A90"/>
    <w:rsid w:val="00663B87"/>
    <w:rsid w:val="00663BBC"/>
    <w:rsid w:val="00663DE6"/>
    <w:rsid w:val="00663F18"/>
    <w:rsid w:val="00663FC5"/>
    <w:rsid w:val="00663FFD"/>
    <w:rsid w:val="00664005"/>
    <w:rsid w:val="0066403D"/>
    <w:rsid w:val="006640E9"/>
    <w:rsid w:val="006640FD"/>
    <w:rsid w:val="0066411B"/>
    <w:rsid w:val="00664173"/>
    <w:rsid w:val="006642F8"/>
    <w:rsid w:val="0066436E"/>
    <w:rsid w:val="00664385"/>
    <w:rsid w:val="006643D4"/>
    <w:rsid w:val="00664418"/>
    <w:rsid w:val="0066441F"/>
    <w:rsid w:val="00664434"/>
    <w:rsid w:val="0066449D"/>
    <w:rsid w:val="00664571"/>
    <w:rsid w:val="006645C8"/>
    <w:rsid w:val="006647B0"/>
    <w:rsid w:val="006647C0"/>
    <w:rsid w:val="006647C2"/>
    <w:rsid w:val="006647CC"/>
    <w:rsid w:val="006647F4"/>
    <w:rsid w:val="0066484F"/>
    <w:rsid w:val="0066489E"/>
    <w:rsid w:val="00664966"/>
    <w:rsid w:val="00664969"/>
    <w:rsid w:val="006649CF"/>
    <w:rsid w:val="00664A41"/>
    <w:rsid w:val="00664A48"/>
    <w:rsid w:val="00664AAA"/>
    <w:rsid w:val="00664AAF"/>
    <w:rsid w:val="00664ABD"/>
    <w:rsid w:val="00664C47"/>
    <w:rsid w:val="00664C5F"/>
    <w:rsid w:val="00664D23"/>
    <w:rsid w:val="00664D39"/>
    <w:rsid w:val="00664DAC"/>
    <w:rsid w:val="00664E2C"/>
    <w:rsid w:val="00664EAF"/>
    <w:rsid w:val="00664F49"/>
    <w:rsid w:val="00664F4B"/>
    <w:rsid w:val="0066504E"/>
    <w:rsid w:val="006650F4"/>
    <w:rsid w:val="006651FE"/>
    <w:rsid w:val="00665327"/>
    <w:rsid w:val="006654A2"/>
    <w:rsid w:val="0066561F"/>
    <w:rsid w:val="006656DF"/>
    <w:rsid w:val="00665778"/>
    <w:rsid w:val="00665806"/>
    <w:rsid w:val="006658A8"/>
    <w:rsid w:val="006659A4"/>
    <w:rsid w:val="006659A7"/>
    <w:rsid w:val="006659AA"/>
    <w:rsid w:val="006659F6"/>
    <w:rsid w:val="00665B43"/>
    <w:rsid w:val="00665BE7"/>
    <w:rsid w:val="00665C5C"/>
    <w:rsid w:val="00665CA7"/>
    <w:rsid w:val="00665CE9"/>
    <w:rsid w:val="00665D29"/>
    <w:rsid w:val="00665D85"/>
    <w:rsid w:val="00665E85"/>
    <w:rsid w:val="00665F6E"/>
    <w:rsid w:val="00665FCD"/>
    <w:rsid w:val="00666027"/>
    <w:rsid w:val="0066605B"/>
    <w:rsid w:val="0066608A"/>
    <w:rsid w:val="0066609E"/>
    <w:rsid w:val="006660E8"/>
    <w:rsid w:val="00666167"/>
    <w:rsid w:val="006661BF"/>
    <w:rsid w:val="006662CE"/>
    <w:rsid w:val="00666318"/>
    <w:rsid w:val="00666469"/>
    <w:rsid w:val="006665B8"/>
    <w:rsid w:val="006665FC"/>
    <w:rsid w:val="0066671C"/>
    <w:rsid w:val="00666730"/>
    <w:rsid w:val="0066678A"/>
    <w:rsid w:val="006667AC"/>
    <w:rsid w:val="006667C0"/>
    <w:rsid w:val="006667FB"/>
    <w:rsid w:val="00666921"/>
    <w:rsid w:val="0066693D"/>
    <w:rsid w:val="00666956"/>
    <w:rsid w:val="006669CC"/>
    <w:rsid w:val="00666A4D"/>
    <w:rsid w:val="00666A58"/>
    <w:rsid w:val="00666B45"/>
    <w:rsid w:val="00666BEE"/>
    <w:rsid w:val="00666BFD"/>
    <w:rsid w:val="00666C14"/>
    <w:rsid w:val="00666DFE"/>
    <w:rsid w:val="00666F06"/>
    <w:rsid w:val="00666F74"/>
    <w:rsid w:val="00667260"/>
    <w:rsid w:val="0066729F"/>
    <w:rsid w:val="006672FF"/>
    <w:rsid w:val="006673DC"/>
    <w:rsid w:val="0066742C"/>
    <w:rsid w:val="00667440"/>
    <w:rsid w:val="00667557"/>
    <w:rsid w:val="006675B8"/>
    <w:rsid w:val="00667716"/>
    <w:rsid w:val="0066774C"/>
    <w:rsid w:val="006677F1"/>
    <w:rsid w:val="00667844"/>
    <w:rsid w:val="00667897"/>
    <w:rsid w:val="006678CA"/>
    <w:rsid w:val="00667A15"/>
    <w:rsid w:val="00667BF6"/>
    <w:rsid w:val="00667CB7"/>
    <w:rsid w:val="00667CBD"/>
    <w:rsid w:val="00667D7C"/>
    <w:rsid w:val="00667D7D"/>
    <w:rsid w:val="00667E36"/>
    <w:rsid w:val="00667F26"/>
    <w:rsid w:val="00667F32"/>
    <w:rsid w:val="00670002"/>
    <w:rsid w:val="006700EB"/>
    <w:rsid w:val="00670200"/>
    <w:rsid w:val="00670235"/>
    <w:rsid w:val="0067023F"/>
    <w:rsid w:val="00670334"/>
    <w:rsid w:val="006703FA"/>
    <w:rsid w:val="00670480"/>
    <w:rsid w:val="006705F1"/>
    <w:rsid w:val="00670601"/>
    <w:rsid w:val="00670650"/>
    <w:rsid w:val="006706B1"/>
    <w:rsid w:val="00670884"/>
    <w:rsid w:val="006708B0"/>
    <w:rsid w:val="006708BB"/>
    <w:rsid w:val="00670954"/>
    <w:rsid w:val="00670975"/>
    <w:rsid w:val="00670981"/>
    <w:rsid w:val="006709D2"/>
    <w:rsid w:val="006709D9"/>
    <w:rsid w:val="00670A1A"/>
    <w:rsid w:val="00670A1B"/>
    <w:rsid w:val="00670AC9"/>
    <w:rsid w:val="00670AF0"/>
    <w:rsid w:val="00670B0C"/>
    <w:rsid w:val="00670B4A"/>
    <w:rsid w:val="00670B6C"/>
    <w:rsid w:val="00670B86"/>
    <w:rsid w:val="00670BF6"/>
    <w:rsid w:val="00670C1E"/>
    <w:rsid w:val="00670C5C"/>
    <w:rsid w:val="00670CC1"/>
    <w:rsid w:val="00670CC2"/>
    <w:rsid w:val="00670DC6"/>
    <w:rsid w:val="00670DCE"/>
    <w:rsid w:val="00670EB4"/>
    <w:rsid w:val="00670FA1"/>
    <w:rsid w:val="00671235"/>
    <w:rsid w:val="006712C0"/>
    <w:rsid w:val="00671395"/>
    <w:rsid w:val="00671445"/>
    <w:rsid w:val="0067145C"/>
    <w:rsid w:val="00671539"/>
    <w:rsid w:val="0067159C"/>
    <w:rsid w:val="0067164C"/>
    <w:rsid w:val="006716C8"/>
    <w:rsid w:val="006717AE"/>
    <w:rsid w:val="00671932"/>
    <w:rsid w:val="0067194A"/>
    <w:rsid w:val="006719A0"/>
    <w:rsid w:val="00671A00"/>
    <w:rsid w:val="00671A85"/>
    <w:rsid w:val="00671ACB"/>
    <w:rsid w:val="00671ADF"/>
    <w:rsid w:val="00671B1D"/>
    <w:rsid w:val="00671B21"/>
    <w:rsid w:val="00671ED8"/>
    <w:rsid w:val="00671F73"/>
    <w:rsid w:val="00671FB9"/>
    <w:rsid w:val="00672064"/>
    <w:rsid w:val="006720A1"/>
    <w:rsid w:val="006720BC"/>
    <w:rsid w:val="00672181"/>
    <w:rsid w:val="0067225E"/>
    <w:rsid w:val="006722A4"/>
    <w:rsid w:val="006722B1"/>
    <w:rsid w:val="006722EB"/>
    <w:rsid w:val="006724A5"/>
    <w:rsid w:val="00672501"/>
    <w:rsid w:val="0067254A"/>
    <w:rsid w:val="006725D2"/>
    <w:rsid w:val="00672674"/>
    <w:rsid w:val="006726CA"/>
    <w:rsid w:val="006729BB"/>
    <w:rsid w:val="006729C7"/>
    <w:rsid w:val="00672AFD"/>
    <w:rsid w:val="00672B4F"/>
    <w:rsid w:val="00672C15"/>
    <w:rsid w:val="00672D40"/>
    <w:rsid w:val="00672DB3"/>
    <w:rsid w:val="00672DB4"/>
    <w:rsid w:val="00672DF0"/>
    <w:rsid w:val="00672DF3"/>
    <w:rsid w:val="00672DF7"/>
    <w:rsid w:val="00672E93"/>
    <w:rsid w:val="00672EF3"/>
    <w:rsid w:val="00672FB2"/>
    <w:rsid w:val="0067302B"/>
    <w:rsid w:val="0067304B"/>
    <w:rsid w:val="006730B9"/>
    <w:rsid w:val="0067313D"/>
    <w:rsid w:val="00673302"/>
    <w:rsid w:val="0067331A"/>
    <w:rsid w:val="0067334E"/>
    <w:rsid w:val="00673458"/>
    <w:rsid w:val="00673531"/>
    <w:rsid w:val="0067359B"/>
    <w:rsid w:val="006737D5"/>
    <w:rsid w:val="00673900"/>
    <w:rsid w:val="00673A60"/>
    <w:rsid w:val="00673A66"/>
    <w:rsid w:val="00673A83"/>
    <w:rsid w:val="00673B03"/>
    <w:rsid w:val="00673C40"/>
    <w:rsid w:val="00673C9D"/>
    <w:rsid w:val="00673D98"/>
    <w:rsid w:val="00673DAF"/>
    <w:rsid w:val="00673DD6"/>
    <w:rsid w:val="00673E05"/>
    <w:rsid w:val="00673E1A"/>
    <w:rsid w:val="00673E89"/>
    <w:rsid w:val="00673FE3"/>
    <w:rsid w:val="00674282"/>
    <w:rsid w:val="006743DA"/>
    <w:rsid w:val="006744AC"/>
    <w:rsid w:val="006744FE"/>
    <w:rsid w:val="00674500"/>
    <w:rsid w:val="00674570"/>
    <w:rsid w:val="00674640"/>
    <w:rsid w:val="00674667"/>
    <w:rsid w:val="0067467A"/>
    <w:rsid w:val="00674815"/>
    <w:rsid w:val="00674835"/>
    <w:rsid w:val="00674897"/>
    <w:rsid w:val="00674908"/>
    <w:rsid w:val="00674930"/>
    <w:rsid w:val="00674935"/>
    <w:rsid w:val="0067499A"/>
    <w:rsid w:val="00674B5E"/>
    <w:rsid w:val="00674C52"/>
    <w:rsid w:val="00674C7D"/>
    <w:rsid w:val="00674D26"/>
    <w:rsid w:val="00674DCB"/>
    <w:rsid w:val="00674E03"/>
    <w:rsid w:val="00674E6D"/>
    <w:rsid w:val="00674EB3"/>
    <w:rsid w:val="00674F48"/>
    <w:rsid w:val="00674F5E"/>
    <w:rsid w:val="00674FCB"/>
    <w:rsid w:val="00675120"/>
    <w:rsid w:val="00675179"/>
    <w:rsid w:val="00675227"/>
    <w:rsid w:val="00675290"/>
    <w:rsid w:val="006752EF"/>
    <w:rsid w:val="006754A1"/>
    <w:rsid w:val="00675612"/>
    <w:rsid w:val="006757C5"/>
    <w:rsid w:val="00675876"/>
    <w:rsid w:val="00675895"/>
    <w:rsid w:val="006758F8"/>
    <w:rsid w:val="00675970"/>
    <w:rsid w:val="006759B3"/>
    <w:rsid w:val="00675A25"/>
    <w:rsid w:val="00675A43"/>
    <w:rsid w:val="00675AC9"/>
    <w:rsid w:val="00675AE4"/>
    <w:rsid w:val="00675BFA"/>
    <w:rsid w:val="00675C52"/>
    <w:rsid w:val="00675C66"/>
    <w:rsid w:val="00676027"/>
    <w:rsid w:val="006760EF"/>
    <w:rsid w:val="00676262"/>
    <w:rsid w:val="006762A6"/>
    <w:rsid w:val="006762F4"/>
    <w:rsid w:val="0067631C"/>
    <w:rsid w:val="00676357"/>
    <w:rsid w:val="006763AB"/>
    <w:rsid w:val="006763B6"/>
    <w:rsid w:val="00676455"/>
    <w:rsid w:val="00676527"/>
    <w:rsid w:val="006766CB"/>
    <w:rsid w:val="0067683A"/>
    <w:rsid w:val="006768E0"/>
    <w:rsid w:val="006768EA"/>
    <w:rsid w:val="0067697B"/>
    <w:rsid w:val="00676984"/>
    <w:rsid w:val="006769BB"/>
    <w:rsid w:val="00676AF0"/>
    <w:rsid w:val="00676BDF"/>
    <w:rsid w:val="00676BF4"/>
    <w:rsid w:val="00676C56"/>
    <w:rsid w:val="00676CD2"/>
    <w:rsid w:val="00676CF0"/>
    <w:rsid w:val="00676EAE"/>
    <w:rsid w:val="00676F63"/>
    <w:rsid w:val="00677019"/>
    <w:rsid w:val="0067709D"/>
    <w:rsid w:val="00677184"/>
    <w:rsid w:val="00677237"/>
    <w:rsid w:val="0067724A"/>
    <w:rsid w:val="006774BD"/>
    <w:rsid w:val="00677521"/>
    <w:rsid w:val="00677531"/>
    <w:rsid w:val="0067764C"/>
    <w:rsid w:val="006776AF"/>
    <w:rsid w:val="006776C1"/>
    <w:rsid w:val="0067782A"/>
    <w:rsid w:val="0067787F"/>
    <w:rsid w:val="00677956"/>
    <w:rsid w:val="00677995"/>
    <w:rsid w:val="006779CC"/>
    <w:rsid w:val="006779F0"/>
    <w:rsid w:val="00677A13"/>
    <w:rsid w:val="00677A8E"/>
    <w:rsid w:val="00677AD6"/>
    <w:rsid w:val="00677AFA"/>
    <w:rsid w:val="00677B2F"/>
    <w:rsid w:val="00677C99"/>
    <w:rsid w:val="00677CFC"/>
    <w:rsid w:val="00677D73"/>
    <w:rsid w:val="00677DED"/>
    <w:rsid w:val="00677F19"/>
    <w:rsid w:val="00677F46"/>
    <w:rsid w:val="00677F4B"/>
    <w:rsid w:val="006803EF"/>
    <w:rsid w:val="00680409"/>
    <w:rsid w:val="0068041B"/>
    <w:rsid w:val="00680437"/>
    <w:rsid w:val="006804E5"/>
    <w:rsid w:val="006804EC"/>
    <w:rsid w:val="006805D3"/>
    <w:rsid w:val="006807A9"/>
    <w:rsid w:val="0068081E"/>
    <w:rsid w:val="0068088C"/>
    <w:rsid w:val="00680908"/>
    <w:rsid w:val="00680978"/>
    <w:rsid w:val="00680991"/>
    <w:rsid w:val="006809A2"/>
    <w:rsid w:val="00680AB9"/>
    <w:rsid w:val="00680B40"/>
    <w:rsid w:val="00680BBE"/>
    <w:rsid w:val="00680CB8"/>
    <w:rsid w:val="00680DEF"/>
    <w:rsid w:val="00680E0E"/>
    <w:rsid w:val="00680F3A"/>
    <w:rsid w:val="00680FC3"/>
    <w:rsid w:val="00681128"/>
    <w:rsid w:val="0068112A"/>
    <w:rsid w:val="006811FE"/>
    <w:rsid w:val="00681217"/>
    <w:rsid w:val="00681345"/>
    <w:rsid w:val="00681356"/>
    <w:rsid w:val="00681443"/>
    <w:rsid w:val="006814D3"/>
    <w:rsid w:val="006815C2"/>
    <w:rsid w:val="00681630"/>
    <w:rsid w:val="006816E1"/>
    <w:rsid w:val="006816F1"/>
    <w:rsid w:val="00681814"/>
    <w:rsid w:val="0068181E"/>
    <w:rsid w:val="0068184F"/>
    <w:rsid w:val="0068193D"/>
    <w:rsid w:val="00681A5D"/>
    <w:rsid w:val="00681BBC"/>
    <w:rsid w:val="00681C46"/>
    <w:rsid w:val="00681C52"/>
    <w:rsid w:val="00681C7A"/>
    <w:rsid w:val="00681D5D"/>
    <w:rsid w:val="00681D76"/>
    <w:rsid w:val="00681E43"/>
    <w:rsid w:val="00681E4E"/>
    <w:rsid w:val="00681EC9"/>
    <w:rsid w:val="00681F31"/>
    <w:rsid w:val="00681F35"/>
    <w:rsid w:val="00681FCC"/>
    <w:rsid w:val="00682128"/>
    <w:rsid w:val="00682151"/>
    <w:rsid w:val="00682217"/>
    <w:rsid w:val="006822FA"/>
    <w:rsid w:val="006823D8"/>
    <w:rsid w:val="00682536"/>
    <w:rsid w:val="006825B8"/>
    <w:rsid w:val="00682660"/>
    <w:rsid w:val="00682683"/>
    <w:rsid w:val="0068271F"/>
    <w:rsid w:val="0068281E"/>
    <w:rsid w:val="0068284D"/>
    <w:rsid w:val="00682879"/>
    <w:rsid w:val="00682883"/>
    <w:rsid w:val="0068288C"/>
    <w:rsid w:val="006829BB"/>
    <w:rsid w:val="006829D2"/>
    <w:rsid w:val="00682A5F"/>
    <w:rsid w:val="00682B16"/>
    <w:rsid w:val="00682CC3"/>
    <w:rsid w:val="00682CCC"/>
    <w:rsid w:val="00682E1E"/>
    <w:rsid w:val="00682ECE"/>
    <w:rsid w:val="00682ED7"/>
    <w:rsid w:val="00682F0D"/>
    <w:rsid w:val="006830AD"/>
    <w:rsid w:val="0068324A"/>
    <w:rsid w:val="00683285"/>
    <w:rsid w:val="00683490"/>
    <w:rsid w:val="006834C0"/>
    <w:rsid w:val="00683526"/>
    <w:rsid w:val="00683562"/>
    <w:rsid w:val="00683586"/>
    <w:rsid w:val="006835AB"/>
    <w:rsid w:val="006835D5"/>
    <w:rsid w:val="006835D7"/>
    <w:rsid w:val="00683644"/>
    <w:rsid w:val="00683652"/>
    <w:rsid w:val="00683799"/>
    <w:rsid w:val="006837DA"/>
    <w:rsid w:val="0068383A"/>
    <w:rsid w:val="006838BF"/>
    <w:rsid w:val="0068393E"/>
    <w:rsid w:val="00683969"/>
    <w:rsid w:val="006839DF"/>
    <w:rsid w:val="00683A39"/>
    <w:rsid w:val="00683A8F"/>
    <w:rsid w:val="00683B60"/>
    <w:rsid w:val="00683B9B"/>
    <w:rsid w:val="00683BFC"/>
    <w:rsid w:val="00683C2A"/>
    <w:rsid w:val="00683D29"/>
    <w:rsid w:val="00683E18"/>
    <w:rsid w:val="00683F36"/>
    <w:rsid w:val="00683FF9"/>
    <w:rsid w:val="00684051"/>
    <w:rsid w:val="00684112"/>
    <w:rsid w:val="006841CE"/>
    <w:rsid w:val="00684269"/>
    <w:rsid w:val="0068435D"/>
    <w:rsid w:val="00684373"/>
    <w:rsid w:val="0068453A"/>
    <w:rsid w:val="006845FA"/>
    <w:rsid w:val="0068463A"/>
    <w:rsid w:val="0068465A"/>
    <w:rsid w:val="00684703"/>
    <w:rsid w:val="00684728"/>
    <w:rsid w:val="0068474E"/>
    <w:rsid w:val="0068479D"/>
    <w:rsid w:val="00684817"/>
    <w:rsid w:val="006848B1"/>
    <w:rsid w:val="006848D1"/>
    <w:rsid w:val="00684921"/>
    <w:rsid w:val="00684930"/>
    <w:rsid w:val="00684999"/>
    <w:rsid w:val="00684A93"/>
    <w:rsid w:val="00684B47"/>
    <w:rsid w:val="00684CBD"/>
    <w:rsid w:val="00684D01"/>
    <w:rsid w:val="00684D50"/>
    <w:rsid w:val="00684E16"/>
    <w:rsid w:val="00684E6E"/>
    <w:rsid w:val="00684FE2"/>
    <w:rsid w:val="006850AE"/>
    <w:rsid w:val="006850ED"/>
    <w:rsid w:val="00685170"/>
    <w:rsid w:val="00685175"/>
    <w:rsid w:val="00685185"/>
    <w:rsid w:val="00685204"/>
    <w:rsid w:val="00685234"/>
    <w:rsid w:val="006852AA"/>
    <w:rsid w:val="0068532B"/>
    <w:rsid w:val="00685330"/>
    <w:rsid w:val="006853A8"/>
    <w:rsid w:val="0068546B"/>
    <w:rsid w:val="006854FC"/>
    <w:rsid w:val="00685586"/>
    <w:rsid w:val="00685589"/>
    <w:rsid w:val="00685778"/>
    <w:rsid w:val="006859D2"/>
    <w:rsid w:val="006859E7"/>
    <w:rsid w:val="00685AA2"/>
    <w:rsid w:val="00685AC2"/>
    <w:rsid w:val="00685B47"/>
    <w:rsid w:val="00685C03"/>
    <w:rsid w:val="00685C65"/>
    <w:rsid w:val="00685CD2"/>
    <w:rsid w:val="00685D23"/>
    <w:rsid w:val="00685D6A"/>
    <w:rsid w:val="00685E81"/>
    <w:rsid w:val="00685E97"/>
    <w:rsid w:val="00685FB8"/>
    <w:rsid w:val="00686017"/>
    <w:rsid w:val="0068603C"/>
    <w:rsid w:val="00686215"/>
    <w:rsid w:val="00686278"/>
    <w:rsid w:val="006862E9"/>
    <w:rsid w:val="0068639E"/>
    <w:rsid w:val="006863E4"/>
    <w:rsid w:val="00686426"/>
    <w:rsid w:val="0068647C"/>
    <w:rsid w:val="0068649D"/>
    <w:rsid w:val="006864A2"/>
    <w:rsid w:val="0068656D"/>
    <w:rsid w:val="006865BE"/>
    <w:rsid w:val="00686644"/>
    <w:rsid w:val="006866DB"/>
    <w:rsid w:val="00686736"/>
    <w:rsid w:val="0068674B"/>
    <w:rsid w:val="0068682C"/>
    <w:rsid w:val="0068687B"/>
    <w:rsid w:val="006868BA"/>
    <w:rsid w:val="00686C6B"/>
    <w:rsid w:val="00686C81"/>
    <w:rsid w:val="00686CA8"/>
    <w:rsid w:val="00686CC2"/>
    <w:rsid w:val="00686CE4"/>
    <w:rsid w:val="00686D03"/>
    <w:rsid w:val="00686D71"/>
    <w:rsid w:val="00686D8C"/>
    <w:rsid w:val="00686DC9"/>
    <w:rsid w:val="00686E44"/>
    <w:rsid w:val="00686E94"/>
    <w:rsid w:val="00687022"/>
    <w:rsid w:val="00687086"/>
    <w:rsid w:val="006870D6"/>
    <w:rsid w:val="0068714B"/>
    <w:rsid w:val="0068724A"/>
    <w:rsid w:val="0068726A"/>
    <w:rsid w:val="006872BD"/>
    <w:rsid w:val="006872BE"/>
    <w:rsid w:val="006872FB"/>
    <w:rsid w:val="00687453"/>
    <w:rsid w:val="006875C1"/>
    <w:rsid w:val="006875E8"/>
    <w:rsid w:val="0068765D"/>
    <w:rsid w:val="0068773A"/>
    <w:rsid w:val="006877E2"/>
    <w:rsid w:val="0068780C"/>
    <w:rsid w:val="00687854"/>
    <w:rsid w:val="0068788D"/>
    <w:rsid w:val="006878FB"/>
    <w:rsid w:val="00687978"/>
    <w:rsid w:val="006879A2"/>
    <w:rsid w:val="00687A7B"/>
    <w:rsid w:val="00687BC7"/>
    <w:rsid w:val="00687C01"/>
    <w:rsid w:val="00687F41"/>
    <w:rsid w:val="006900B0"/>
    <w:rsid w:val="00690109"/>
    <w:rsid w:val="006901E6"/>
    <w:rsid w:val="00690262"/>
    <w:rsid w:val="0069026A"/>
    <w:rsid w:val="006902D6"/>
    <w:rsid w:val="00690411"/>
    <w:rsid w:val="00690424"/>
    <w:rsid w:val="00690600"/>
    <w:rsid w:val="0069060F"/>
    <w:rsid w:val="00690696"/>
    <w:rsid w:val="00690746"/>
    <w:rsid w:val="00690887"/>
    <w:rsid w:val="006908B9"/>
    <w:rsid w:val="006908F3"/>
    <w:rsid w:val="00690929"/>
    <w:rsid w:val="00690981"/>
    <w:rsid w:val="00690991"/>
    <w:rsid w:val="006909EA"/>
    <w:rsid w:val="00690ADB"/>
    <w:rsid w:val="00690C6D"/>
    <w:rsid w:val="00690D91"/>
    <w:rsid w:val="00690DAD"/>
    <w:rsid w:val="00690E25"/>
    <w:rsid w:val="00690EAC"/>
    <w:rsid w:val="00690EFD"/>
    <w:rsid w:val="006910C6"/>
    <w:rsid w:val="006910DE"/>
    <w:rsid w:val="00691213"/>
    <w:rsid w:val="006912C3"/>
    <w:rsid w:val="00691310"/>
    <w:rsid w:val="0069135A"/>
    <w:rsid w:val="0069147F"/>
    <w:rsid w:val="006915D1"/>
    <w:rsid w:val="00691668"/>
    <w:rsid w:val="006916A4"/>
    <w:rsid w:val="006916AF"/>
    <w:rsid w:val="0069175C"/>
    <w:rsid w:val="006917E8"/>
    <w:rsid w:val="006918AE"/>
    <w:rsid w:val="006918AF"/>
    <w:rsid w:val="00691913"/>
    <w:rsid w:val="0069191B"/>
    <w:rsid w:val="00691932"/>
    <w:rsid w:val="0069195D"/>
    <w:rsid w:val="00691985"/>
    <w:rsid w:val="006919C8"/>
    <w:rsid w:val="00691A65"/>
    <w:rsid w:val="00691B0C"/>
    <w:rsid w:val="00691B45"/>
    <w:rsid w:val="00691B63"/>
    <w:rsid w:val="00691B93"/>
    <w:rsid w:val="00691BA0"/>
    <w:rsid w:val="00691D47"/>
    <w:rsid w:val="00691DF1"/>
    <w:rsid w:val="00691EAD"/>
    <w:rsid w:val="00691F7B"/>
    <w:rsid w:val="006920D4"/>
    <w:rsid w:val="006921DF"/>
    <w:rsid w:val="0069220A"/>
    <w:rsid w:val="00692325"/>
    <w:rsid w:val="006923B0"/>
    <w:rsid w:val="006923C0"/>
    <w:rsid w:val="006925F4"/>
    <w:rsid w:val="00692730"/>
    <w:rsid w:val="0069274D"/>
    <w:rsid w:val="006927AC"/>
    <w:rsid w:val="006927FF"/>
    <w:rsid w:val="006928ED"/>
    <w:rsid w:val="0069292E"/>
    <w:rsid w:val="006929A2"/>
    <w:rsid w:val="00692A0E"/>
    <w:rsid w:val="00692C3F"/>
    <w:rsid w:val="00692D22"/>
    <w:rsid w:val="00692D27"/>
    <w:rsid w:val="00692D56"/>
    <w:rsid w:val="00692DC2"/>
    <w:rsid w:val="00692E33"/>
    <w:rsid w:val="00692EEF"/>
    <w:rsid w:val="00692F19"/>
    <w:rsid w:val="00692F95"/>
    <w:rsid w:val="0069304F"/>
    <w:rsid w:val="00693080"/>
    <w:rsid w:val="006930F2"/>
    <w:rsid w:val="0069337E"/>
    <w:rsid w:val="0069343F"/>
    <w:rsid w:val="00693535"/>
    <w:rsid w:val="00693567"/>
    <w:rsid w:val="00693575"/>
    <w:rsid w:val="006935FA"/>
    <w:rsid w:val="0069375B"/>
    <w:rsid w:val="00693813"/>
    <w:rsid w:val="0069387C"/>
    <w:rsid w:val="006938AA"/>
    <w:rsid w:val="00693904"/>
    <w:rsid w:val="00693961"/>
    <w:rsid w:val="006939E4"/>
    <w:rsid w:val="00693A7C"/>
    <w:rsid w:val="00693BE5"/>
    <w:rsid w:val="00693C05"/>
    <w:rsid w:val="00693C7A"/>
    <w:rsid w:val="00693C92"/>
    <w:rsid w:val="00693D75"/>
    <w:rsid w:val="00693DCB"/>
    <w:rsid w:val="00693ED6"/>
    <w:rsid w:val="00693EDF"/>
    <w:rsid w:val="00693EEF"/>
    <w:rsid w:val="00693EF4"/>
    <w:rsid w:val="00693F94"/>
    <w:rsid w:val="00693FE0"/>
    <w:rsid w:val="00694024"/>
    <w:rsid w:val="00694101"/>
    <w:rsid w:val="00694138"/>
    <w:rsid w:val="006941D2"/>
    <w:rsid w:val="006942B4"/>
    <w:rsid w:val="006944B0"/>
    <w:rsid w:val="006944EE"/>
    <w:rsid w:val="0069454E"/>
    <w:rsid w:val="006945BF"/>
    <w:rsid w:val="00694660"/>
    <w:rsid w:val="00694674"/>
    <w:rsid w:val="0069469B"/>
    <w:rsid w:val="006946CD"/>
    <w:rsid w:val="006946D6"/>
    <w:rsid w:val="006946F6"/>
    <w:rsid w:val="0069474B"/>
    <w:rsid w:val="0069475D"/>
    <w:rsid w:val="00694801"/>
    <w:rsid w:val="00694835"/>
    <w:rsid w:val="00694856"/>
    <w:rsid w:val="0069486F"/>
    <w:rsid w:val="006948B5"/>
    <w:rsid w:val="00694958"/>
    <w:rsid w:val="00694A62"/>
    <w:rsid w:val="00694A82"/>
    <w:rsid w:val="00694B57"/>
    <w:rsid w:val="00694BB5"/>
    <w:rsid w:val="00694C70"/>
    <w:rsid w:val="00694DD2"/>
    <w:rsid w:val="00694F23"/>
    <w:rsid w:val="00695105"/>
    <w:rsid w:val="006951F2"/>
    <w:rsid w:val="00695381"/>
    <w:rsid w:val="006954DD"/>
    <w:rsid w:val="0069555D"/>
    <w:rsid w:val="00695715"/>
    <w:rsid w:val="006957A4"/>
    <w:rsid w:val="006958C0"/>
    <w:rsid w:val="00695906"/>
    <w:rsid w:val="0069593B"/>
    <w:rsid w:val="00695961"/>
    <w:rsid w:val="00695AFF"/>
    <w:rsid w:val="00695B12"/>
    <w:rsid w:val="00695BA1"/>
    <w:rsid w:val="00695C2C"/>
    <w:rsid w:val="00695C6E"/>
    <w:rsid w:val="00695CD5"/>
    <w:rsid w:val="00695D9B"/>
    <w:rsid w:val="00695EAE"/>
    <w:rsid w:val="00695F58"/>
    <w:rsid w:val="0069600C"/>
    <w:rsid w:val="00696019"/>
    <w:rsid w:val="00696020"/>
    <w:rsid w:val="0069620C"/>
    <w:rsid w:val="00696247"/>
    <w:rsid w:val="00696267"/>
    <w:rsid w:val="00696313"/>
    <w:rsid w:val="00696512"/>
    <w:rsid w:val="00696981"/>
    <w:rsid w:val="006969A9"/>
    <w:rsid w:val="00696AB5"/>
    <w:rsid w:val="00696AC0"/>
    <w:rsid w:val="00696AE3"/>
    <w:rsid w:val="00696B1D"/>
    <w:rsid w:val="00696B4C"/>
    <w:rsid w:val="00696BBD"/>
    <w:rsid w:val="00696C1D"/>
    <w:rsid w:val="00696C8A"/>
    <w:rsid w:val="00696DC2"/>
    <w:rsid w:val="00696EBD"/>
    <w:rsid w:val="006970CC"/>
    <w:rsid w:val="006970EB"/>
    <w:rsid w:val="006970ED"/>
    <w:rsid w:val="0069710A"/>
    <w:rsid w:val="006971A8"/>
    <w:rsid w:val="0069729A"/>
    <w:rsid w:val="006972F7"/>
    <w:rsid w:val="0069737D"/>
    <w:rsid w:val="00697403"/>
    <w:rsid w:val="0069748E"/>
    <w:rsid w:val="006974AD"/>
    <w:rsid w:val="006974F8"/>
    <w:rsid w:val="006975A5"/>
    <w:rsid w:val="00697624"/>
    <w:rsid w:val="006978D8"/>
    <w:rsid w:val="0069790C"/>
    <w:rsid w:val="00697958"/>
    <w:rsid w:val="00697966"/>
    <w:rsid w:val="00697970"/>
    <w:rsid w:val="00697972"/>
    <w:rsid w:val="006979D5"/>
    <w:rsid w:val="006979D9"/>
    <w:rsid w:val="00697A8A"/>
    <w:rsid w:val="00697AC8"/>
    <w:rsid w:val="00697AEB"/>
    <w:rsid w:val="00697C20"/>
    <w:rsid w:val="00697D0E"/>
    <w:rsid w:val="00697D83"/>
    <w:rsid w:val="00697F08"/>
    <w:rsid w:val="00697FC5"/>
    <w:rsid w:val="006A0130"/>
    <w:rsid w:val="006A0383"/>
    <w:rsid w:val="006A0457"/>
    <w:rsid w:val="006A04F4"/>
    <w:rsid w:val="006A0577"/>
    <w:rsid w:val="006A05C6"/>
    <w:rsid w:val="006A05FD"/>
    <w:rsid w:val="006A0646"/>
    <w:rsid w:val="006A07C1"/>
    <w:rsid w:val="006A0851"/>
    <w:rsid w:val="006A08AA"/>
    <w:rsid w:val="006A0908"/>
    <w:rsid w:val="006A0AE6"/>
    <w:rsid w:val="006A0B5C"/>
    <w:rsid w:val="006A0C55"/>
    <w:rsid w:val="006A0CA2"/>
    <w:rsid w:val="006A0FF4"/>
    <w:rsid w:val="006A1097"/>
    <w:rsid w:val="006A11D2"/>
    <w:rsid w:val="006A12E0"/>
    <w:rsid w:val="006A13A5"/>
    <w:rsid w:val="006A13FF"/>
    <w:rsid w:val="006A1563"/>
    <w:rsid w:val="006A1597"/>
    <w:rsid w:val="006A1612"/>
    <w:rsid w:val="006A163E"/>
    <w:rsid w:val="006A1688"/>
    <w:rsid w:val="006A171D"/>
    <w:rsid w:val="006A18BD"/>
    <w:rsid w:val="006A1954"/>
    <w:rsid w:val="006A1990"/>
    <w:rsid w:val="006A19A0"/>
    <w:rsid w:val="006A1A6D"/>
    <w:rsid w:val="006A1AAE"/>
    <w:rsid w:val="006A1BFF"/>
    <w:rsid w:val="006A1C0A"/>
    <w:rsid w:val="006A1C0B"/>
    <w:rsid w:val="006A1CAF"/>
    <w:rsid w:val="006A1DAB"/>
    <w:rsid w:val="006A20A2"/>
    <w:rsid w:val="006A2138"/>
    <w:rsid w:val="006A215C"/>
    <w:rsid w:val="006A21AE"/>
    <w:rsid w:val="006A21AF"/>
    <w:rsid w:val="006A21B3"/>
    <w:rsid w:val="006A2275"/>
    <w:rsid w:val="006A232A"/>
    <w:rsid w:val="006A239F"/>
    <w:rsid w:val="006A23F2"/>
    <w:rsid w:val="006A24BD"/>
    <w:rsid w:val="006A24EA"/>
    <w:rsid w:val="006A2650"/>
    <w:rsid w:val="006A26AF"/>
    <w:rsid w:val="006A2768"/>
    <w:rsid w:val="006A279C"/>
    <w:rsid w:val="006A27E4"/>
    <w:rsid w:val="006A28F1"/>
    <w:rsid w:val="006A2981"/>
    <w:rsid w:val="006A2B7E"/>
    <w:rsid w:val="006A2C0F"/>
    <w:rsid w:val="006A2D10"/>
    <w:rsid w:val="006A2D85"/>
    <w:rsid w:val="006A2E54"/>
    <w:rsid w:val="006A2E5D"/>
    <w:rsid w:val="006A2FF9"/>
    <w:rsid w:val="006A308A"/>
    <w:rsid w:val="006A30A8"/>
    <w:rsid w:val="006A30CB"/>
    <w:rsid w:val="006A3137"/>
    <w:rsid w:val="006A3162"/>
    <w:rsid w:val="006A31EC"/>
    <w:rsid w:val="006A32CB"/>
    <w:rsid w:val="006A32CC"/>
    <w:rsid w:val="006A3340"/>
    <w:rsid w:val="006A33CE"/>
    <w:rsid w:val="006A3495"/>
    <w:rsid w:val="006A3502"/>
    <w:rsid w:val="006A355C"/>
    <w:rsid w:val="006A35CB"/>
    <w:rsid w:val="006A366D"/>
    <w:rsid w:val="006A3849"/>
    <w:rsid w:val="006A39E4"/>
    <w:rsid w:val="006A3A2B"/>
    <w:rsid w:val="006A3A81"/>
    <w:rsid w:val="006A3AAD"/>
    <w:rsid w:val="006A3AFD"/>
    <w:rsid w:val="006A3B16"/>
    <w:rsid w:val="006A3B89"/>
    <w:rsid w:val="006A3BBD"/>
    <w:rsid w:val="006A3CC0"/>
    <w:rsid w:val="006A3CCE"/>
    <w:rsid w:val="006A3D6B"/>
    <w:rsid w:val="006A3D7A"/>
    <w:rsid w:val="006A3DCD"/>
    <w:rsid w:val="006A3DDA"/>
    <w:rsid w:val="006A3E02"/>
    <w:rsid w:val="006A3E5A"/>
    <w:rsid w:val="006A3ECD"/>
    <w:rsid w:val="006A3FB1"/>
    <w:rsid w:val="006A42F6"/>
    <w:rsid w:val="006A431C"/>
    <w:rsid w:val="006A4418"/>
    <w:rsid w:val="006A44C8"/>
    <w:rsid w:val="006A453A"/>
    <w:rsid w:val="006A45BE"/>
    <w:rsid w:val="006A46C9"/>
    <w:rsid w:val="006A4800"/>
    <w:rsid w:val="006A4C5C"/>
    <w:rsid w:val="006A4D9D"/>
    <w:rsid w:val="006A4EA2"/>
    <w:rsid w:val="006A4EBA"/>
    <w:rsid w:val="006A4F7B"/>
    <w:rsid w:val="006A5173"/>
    <w:rsid w:val="006A519A"/>
    <w:rsid w:val="006A5298"/>
    <w:rsid w:val="006A5300"/>
    <w:rsid w:val="006A537F"/>
    <w:rsid w:val="006A53AC"/>
    <w:rsid w:val="006A5487"/>
    <w:rsid w:val="006A5490"/>
    <w:rsid w:val="006A5582"/>
    <w:rsid w:val="006A5588"/>
    <w:rsid w:val="006A56B3"/>
    <w:rsid w:val="006A5730"/>
    <w:rsid w:val="006A57AB"/>
    <w:rsid w:val="006A59A6"/>
    <w:rsid w:val="006A5A17"/>
    <w:rsid w:val="006A5B33"/>
    <w:rsid w:val="006A5CBF"/>
    <w:rsid w:val="006A5D4A"/>
    <w:rsid w:val="006A5DC0"/>
    <w:rsid w:val="006A5FA2"/>
    <w:rsid w:val="006A5FDF"/>
    <w:rsid w:val="006A6000"/>
    <w:rsid w:val="006A6007"/>
    <w:rsid w:val="006A601B"/>
    <w:rsid w:val="006A6118"/>
    <w:rsid w:val="006A6187"/>
    <w:rsid w:val="006A619A"/>
    <w:rsid w:val="006A61AA"/>
    <w:rsid w:val="006A61EA"/>
    <w:rsid w:val="006A6206"/>
    <w:rsid w:val="006A62B1"/>
    <w:rsid w:val="006A6324"/>
    <w:rsid w:val="006A6503"/>
    <w:rsid w:val="006A654E"/>
    <w:rsid w:val="006A6557"/>
    <w:rsid w:val="006A6602"/>
    <w:rsid w:val="006A6A34"/>
    <w:rsid w:val="006A6AA9"/>
    <w:rsid w:val="006A6B0D"/>
    <w:rsid w:val="006A6B6B"/>
    <w:rsid w:val="006A6BF1"/>
    <w:rsid w:val="006A6D66"/>
    <w:rsid w:val="006A6D82"/>
    <w:rsid w:val="006A6DB2"/>
    <w:rsid w:val="006A6DFF"/>
    <w:rsid w:val="006A6E61"/>
    <w:rsid w:val="006A6EB8"/>
    <w:rsid w:val="006A707F"/>
    <w:rsid w:val="006A7090"/>
    <w:rsid w:val="006A7159"/>
    <w:rsid w:val="006A7162"/>
    <w:rsid w:val="006A71BB"/>
    <w:rsid w:val="006A7243"/>
    <w:rsid w:val="006A731A"/>
    <w:rsid w:val="006A739D"/>
    <w:rsid w:val="006A7456"/>
    <w:rsid w:val="006A74A9"/>
    <w:rsid w:val="006A75E8"/>
    <w:rsid w:val="006A76CF"/>
    <w:rsid w:val="006A76FB"/>
    <w:rsid w:val="006A772B"/>
    <w:rsid w:val="006A78BA"/>
    <w:rsid w:val="006A78BF"/>
    <w:rsid w:val="006A79B9"/>
    <w:rsid w:val="006A79E2"/>
    <w:rsid w:val="006A79FB"/>
    <w:rsid w:val="006A7ABD"/>
    <w:rsid w:val="006A7AE7"/>
    <w:rsid w:val="006A7C22"/>
    <w:rsid w:val="006A7C64"/>
    <w:rsid w:val="006A7CAB"/>
    <w:rsid w:val="006A7D6D"/>
    <w:rsid w:val="006A7E4F"/>
    <w:rsid w:val="006A7F97"/>
    <w:rsid w:val="006B00C6"/>
    <w:rsid w:val="006B0120"/>
    <w:rsid w:val="006B0123"/>
    <w:rsid w:val="006B029B"/>
    <w:rsid w:val="006B0348"/>
    <w:rsid w:val="006B036F"/>
    <w:rsid w:val="006B03AE"/>
    <w:rsid w:val="006B042E"/>
    <w:rsid w:val="006B044A"/>
    <w:rsid w:val="006B050C"/>
    <w:rsid w:val="006B050D"/>
    <w:rsid w:val="006B05BD"/>
    <w:rsid w:val="006B05C0"/>
    <w:rsid w:val="006B0634"/>
    <w:rsid w:val="006B08D8"/>
    <w:rsid w:val="006B08FC"/>
    <w:rsid w:val="006B09C4"/>
    <w:rsid w:val="006B09CF"/>
    <w:rsid w:val="006B0A81"/>
    <w:rsid w:val="006B0AE4"/>
    <w:rsid w:val="006B0AEA"/>
    <w:rsid w:val="006B0B0D"/>
    <w:rsid w:val="006B0B92"/>
    <w:rsid w:val="006B0BBC"/>
    <w:rsid w:val="006B0C00"/>
    <w:rsid w:val="006B0C38"/>
    <w:rsid w:val="006B0C6C"/>
    <w:rsid w:val="006B0CE3"/>
    <w:rsid w:val="006B0D41"/>
    <w:rsid w:val="006B0E33"/>
    <w:rsid w:val="006B0EC0"/>
    <w:rsid w:val="006B0F28"/>
    <w:rsid w:val="006B0F3F"/>
    <w:rsid w:val="006B1018"/>
    <w:rsid w:val="006B105F"/>
    <w:rsid w:val="006B10D1"/>
    <w:rsid w:val="006B10E6"/>
    <w:rsid w:val="006B1228"/>
    <w:rsid w:val="006B1277"/>
    <w:rsid w:val="006B12AF"/>
    <w:rsid w:val="006B12FE"/>
    <w:rsid w:val="006B1348"/>
    <w:rsid w:val="006B13C9"/>
    <w:rsid w:val="006B1427"/>
    <w:rsid w:val="006B1472"/>
    <w:rsid w:val="006B14E5"/>
    <w:rsid w:val="006B14FA"/>
    <w:rsid w:val="006B15AF"/>
    <w:rsid w:val="006B1640"/>
    <w:rsid w:val="006B16D5"/>
    <w:rsid w:val="006B1731"/>
    <w:rsid w:val="006B17BC"/>
    <w:rsid w:val="006B1842"/>
    <w:rsid w:val="006B18BC"/>
    <w:rsid w:val="006B1910"/>
    <w:rsid w:val="006B197C"/>
    <w:rsid w:val="006B1A7D"/>
    <w:rsid w:val="006B1C3F"/>
    <w:rsid w:val="006B1C56"/>
    <w:rsid w:val="006B1D26"/>
    <w:rsid w:val="006B1D54"/>
    <w:rsid w:val="006B1DDE"/>
    <w:rsid w:val="006B1E65"/>
    <w:rsid w:val="006B1F58"/>
    <w:rsid w:val="006B205F"/>
    <w:rsid w:val="006B208E"/>
    <w:rsid w:val="006B20D8"/>
    <w:rsid w:val="006B20F8"/>
    <w:rsid w:val="006B2107"/>
    <w:rsid w:val="006B2139"/>
    <w:rsid w:val="006B2254"/>
    <w:rsid w:val="006B23E3"/>
    <w:rsid w:val="006B2426"/>
    <w:rsid w:val="006B247B"/>
    <w:rsid w:val="006B24E9"/>
    <w:rsid w:val="006B253B"/>
    <w:rsid w:val="006B2541"/>
    <w:rsid w:val="006B25B1"/>
    <w:rsid w:val="006B26C4"/>
    <w:rsid w:val="006B2735"/>
    <w:rsid w:val="006B2787"/>
    <w:rsid w:val="006B27AF"/>
    <w:rsid w:val="006B2826"/>
    <w:rsid w:val="006B2921"/>
    <w:rsid w:val="006B2A25"/>
    <w:rsid w:val="006B2A4A"/>
    <w:rsid w:val="006B2B7B"/>
    <w:rsid w:val="006B2C3F"/>
    <w:rsid w:val="006B2C79"/>
    <w:rsid w:val="006B2C90"/>
    <w:rsid w:val="006B2DB4"/>
    <w:rsid w:val="006B2DB6"/>
    <w:rsid w:val="006B2EB7"/>
    <w:rsid w:val="006B2F25"/>
    <w:rsid w:val="006B3032"/>
    <w:rsid w:val="006B30AC"/>
    <w:rsid w:val="006B30B2"/>
    <w:rsid w:val="006B3160"/>
    <w:rsid w:val="006B31A3"/>
    <w:rsid w:val="006B31CB"/>
    <w:rsid w:val="006B3257"/>
    <w:rsid w:val="006B32FD"/>
    <w:rsid w:val="006B3315"/>
    <w:rsid w:val="006B3339"/>
    <w:rsid w:val="006B33B0"/>
    <w:rsid w:val="006B3445"/>
    <w:rsid w:val="006B3479"/>
    <w:rsid w:val="006B3533"/>
    <w:rsid w:val="006B35A1"/>
    <w:rsid w:val="006B35AC"/>
    <w:rsid w:val="006B363C"/>
    <w:rsid w:val="006B3751"/>
    <w:rsid w:val="006B3787"/>
    <w:rsid w:val="006B3825"/>
    <w:rsid w:val="006B3847"/>
    <w:rsid w:val="006B39C7"/>
    <w:rsid w:val="006B39CA"/>
    <w:rsid w:val="006B3A80"/>
    <w:rsid w:val="006B3AA3"/>
    <w:rsid w:val="006B3B64"/>
    <w:rsid w:val="006B3B9D"/>
    <w:rsid w:val="006B3BA5"/>
    <w:rsid w:val="006B3D55"/>
    <w:rsid w:val="006B3DC2"/>
    <w:rsid w:val="006B3DD6"/>
    <w:rsid w:val="006B3E05"/>
    <w:rsid w:val="006B3E51"/>
    <w:rsid w:val="006B3E69"/>
    <w:rsid w:val="006B3F56"/>
    <w:rsid w:val="006B3F7F"/>
    <w:rsid w:val="006B3FDC"/>
    <w:rsid w:val="006B401D"/>
    <w:rsid w:val="006B4219"/>
    <w:rsid w:val="006B4225"/>
    <w:rsid w:val="006B4251"/>
    <w:rsid w:val="006B4264"/>
    <w:rsid w:val="006B4327"/>
    <w:rsid w:val="006B4336"/>
    <w:rsid w:val="006B4371"/>
    <w:rsid w:val="006B4449"/>
    <w:rsid w:val="006B44BC"/>
    <w:rsid w:val="006B4657"/>
    <w:rsid w:val="006B468D"/>
    <w:rsid w:val="006B4697"/>
    <w:rsid w:val="006B4729"/>
    <w:rsid w:val="006B4779"/>
    <w:rsid w:val="006B4940"/>
    <w:rsid w:val="006B49CB"/>
    <w:rsid w:val="006B49F6"/>
    <w:rsid w:val="006B4A83"/>
    <w:rsid w:val="006B4A8D"/>
    <w:rsid w:val="006B4A9E"/>
    <w:rsid w:val="006B4B05"/>
    <w:rsid w:val="006B4B4A"/>
    <w:rsid w:val="006B4B5B"/>
    <w:rsid w:val="006B4B97"/>
    <w:rsid w:val="006B4BC0"/>
    <w:rsid w:val="006B4C32"/>
    <w:rsid w:val="006B4CDB"/>
    <w:rsid w:val="006B4EEB"/>
    <w:rsid w:val="006B4F1F"/>
    <w:rsid w:val="006B4F75"/>
    <w:rsid w:val="006B50A0"/>
    <w:rsid w:val="006B50A4"/>
    <w:rsid w:val="006B5168"/>
    <w:rsid w:val="006B5178"/>
    <w:rsid w:val="006B5351"/>
    <w:rsid w:val="006B540B"/>
    <w:rsid w:val="006B5424"/>
    <w:rsid w:val="006B547A"/>
    <w:rsid w:val="006B54A6"/>
    <w:rsid w:val="006B55C0"/>
    <w:rsid w:val="006B5646"/>
    <w:rsid w:val="006B564A"/>
    <w:rsid w:val="006B5652"/>
    <w:rsid w:val="006B57DF"/>
    <w:rsid w:val="006B5900"/>
    <w:rsid w:val="006B5928"/>
    <w:rsid w:val="006B5961"/>
    <w:rsid w:val="006B5978"/>
    <w:rsid w:val="006B5B89"/>
    <w:rsid w:val="006B5C3D"/>
    <w:rsid w:val="006B5F61"/>
    <w:rsid w:val="006B5F7C"/>
    <w:rsid w:val="006B5FA7"/>
    <w:rsid w:val="006B5FF8"/>
    <w:rsid w:val="006B5FFB"/>
    <w:rsid w:val="006B60F6"/>
    <w:rsid w:val="006B617A"/>
    <w:rsid w:val="006B6186"/>
    <w:rsid w:val="006B619E"/>
    <w:rsid w:val="006B61A1"/>
    <w:rsid w:val="006B6262"/>
    <w:rsid w:val="006B6387"/>
    <w:rsid w:val="006B63FC"/>
    <w:rsid w:val="006B6436"/>
    <w:rsid w:val="006B65BD"/>
    <w:rsid w:val="006B65DA"/>
    <w:rsid w:val="006B65FC"/>
    <w:rsid w:val="006B6763"/>
    <w:rsid w:val="006B6820"/>
    <w:rsid w:val="006B694D"/>
    <w:rsid w:val="006B6969"/>
    <w:rsid w:val="006B6A5F"/>
    <w:rsid w:val="006B6B60"/>
    <w:rsid w:val="006B6D37"/>
    <w:rsid w:val="006B6E05"/>
    <w:rsid w:val="006B6E25"/>
    <w:rsid w:val="006B6E57"/>
    <w:rsid w:val="006B6F53"/>
    <w:rsid w:val="006B6F9C"/>
    <w:rsid w:val="006B6FBD"/>
    <w:rsid w:val="006B6FC1"/>
    <w:rsid w:val="006B7051"/>
    <w:rsid w:val="006B7083"/>
    <w:rsid w:val="006B71F2"/>
    <w:rsid w:val="006B72C8"/>
    <w:rsid w:val="006B72FD"/>
    <w:rsid w:val="006B74CA"/>
    <w:rsid w:val="006B7578"/>
    <w:rsid w:val="006B75C6"/>
    <w:rsid w:val="006B7636"/>
    <w:rsid w:val="006B7668"/>
    <w:rsid w:val="006B7799"/>
    <w:rsid w:val="006B7889"/>
    <w:rsid w:val="006B794E"/>
    <w:rsid w:val="006B7C31"/>
    <w:rsid w:val="006B7CB9"/>
    <w:rsid w:val="006B7CF2"/>
    <w:rsid w:val="006B7E2C"/>
    <w:rsid w:val="006B7E2D"/>
    <w:rsid w:val="006B7E80"/>
    <w:rsid w:val="006C0060"/>
    <w:rsid w:val="006C00DB"/>
    <w:rsid w:val="006C010A"/>
    <w:rsid w:val="006C0140"/>
    <w:rsid w:val="006C01AE"/>
    <w:rsid w:val="006C0311"/>
    <w:rsid w:val="006C040A"/>
    <w:rsid w:val="006C0498"/>
    <w:rsid w:val="006C04AF"/>
    <w:rsid w:val="006C0575"/>
    <w:rsid w:val="006C0585"/>
    <w:rsid w:val="006C0675"/>
    <w:rsid w:val="006C0775"/>
    <w:rsid w:val="006C0828"/>
    <w:rsid w:val="006C085B"/>
    <w:rsid w:val="006C0A30"/>
    <w:rsid w:val="006C0BA9"/>
    <w:rsid w:val="006C0D4C"/>
    <w:rsid w:val="006C0E58"/>
    <w:rsid w:val="006C0FCB"/>
    <w:rsid w:val="006C10D9"/>
    <w:rsid w:val="006C1290"/>
    <w:rsid w:val="006C12F3"/>
    <w:rsid w:val="006C1343"/>
    <w:rsid w:val="006C14F9"/>
    <w:rsid w:val="006C1582"/>
    <w:rsid w:val="006C16AB"/>
    <w:rsid w:val="006C17DF"/>
    <w:rsid w:val="006C1818"/>
    <w:rsid w:val="006C1845"/>
    <w:rsid w:val="006C191F"/>
    <w:rsid w:val="006C1A07"/>
    <w:rsid w:val="006C1A77"/>
    <w:rsid w:val="006C1AE5"/>
    <w:rsid w:val="006C1B47"/>
    <w:rsid w:val="006C1D5A"/>
    <w:rsid w:val="006C1DDD"/>
    <w:rsid w:val="006C1E4C"/>
    <w:rsid w:val="006C1ED2"/>
    <w:rsid w:val="006C1FBE"/>
    <w:rsid w:val="006C1FCF"/>
    <w:rsid w:val="006C2045"/>
    <w:rsid w:val="006C2085"/>
    <w:rsid w:val="006C217D"/>
    <w:rsid w:val="006C21E9"/>
    <w:rsid w:val="006C221B"/>
    <w:rsid w:val="006C2302"/>
    <w:rsid w:val="006C230F"/>
    <w:rsid w:val="006C2310"/>
    <w:rsid w:val="006C2335"/>
    <w:rsid w:val="006C240D"/>
    <w:rsid w:val="006C2513"/>
    <w:rsid w:val="006C2643"/>
    <w:rsid w:val="006C271D"/>
    <w:rsid w:val="006C27DD"/>
    <w:rsid w:val="006C2867"/>
    <w:rsid w:val="006C28DE"/>
    <w:rsid w:val="006C29A7"/>
    <w:rsid w:val="006C29AF"/>
    <w:rsid w:val="006C2A15"/>
    <w:rsid w:val="006C2A3C"/>
    <w:rsid w:val="006C2C00"/>
    <w:rsid w:val="006C2C4C"/>
    <w:rsid w:val="006C2C91"/>
    <w:rsid w:val="006C2DAD"/>
    <w:rsid w:val="006C2E6A"/>
    <w:rsid w:val="006C2EBC"/>
    <w:rsid w:val="006C2EC1"/>
    <w:rsid w:val="006C2EEB"/>
    <w:rsid w:val="006C2FF0"/>
    <w:rsid w:val="006C30C9"/>
    <w:rsid w:val="006C3151"/>
    <w:rsid w:val="006C31AF"/>
    <w:rsid w:val="006C31D6"/>
    <w:rsid w:val="006C322A"/>
    <w:rsid w:val="006C3258"/>
    <w:rsid w:val="006C325D"/>
    <w:rsid w:val="006C32B8"/>
    <w:rsid w:val="006C3353"/>
    <w:rsid w:val="006C3435"/>
    <w:rsid w:val="006C3515"/>
    <w:rsid w:val="006C3534"/>
    <w:rsid w:val="006C354C"/>
    <w:rsid w:val="006C360F"/>
    <w:rsid w:val="006C3714"/>
    <w:rsid w:val="006C37F4"/>
    <w:rsid w:val="006C3823"/>
    <w:rsid w:val="006C3840"/>
    <w:rsid w:val="006C3871"/>
    <w:rsid w:val="006C3960"/>
    <w:rsid w:val="006C39A5"/>
    <w:rsid w:val="006C39F3"/>
    <w:rsid w:val="006C3A07"/>
    <w:rsid w:val="006C3A5C"/>
    <w:rsid w:val="006C3AAA"/>
    <w:rsid w:val="006C3B08"/>
    <w:rsid w:val="006C3B67"/>
    <w:rsid w:val="006C3B76"/>
    <w:rsid w:val="006C3B9A"/>
    <w:rsid w:val="006C3BB6"/>
    <w:rsid w:val="006C3C29"/>
    <w:rsid w:val="006C3D80"/>
    <w:rsid w:val="006C3EAF"/>
    <w:rsid w:val="006C3F3F"/>
    <w:rsid w:val="006C3F64"/>
    <w:rsid w:val="006C3FC0"/>
    <w:rsid w:val="006C4022"/>
    <w:rsid w:val="006C40B9"/>
    <w:rsid w:val="006C4140"/>
    <w:rsid w:val="006C419F"/>
    <w:rsid w:val="006C439D"/>
    <w:rsid w:val="006C43F4"/>
    <w:rsid w:val="006C4554"/>
    <w:rsid w:val="006C4572"/>
    <w:rsid w:val="006C4691"/>
    <w:rsid w:val="006C46E3"/>
    <w:rsid w:val="006C47FF"/>
    <w:rsid w:val="006C480C"/>
    <w:rsid w:val="006C48C9"/>
    <w:rsid w:val="006C48EC"/>
    <w:rsid w:val="006C496D"/>
    <w:rsid w:val="006C4983"/>
    <w:rsid w:val="006C49C0"/>
    <w:rsid w:val="006C4A3E"/>
    <w:rsid w:val="006C4B45"/>
    <w:rsid w:val="006C4B8B"/>
    <w:rsid w:val="006C4BA3"/>
    <w:rsid w:val="006C4E0A"/>
    <w:rsid w:val="006C4E1D"/>
    <w:rsid w:val="006C4EA9"/>
    <w:rsid w:val="006C4F82"/>
    <w:rsid w:val="006C5071"/>
    <w:rsid w:val="006C5081"/>
    <w:rsid w:val="006C5267"/>
    <w:rsid w:val="006C52AC"/>
    <w:rsid w:val="006C541D"/>
    <w:rsid w:val="006C54F7"/>
    <w:rsid w:val="006C5701"/>
    <w:rsid w:val="006C589B"/>
    <w:rsid w:val="006C58B4"/>
    <w:rsid w:val="006C5A9A"/>
    <w:rsid w:val="006C5B64"/>
    <w:rsid w:val="006C5B98"/>
    <w:rsid w:val="006C5BE6"/>
    <w:rsid w:val="006C5C68"/>
    <w:rsid w:val="006C5D45"/>
    <w:rsid w:val="006C5E6E"/>
    <w:rsid w:val="006C5F08"/>
    <w:rsid w:val="006C5F94"/>
    <w:rsid w:val="006C5FFA"/>
    <w:rsid w:val="006C603E"/>
    <w:rsid w:val="006C6083"/>
    <w:rsid w:val="006C6095"/>
    <w:rsid w:val="006C60F7"/>
    <w:rsid w:val="006C6158"/>
    <w:rsid w:val="006C625E"/>
    <w:rsid w:val="006C6268"/>
    <w:rsid w:val="006C62D3"/>
    <w:rsid w:val="006C644B"/>
    <w:rsid w:val="006C6457"/>
    <w:rsid w:val="006C648D"/>
    <w:rsid w:val="006C64F7"/>
    <w:rsid w:val="006C6523"/>
    <w:rsid w:val="006C65A5"/>
    <w:rsid w:val="006C65CA"/>
    <w:rsid w:val="006C669D"/>
    <w:rsid w:val="006C673D"/>
    <w:rsid w:val="006C67F2"/>
    <w:rsid w:val="006C6A0C"/>
    <w:rsid w:val="006C6A50"/>
    <w:rsid w:val="006C6AC8"/>
    <w:rsid w:val="006C6AE1"/>
    <w:rsid w:val="006C6B5C"/>
    <w:rsid w:val="006C6BF8"/>
    <w:rsid w:val="006C6BFC"/>
    <w:rsid w:val="006C6C8F"/>
    <w:rsid w:val="006C6CBD"/>
    <w:rsid w:val="006C6E23"/>
    <w:rsid w:val="006C6E63"/>
    <w:rsid w:val="006C6ED6"/>
    <w:rsid w:val="006C6F67"/>
    <w:rsid w:val="006C7029"/>
    <w:rsid w:val="006C7086"/>
    <w:rsid w:val="006C7106"/>
    <w:rsid w:val="006C7191"/>
    <w:rsid w:val="006C71A5"/>
    <w:rsid w:val="006C733A"/>
    <w:rsid w:val="006C7687"/>
    <w:rsid w:val="006C771F"/>
    <w:rsid w:val="006C7801"/>
    <w:rsid w:val="006C7978"/>
    <w:rsid w:val="006C79AE"/>
    <w:rsid w:val="006C79CD"/>
    <w:rsid w:val="006C7B03"/>
    <w:rsid w:val="006C7B07"/>
    <w:rsid w:val="006C7B58"/>
    <w:rsid w:val="006C7BEA"/>
    <w:rsid w:val="006C7C6D"/>
    <w:rsid w:val="006C7D2A"/>
    <w:rsid w:val="006C7D58"/>
    <w:rsid w:val="006C7EEA"/>
    <w:rsid w:val="006C7F0B"/>
    <w:rsid w:val="006C7F95"/>
    <w:rsid w:val="006C7FAC"/>
    <w:rsid w:val="006D0015"/>
    <w:rsid w:val="006D008D"/>
    <w:rsid w:val="006D0130"/>
    <w:rsid w:val="006D019B"/>
    <w:rsid w:val="006D02BB"/>
    <w:rsid w:val="006D02F1"/>
    <w:rsid w:val="006D03E3"/>
    <w:rsid w:val="006D04D4"/>
    <w:rsid w:val="006D057E"/>
    <w:rsid w:val="006D05BA"/>
    <w:rsid w:val="006D0625"/>
    <w:rsid w:val="006D07AE"/>
    <w:rsid w:val="006D07BD"/>
    <w:rsid w:val="006D07ED"/>
    <w:rsid w:val="006D089C"/>
    <w:rsid w:val="006D08FD"/>
    <w:rsid w:val="006D0946"/>
    <w:rsid w:val="006D0AD2"/>
    <w:rsid w:val="006D0AE4"/>
    <w:rsid w:val="006D0B0A"/>
    <w:rsid w:val="006D0CD4"/>
    <w:rsid w:val="006D0DD1"/>
    <w:rsid w:val="006D0E10"/>
    <w:rsid w:val="006D0E1F"/>
    <w:rsid w:val="006D0E8C"/>
    <w:rsid w:val="006D0EC2"/>
    <w:rsid w:val="006D0F34"/>
    <w:rsid w:val="006D0FA9"/>
    <w:rsid w:val="006D1097"/>
    <w:rsid w:val="006D1126"/>
    <w:rsid w:val="006D112C"/>
    <w:rsid w:val="006D118A"/>
    <w:rsid w:val="006D1583"/>
    <w:rsid w:val="006D1602"/>
    <w:rsid w:val="006D178B"/>
    <w:rsid w:val="006D17A7"/>
    <w:rsid w:val="006D1919"/>
    <w:rsid w:val="006D1963"/>
    <w:rsid w:val="006D1994"/>
    <w:rsid w:val="006D1A40"/>
    <w:rsid w:val="006D1BCF"/>
    <w:rsid w:val="006D1C58"/>
    <w:rsid w:val="006D1D5D"/>
    <w:rsid w:val="006D1E42"/>
    <w:rsid w:val="006D1E9E"/>
    <w:rsid w:val="006D1F27"/>
    <w:rsid w:val="006D1F51"/>
    <w:rsid w:val="006D1F71"/>
    <w:rsid w:val="006D20A9"/>
    <w:rsid w:val="006D2261"/>
    <w:rsid w:val="006D229B"/>
    <w:rsid w:val="006D22EB"/>
    <w:rsid w:val="006D23C9"/>
    <w:rsid w:val="006D23D6"/>
    <w:rsid w:val="006D242B"/>
    <w:rsid w:val="006D2431"/>
    <w:rsid w:val="006D249F"/>
    <w:rsid w:val="006D26B1"/>
    <w:rsid w:val="006D2720"/>
    <w:rsid w:val="006D2774"/>
    <w:rsid w:val="006D27A2"/>
    <w:rsid w:val="006D2969"/>
    <w:rsid w:val="006D2A16"/>
    <w:rsid w:val="006D2A3C"/>
    <w:rsid w:val="006D2AF1"/>
    <w:rsid w:val="006D2E01"/>
    <w:rsid w:val="006D2E65"/>
    <w:rsid w:val="006D2F54"/>
    <w:rsid w:val="006D3029"/>
    <w:rsid w:val="006D304D"/>
    <w:rsid w:val="006D3143"/>
    <w:rsid w:val="006D31B6"/>
    <w:rsid w:val="006D3244"/>
    <w:rsid w:val="006D3322"/>
    <w:rsid w:val="006D33F3"/>
    <w:rsid w:val="006D3600"/>
    <w:rsid w:val="006D3691"/>
    <w:rsid w:val="006D36C9"/>
    <w:rsid w:val="006D375D"/>
    <w:rsid w:val="006D37AF"/>
    <w:rsid w:val="006D37E5"/>
    <w:rsid w:val="006D3875"/>
    <w:rsid w:val="006D388B"/>
    <w:rsid w:val="006D3970"/>
    <w:rsid w:val="006D3A07"/>
    <w:rsid w:val="006D3A80"/>
    <w:rsid w:val="006D3A8A"/>
    <w:rsid w:val="006D3AF9"/>
    <w:rsid w:val="006D3B5D"/>
    <w:rsid w:val="006D3C28"/>
    <w:rsid w:val="006D3C73"/>
    <w:rsid w:val="006D3DDA"/>
    <w:rsid w:val="006D3DDF"/>
    <w:rsid w:val="006D3E50"/>
    <w:rsid w:val="006D3E6A"/>
    <w:rsid w:val="006D3E72"/>
    <w:rsid w:val="006D3F32"/>
    <w:rsid w:val="006D3FAA"/>
    <w:rsid w:val="006D4112"/>
    <w:rsid w:val="006D42CD"/>
    <w:rsid w:val="006D42DD"/>
    <w:rsid w:val="006D42E9"/>
    <w:rsid w:val="006D4324"/>
    <w:rsid w:val="006D43DF"/>
    <w:rsid w:val="006D44CE"/>
    <w:rsid w:val="006D4658"/>
    <w:rsid w:val="006D4685"/>
    <w:rsid w:val="006D4753"/>
    <w:rsid w:val="006D47C2"/>
    <w:rsid w:val="006D4827"/>
    <w:rsid w:val="006D48E7"/>
    <w:rsid w:val="006D48F2"/>
    <w:rsid w:val="006D4958"/>
    <w:rsid w:val="006D4974"/>
    <w:rsid w:val="006D4A1B"/>
    <w:rsid w:val="006D4BF3"/>
    <w:rsid w:val="006D4C72"/>
    <w:rsid w:val="006D4E21"/>
    <w:rsid w:val="006D4E4C"/>
    <w:rsid w:val="006D4E6C"/>
    <w:rsid w:val="006D4F02"/>
    <w:rsid w:val="006D4F70"/>
    <w:rsid w:val="006D4FF8"/>
    <w:rsid w:val="006D5021"/>
    <w:rsid w:val="006D5041"/>
    <w:rsid w:val="006D5120"/>
    <w:rsid w:val="006D5267"/>
    <w:rsid w:val="006D534D"/>
    <w:rsid w:val="006D53C4"/>
    <w:rsid w:val="006D53D8"/>
    <w:rsid w:val="006D53DB"/>
    <w:rsid w:val="006D5548"/>
    <w:rsid w:val="006D5585"/>
    <w:rsid w:val="006D5676"/>
    <w:rsid w:val="006D5693"/>
    <w:rsid w:val="006D56F4"/>
    <w:rsid w:val="006D5711"/>
    <w:rsid w:val="006D57B7"/>
    <w:rsid w:val="006D57DE"/>
    <w:rsid w:val="006D58BA"/>
    <w:rsid w:val="006D59F6"/>
    <w:rsid w:val="006D5A17"/>
    <w:rsid w:val="006D5A45"/>
    <w:rsid w:val="006D5BAC"/>
    <w:rsid w:val="006D5CDB"/>
    <w:rsid w:val="006D5CDC"/>
    <w:rsid w:val="006D5D32"/>
    <w:rsid w:val="006D5DC8"/>
    <w:rsid w:val="006D5E08"/>
    <w:rsid w:val="006D5F08"/>
    <w:rsid w:val="006D5F76"/>
    <w:rsid w:val="006D5FE7"/>
    <w:rsid w:val="006D6121"/>
    <w:rsid w:val="006D614B"/>
    <w:rsid w:val="006D61DB"/>
    <w:rsid w:val="006D6247"/>
    <w:rsid w:val="006D626C"/>
    <w:rsid w:val="006D6346"/>
    <w:rsid w:val="006D64D5"/>
    <w:rsid w:val="006D654A"/>
    <w:rsid w:val="006D65AA"/>
    <w:rsid w:val="006D6637"/>
    <w:rsid w:val="006D6777"/>
    <w:rsid w:val="006D680A"/>
    <w:rsid w:val="006D6815"/>
    <w:rsid w:val="006D6A1E"/>
    <w:rsid w:val="006D6BDE"/>
    <w:rsid w:val="006D6CDA"/>
    <w:rsid w:val="006D6CF0"/>
    <w:rsid w:val="006D6D96"/>
    <w:rsid w:val="006D6D9E"/>
    <w:rsid w:val="006D6E60"/>
    <w:rsid w:val="006D6E6C"/>
    <w:rsid w:val="006D6E89"/>
    <w:rsid w:val="006D6FC3"/>
    <w:rsid w:val="006D718E"/>
    <w:rsid w:val="006D71C5"/>
    <w:rsid w:val="006D7211"/>
    <w:rsid w:val="006D73CF"/>
    <w:rsid w:val="006D73DF"/>
    <w:rsid w:val="006D75C8"/>
    <w:rsid w:val="006D75CA"/>
    <w:rsid w:val="006D761F"/>
    <w:rsid w:val="006D7736"/>
    <w:rsid w:val="006D7762"/>
    <w:rsid w:val="006D776F"/>
    <w:rsid w:val="006D77CD"/>
    <w:rsid w:val="006D78D4"/>
    <w:rsid w:val="006D793F"/>
    <w:rsid w:val="006D79A7"/>
    <w:rsid w:val="006D79CC"/>
    <w:rsid w:val="006D7A25"/>
    <w:rsid w:val="006D7A76"/>
    <w:rsid w:val="006D7AC0"/>
    <w:rsid w:val="006D7B08"/>
    <w:rsid w:val="006D7B43"/>
    <w:rsid w:val="006D7D30"/>
    <w:rsid w:val="006D7E9B"/>
    <w:rsid w:val="006D7EB6"/>
    <w:rsid w:val="006D7FBC"/>
    <w:rsid w:val="006E0005"/>
    <w:rsid w:val="006E002A"/>
    <w:rsid w:val="006E0037"/>
    <w:rsid w:val="006E0040"/>
    <w:rsid w:val="006E0177"/>
    <w:rsid w:val="006E01E3"/>
    <w:rsid w:val="006E0302"/>
    <w:rsid w:val="006E03D4"/>
    <w:rsid w:val="006E0582"/>
    <w:rsid w:val="006E0670"/>
    <w:rsid w:val="006E0759"/>
    <w:rsid w:val="006E0839"/>
    <w:rsid w:val="006E0842"/>
    <w:rsid w:val="006E084D"/>
    <w:rsid w:val="006E0A4C"/>
    <w:rsid w:val="006E0A96"/>
    <w:rsid w:val="006E0AA1"/>
    <w:rsid w:val="006E0B3F"/>
    <w:rsid w:val="006E0B7C"/>
    <w:rsid w:val="006E0B90"/>
    <w:rsid w:val="006E0BAC"/>
    <w:rsid w:val="006E0BC6"/>
    <w:rsid w:val="006E0CE3"/>
    <w:rsid w:val="006E0DF8"/>
    <w:rsid w:val="006E0E29"/>
    <w:rsid w:val="006E0ECF"/>
    <w:rsid w:val="006E0F47"/>
    <w:rsid w:val="006E0F87"/>
    <w:rsid w:val="006E0FE8"/>
    <w:rsid w:val="006E1062"/>
    <w:rsid w:val="006E1106"/>
    <w:rsid w:val="006E1125"/>
    <w:rsid w:val="006E12D4"/>
    <w:rsid w:val="006E1334"/>
    <w:rsid w:val="006E14D7"/>
    <w:rsid w:val="006E1508"/>
    <w:rsid w:val="006E156B"/>
    <w:rsid w:val="006E16E6"/>
    <w:rsid w:val="006E170F"/>
    <w:rsid w:val="006E17EE"/>
    <w:rsid w:val="006E1829"/>
    <w:rsid w:val="006E1866"/>
    <w:rsid w:val="006E18BD"/>
    <w:rsid w:val="006E18C5"/>
    <w:rsid w:val="006E1921"/>
    <w:rsid w:val="006E1A0B"/>
    <w:rsid w:val="006E1B42"/>
    <w:rsid w:val="006E1B92"/>
    <w:rsid w:val="006E1D90"/>
    <w:rsid w:val="006E1DA3"/>
    <w:rsid w:val="006E1DDB"/>
    <w:rsid w:val="006E1E8F"/>
    <w:rsid w:val="006E1E9D"/>
    <w:rsid w:val="006E1EDE"/>
    <w:rsid w:val="006E1FC3"/>
    <w:rsid w:val="006E20E6"/>
    <w:rsid w:val="006E21C7"/>
    <w:rsid w:val="006E2201"/>
    <w:rsid w:val="006E2283"/>
    <w:rsid w:val="006E23A7"/>
    <w:rsid w:val="006E23C9"/>
    <w:rsid w:val="006E2421"/>
    <w:rsid w:val="006E2438"/>
    <w:rsid w:val="006E2455"/>
    <w:rsid w:val="006E25DF"/>
    <w:rsid w:val="006E25E8"/>
    <w:rsid w:val="006E266C"/>
    <w:rsid w:val="006E2706"/>
    <w:rsid w:val="006E270A"/>
    <w:rsid w:val="006E27DA"/>
    <w:rsid w:val="006E28A1"/>
    <w:rsid w:val="006E28AF"/>
    <w:rsid w:val="006E2995"/>
    <w:rsid w:val="006E29A4"/>
    <w:rsid w:val="006E2A56"/>
    <w:rsid w:val="006E2B6B"/>
    <w:rsid w:val="006E2B6C"/>
    <w:rsid w:val="006E2BD2"/>
    <w:rsid w:val="006E2C0E"/>
    <w:rsid w:val="006E2CE5"/>
    <w:rsid w:val="006E2CF3"/>
    <w:rsid w:val="006E2CF7"/>
    <w:rsid w:val="006E2D65"/>
    <w:rsid w:val="006E2D71"/>
    <w:rsid w:val="006E2DA9"/>
    <w:rsid w:val="006E2DCC"/>
    <w:rsid w:val="006E2ED0"/>
    <w:rsid w:val="006E2F29"/>
    <w:rsid w:val="006E30CA"/>
    <w:rsid w:val="006E31B8"/>
    <w:rsid w:val="006E32FC"/>
    <w:rsid w:val="006E3381"/>
    <w:rsid w:val="006E33C5"/>
    <w:rsid w:val="006E3519"/>
    <w:rsid w:val="006E35DA"/>
    <w:rsid w:val="006E382B"/>
    <w:rsid w:val="006E3B98"/>
    <w:rsid w:val="006E3C1F"/>
    <w:rsid w:val="006E3C3F"/>
    <w:rsid w:val="006E3C56"/>
    <w:rsid w:val="006E3C6A"/>
    <w:rsid w:val="006E3CAF"/>
    <w:rsid w:val="006E3CBD"/>
    <w:rsid w:val="006E3D0B"/>
    <w:rsid w:val="006E3F42"/>
    <w:rsid w:val="006E3FF1"/>
    <w:rsid w:val="006E408F"/>
    <w:rsid w:val="006E42B6"/>
    <w:rsid w:val="006E42C3"/>
    <w:rsid w:val="006E42DE"/>
    <w:rsid w:val="006E4535"/>
    <w:rsid w:val="006E457E"/>
    <w:rsid w:val="006E45B9"/>
    <w:rsid w:val="006E46FD"/>
    <w:rsid w:val="006E475F"/>
    <w:rsid w:val="006E47A1"/>
    <w:rsid w:val="006E48BA"/>
    <w:rsid w:val="006E48CA"/>
    <w:rsid w:val="006E48E9"/>
    <w:rsid w:val="006E491C"/>
    <w:rsid w:val="006E4A16"/>
    <w:rsid w:val="006E4BCE"/>
    <w:rsid w:val="006E4D2F"/>
    <w:rsid w:val="006E4DB4"/>
    <w:rsid w:val="006E4DC6"/>
    <w:rsid w:val="006E4DF2"/>
    <w:rsid w:val="006E4ED1"/>
    <w:rsid w:val="006E5141"/>
    <w:rsid w:val="006E527A"/>
    <w:rsid w:val="006E5300"/>
    <w:rsid w:val="006E5319"/>
    <w:rsid w:val="006E53B7"/>
    <w:rsid w:val="006E544B"/>
    <w:rsid w:val="006E5482"/>
    <w:rsid w:val="006E54AF"/>
    <w:rsid w:val="006E559F"/>
    <w:rsid w:val="006E55A4"/>
    <w:rsid w:val="006E55DB"/>
    <w:rsid w:val="006E5718"/>
    <w:rsid w:val="006E579B"/>
    <w:rsid w:val="006E57B7"/>
    <w:rsid w:val="006E5970"/>
    <w:rsid w:val="006E597B"/>
    <w:rsid w:val="006E597D"/>
    <w:rsid w:val="006E5A62"/>
    <w:rsid w:val="006E5B1E"/>
    <w:rsid w:val="006E5B9D"/>
    <w:rsid w:val="006E5BCC"/>
    <w:rsid w:val="006E5BFD"/>
    <w:rsid w:val="006E5C28"/>
    <w:rsid w:val="006E5C6D"/>
    <w:rsid w:val="006E5CB5"/>
    <w:rsid w:val="006E5D2F"/>
    <w:rsid w:val="006E5FCD"/>
    <w:rsid w:val="006E6006"/>
    <w:rsid w:val="006E6026"/>
    <w:rsid w:val="006E6035"/>
    <w:rsid w:val="006E6092"/>
    <w:rsid w:val="006E60C9"/>
    <w:rsid w:val="006E6121"/>
    <w:rsid w:val="006E6147"/>
    <w:rsid w:val="006E61DC"/>
    <w:rsid w:val="006E6323"/>
    <w:rsid w:val="006E6325"/>
    <w:rsid w:val="006E64F6"/>
    <w:rsid w:val="006E651F"/>
    <w:rsid w:val="006E6520"/>
    <w:rsid w:val="006E66BB"/>
    <w:rsid w:val="006E67C3"/>
    <w:rsid w:val="006E6830"/>
    <w:rsid w:val="006E6875"/>
    <w:rsid w:val="006E6948"/>
    <w:rsid w:val="006E6972"/>
    <w:rsid w:val="006E6A92"/>
    <w:rsid w:val="006E6AC3"/>
    <w:rsid w:val="006E6B08"/>
    <w:rsid w:val="006E6BA8"/>
    <w:rsid w:val="006E6BAD"/>
    <w:rsid w:val="006E6C73"/>
    <w:rsid w:val="006E6CA0"/>
    <w:rsid w:val="006E6CAC"/>
    <w:rsid w:val="006E6CEA"/>
    <w:rsid w:val="006E6CF6"/>
    <w:rsid w:val="006E6D06"/>
    <w:rsid w:val="006E6D89"/>
    <w:rsid w:val="006E6DD0"/>
    <w:rsid w:val="006E6E0F"/>
    <w:rsid w:val="006E6E4C"/>
    <w:rsid w:val="006E6ED7"/>
    <w:rsid w:val="006E6F2C"/>
    <w:rsid w:val="006E6F6D"/>
    <w:rsid w:val="006E6F96"/>
    <w:rsid w:val="006E6FD7"/>
    <w:rsid w:val="006E703D"/>
    <w:rsid w:val="006E7223"/>
    <w:rsid w:val="006E7311"/>
    <w:rsid w:val="006E7327"/>
    <w:rsid w:val="006E7469"/>
    <w:rsid w:val="006E746F"/>
    <w:rsid w:val="006E7482"/>
    <w:rsid w:val="006E749E"/>
    <w:rsid w:val="006E74B8"/>
    <w:rsid w:val="006E7580"/>
    <w:rsid w:val="006E75E9"/>
    <w:rsid w:val="006E7627"/>
    <w:rsid w:val="006E76D4"/>
    <w:rsid w:val="006E7726"/>
    <w:rsid w:val="006E7783"/>
    <w:rsid w:val="006E7846"/>
    <w:rsid w:val="006E787F"/>
    <w:rsid w:val="006E7939"/>
    <w:rsid w:val="006E7978"/>
    <w:rsid w:val="006E7C79"/>
    <w:rsid w:val="006E7CC7"/>
    <w:rsid w:val="006E7CD7"/>
    <w:rsid w:val="006E7D30"/>
    <w:rsid w:val="006E7DCF"/>
    <w:rsid w:val="006E7DD4"/>
    <w:rsid w:val="006E7DD7"/>
    <w:rsid w:val="006E7E38"/>
    <w:rsid w:val="006E7E91"/>
    <w:rsid w:val="006E7EB2"/>
    <w:rsid w:val="006E7EE0"/>
    <w:rsid w:val="006E7F46"/>
    <w:rsid w:val="006E7FB8"/>
    <w:rsid w:val="006E7FDC"/>
    <w:rsid w:val="006F0124"/>
    <w:rsid w:val="006F0169"/>
    <w:rsid w:val="006F0171"/>
    <w:rsid w:val="006F017F"/>
    <w:rsid w:val="006F0259"/>
    <w:rsid w:val="006F02D2"/>
    <w:rsid w:val="006F039C"/>
    <w:rsid w:val="006F03BE"/>
    <w:rsid w:val="006F03C1"/>
    <w:rsid w:val="006F0450"/>
    <w:rsid w:val="006F0455"/>
    <w:rsid w:val="006F0491"/>
    <w:rsid w:val="006F04A6"/>
    <w:rsid w:val="006F058D"/>
    <w:rsid w:val="006F05C8"/>
    <w:rsid w:val="006F05E7"/>
    <w:rsid w:val="006F0702"/>
    <w:rsid w:val="006F071F"/>
    <w:rsid w:val="006F073B"/>
    <w:rsid w:val="006F0785"/>
    <w:rsid w:val="006F07BE"/>
    <w:rsid w:val="006F0841"/>
    <w:rsid w:val="006F08FA"/>
    <w:rsid w:val="006F0901"/>
    <w:rsid w:val="006F0994"/>
    <w:rsid w:val="006F09A1"/>
    <w:rsid w:val="006F09E0"/>
    <w:rsid w:val="006F0AF9"/>
    <w:rsid w:val="006F0C93"/>
    <w:rsid w:val="006F0C9A"/>
    <w:rsid w:val="006F0CBA"/>
    <w:rsid w:val="006F0CF7"/>
    <w:rsid w:val="006F0D46"/>
    <w:rsid w:val="006F0D7F"/>
    <w:rsid w:val="006F0E4D"/>
    <w:rsid w:val="006F0ED1"/>
    <w:rsid w:val="006F0F44"/>
    <w:rsid w:val="006F0F6D"/>
    <w:rsid w:val="006F0F82"/>
    <w:rsid w:val="006F0FCB"/>
    <w:rsid w:val="006F0FD2"/>
    <w:rsid w:val="006F110A"/>
    <w:rsid w:val="006F117F"/>
    <w:rsid w:val="006F11F7"/>
    <w:rsid w:val="006F1469"/>
    <w:rsid w:val="006F1495"/>
    <w:rsid w:val="006F14C0"/>
    <w:rsid w:val="006F14E5"/>
    <w:rsid w:val="006F159B"/>
    <w:rsid w:val="006F15F0"/>
    <w:rsid w:val="006F160C"/>
    <w:rsid w:val="006F16B1"/>
    <w:rsid w:val="006F186D"/>
    <w:rsid w:val="006F1A18"/>
    <w:rsid w:val="006F1A31"/>
    <w:rsid w:val="006F1A81"/>
    <w:rsid w:val="006F1ABC"/>
    <w:rsid w:val="006F1B93"/>
    <w:rsid w:val="006F1BF0"/>
    <w:rsid w:val="006F1C72"/>
    <w:rsid w:val="006F1E33"/>
    <w:rsid w:val="006F1E92"/>
    <w:rsid w:val="006F1EC1"/>
    <w:rsid w:val="006F1EF0"/>
    <w:rsid w:val="006F1F3B"/>
    <w:rsid w:val="006F1F48"/>
    <w:rsid w:val="006F211B"/>
    <w:rsid w:val="006F214D"/>
    <w:rsid w:val="006F234A"/>
    <w:rsid w:val="006F23DD"/>
    <w:rsid w:val="006F2427"/>
    <w:rsid w:val="006F258B"/>
    <w:rsid w:val="006F26A8"/>
    <w:rsid w:val="006F26AA"/>
    <w:rsid w:val="006F270A"/>
    <w:rsid w:val="006F2731"/>
    <w:rsid w:val="006F2772"/>
    <w:rsid w:val="006F292E"/>
    <w:rsid w:val="006F2981"/>
    <w:rsid w:val="006F2996"/>
    <w:rsid w:val="006F2A7D"/>
    <w:rsid w:val="006F2A82"/>
    <w:rsid w:val="006F2AA9"/>
    <w:rsid w:val="006F2AD6"/>
    <w:rsid w:val="006F2B9A"/>
    <w:rsid w:val="006F2BA3"/>
    <w:rsid w:val="006F2BAE"/>
    <w:rsid w:val="006F2BDE"/>
    <w:rsid w:val="006F2D1C"/>
    <w:rsid w:val="006F2DBA"/>
    <w:rsid w:val="006F2DCD"/>
    <w:rsid w:val="006F2EAA"/>
    <w:rsid w:val="006F2F1A"/>
    <w:rsid w:val="006F3010"/>
    <w:rsid w:val="006F3022"/>
    <w:rsid w:val="006F305E"/>
    <w:rsid w:val="006F314F"/>
    <w:rsid w:val="006F31A5"/>
    <w:rsid w:val="006F32F6"/>
    <w:rsid w:val="006F34A4"/>
    <w:rsid w:val="006F34CA"/>
    <w:rsid w:val="006F3557"/>
    <w:rsid w:val="006F356A"/>
    <w:rsid w:val="006F358C"/>
    <w:rsid w:val="006F35BC"/>
    <w:rsid w:val="006F3601"/>
    <w:rsid w:val="006F3612"/>
    <w:rsid w:val="006F363E"/>
    <w:rsid w:val="006F36C4"/>
    <w:rsid w:val="006F3745"/>
    <w:rsid w:val="006F3833"/>
    <w:rsid w:val="006F387D"/>
    <w:rsid w:val="006F38F4"/>
    <w:rsid w:val="006F393C"/>
    <w:rsid w:val="006F3962"/>
    <w:rsid w:val="006F3AAC"/>
    <w:rsid w:val="006F3AD0"/>
    <w:rsid w:val="006F3AE8"/>
    <w:rsid w:val="006F3AFC"/>
    <w:rsid w:val="006F3C99"/>
    <w:rsid w:val="006F3CCF"/>
    <w:rsid w:val="006F3DC4"/>
    <w:rsid w:val="006F3E7F"/>
    <w:rsid w:val="006F3F8F"/>
    <w:rsid w:val="006F3FAE"/>
    <w:rsid w:val="006F40D1"/>
    <w:rsid w:val="006F4241"/>
    <w:rsid w:val="006F4300"/>
    <w:rsid w:val="006F4308"/>
    <w:rsid w:val="006F436A"/>
    <w:rsid w:val="006F43A5"/>
    <w:rsid w:val="006F458D"/>
    <w:rsid w:val="006F4596"/>
    <w:rsid w:val="006F47F0"/>
    <w:rsid w:val="006F491E"/>
    <w:rsid w:val="006F49BB"/>
    <w:rsid w:val="006F49F1"/>
    <w:rsid w:val="006F4A16"/>
    <w:rsid w:val="006F4B66"/>
    <w:rsid w:val="006F4CC6"/>
    <w:rsid w:val="006F4CEC"/>
    <w:rsid w:val="006F4D46"/>
    <w:rsid w:val="006F4D68"/>
    <w:rsid w:val="006F4E52"/>
    <w:rsid w:val="006F4ECA"/>
    <w:rsid w:val="006F4F25"/>
    <w:rsid w:val="006F4F74"/>
    <w:rsid w:val="006F4FDD"/>
    <w:rsid w:val="006F5000"/>
    <w:rsid w:val="006F5035"/>
    <w:rsid w:val="006F5058"/>
    <w:rsid w:val="006F50A5"/>
    <w:rsid w:val="006F512E"/>
    <w:rsid w:val="006F5158"/>
    <w:rsid w:val="006F51CB"/>
    <w:rsid w:val="006F52BE"/>
    <w:rsid w:val="006F5305"/>
    <w:rsid w:val="006F5324"/>
    <w:rsid w:val="006F53F2"/>
    <w:rsid w:val="006F5446"/>
    <w:rsid w:val="006F5558"/>
    <w:rsid w:val="006F5646"/>
    <w:rsid w:val="006F5679"/>
    <w:rsid w:val="006F5722"/>
    <w:rsid w:val="006F5859"/>
    <w:rsid w:val="006F5985"/>
    <w:rsid w:val="006F59FE"/>
    <w:rsid w:val="006F5A9F"/>
    <w:rsid w:val="006F5C75"/>
    <w:rsid w:val="006F5D4C"/>
    <w:rsid w:val="006F5D81"/>
    <w:rsid w:val="006F5E21"/>
    <w:rsid w:val="006F5E27"/>
    <w:rsid w:val="006F5F8D"/>
    <w:rsid w:val="006F6104"/>
    <w:rsid w:val="006F6180"/>
    <w:rsid w:val="006F6225"/>
    <w:rsid w:val="006F63D8"/>
    <w:rsid w:val="006F6603"/>
    <w:rsid w:val="006F6617"/>
    <w:rsid w:val="006F66ED"/>
    <w:rsid w:val="006F6907"/>
    <w:rsid w:val="006F693B"/>
    <w:rsid w:val="006F6965"/>
    <w:rsid w:val="006F6AFB"/>
    <w:rsid w:val="006F6B08"/>
    <w:rsid w:val="006F6B7D"/>
    <w:rsid w:val="006F6CE5"/>
    <w:rsid w:val="006F6CFF"/>
    <w:rsid w:val="006F6D18"/>
    <w:rsid w:val="006F6E1A"/>
    <w:rsid w:val="006F6E59"/>
    <w:rsid w:val="006F6E70"/>
    <w:rsid w:val="006F719D"/>
    <w:rsid w:val="006F7264"/>
    <w:rsid w:val="006F7349"/>
    <w:rsid w:val="006F73DB"/>
    <w:rsid w:val="006F75DC"/>
    <w:rsid w:val="006F7853"/>
    <w:rsid w:val="006F792F"/>
    <w:rsid w:val="006F7AC3"/>
    <w:rsid w:val="006F7ADD"/>
    <w:rsid w:val="006F7CC9"/>
    <w:rsid w:val="006F7CD2"/>
    <w:rsid w:val="006F7DBB"/>
    <w:rsid w:val="006F7E43"/>
    <w:rsid w:val="006F7E56"/>
    <w:rsid w:val="006F7F65"/>
    <w:rsid w:val="006F7FE9"/>
    <w:rsid w:val="006F7FF0"/>
    <w:rsid w:val="006F7FF4"/>
    <w:rsid w:val="0070003C"/>
    <w:rsid w:val="0070004F"/>
    <w:rsid w:val="007000DE"/>
    <w:rsid w:val="007002A9"/>
    <w:rsid w:val="0070037C"/>
    <w:rsid w:val="007003E5"/>
    <w:rsid w:val="00700439"/>
    <w:rsid w:val="007005C0"/>
    <w:rsid w:val="00700625"/>
    <w:rsid w:val="00700639"/>
    <w:rsid w:val="0070064A"/>
    <w:rsid w:val="00700656"/>
    <w:rsid w:val="007006CB"/>
    <w:rsid w:val="00700713"/>
    <w:rsid w:val="00700782"/>
    <w:rsid w:val="007007DB"/>
    <w:rsid w:val="0070089A"/>
    <w:rsid w:val="007008BE"/>
    <w:rsid w:val="007008F0"/>
    <w:rsid w:val="00700921"/>
    <w:rsid w:val="00700930"/>
    <w:rsid w:val="00700950"/>
    <w:rsid w:val="0070096C"/>
    <w:rsid w:val="00700ADF"/>
    <w:rsid w:val="00700C59"/>
    <w:rsid w:val="00700C9F"/>
    <w:rsid w:val="00700D51"/>
    <w:rsid w:val="00700E9B"/>
    <w:rsid w:val="00700F52"/>
    <w:rsid w:val="0070100A"/>
    <w:rsid w:val="00701047"/>
    <w:rsid w:val="00701136"/>
    <w:rsid w:val="00701154"/>
    <w:rsid w:val="007011BD"/>
    <w:rsid w:val="00701257"/>
    <w:rsid w:val="00701351"/>
    <w:rsid w:val="00701481"/>
    <w:rsid w:val="00701536"/>
    <w:rsid w:val="007016E5"/>
    <w:rsid w:val="007019A0"/>
    <w:rsid w:val="00701BC7"/>
    <w:rsid w:val="00701D22"/>
    <w:rsid w:val="00701D5E"/>
    <w:rsid w:val="00701D65"/>
    <w:rsid w:val="00701DE3"/>
    <w:rsid w:val="00701EE3"/>
    <w:rsid w:val="00701EF6"/>
    <w:rsid w:val="00701F61"/>
    <w:rsid w:val="00702068"/>
    <w:rsid w:val="0070206D"/>
    <w:rsid w:val="007020B1"/>
    <w:rsid w:val="007020BC"/>
    <w:rsid w:val="0070220B"/>
    <w:rsid w:val="00702249"/>
    <w:rsid w:val="00702390"/>
    <w:rsid w:val="00702396"/>
    <w:rsid w:val="00702402"/>
    <w:rsid w:val="007024D7"/>
    <w:rsid w:val="0070250D"/>
    <w:rsid w:val="00702643"/>
    <w:rsid w:val="007026F2"/>
    <w:rsid w:val="00702712"/>
    <w:rsid w:val="00702721"/>
    <w:rsid w:val="00702739"/>
    <w:rsid w:val="00702760"/>
    <w:rsid w:val="007027A3"/>
    <w:rsid w:val="007028A0"/>
    <w:rsid w:val="007029E5"/>
    <w:rsid w:val="00702A34"/>
    <w:rsid w:val="00702B0B"/>
    <w:rsid w:val="00702B31"/>
    <w:rsid w:val="00702BBE"/>
    <w:rsid w:val="00702C70"/>
    <w:rsid w:val="00702C9D"/>
    <w:rsid w:val="00702D40"/>
    <w:rsid w:val="00702D72"/>
    <w:rsid w:val="00702E19"/>
    <w:rsid w:val="00703001"/>
    <w:rsid w:val="00703075"/>
    <w:rsid w:val="00703126"/>
    <w:rsid w:val="0070319A"/>
    <w:rsid w:val="007031CC"/>
    <w:rsid w:val="007032E2"/>
    <w:rsid w:val="0070351B"/>
    <w:rsid w:val="007035AC"/>
    <w:rsid w:val="007035BA"/>
    <w:rsid w:val="007035FB"/>
    <w:rsid w:val="00703662"/>
    <w:rsid w:val="00703746"/>
    <w:rsid w:val="007037EB"/>
    <w:rsid w:val="00703814"/>
    <w:rsid w:val="0070392E"/>
    <w:rsid w:val="0070394E"/>
    <w:rsid w:val="00703A86"/>
    <w:rsid w:val="00703CB4"/>
    <w:rsid w:val="00703EA5"/>
    <w:rsid w:val="00703EA7"/>
    <w:rsid w:val="00703EE3"/>
    <w:rsid w:val="00703F20"/>
    <w:rsid w:val="00704090"/>
    <w:rsid w:val="007040D0"/>
    <w:rsid w:val="0070414E"/>
    <w:rsid w:val="00704292"/>
    <w:rsid w:val="007042BC"/>
    <w:rsid w:val="00704377"/>
    <w:rsid w:val="007044D4"/>
    <w:rsid w:val="007044FA"/>
    <w:rsid w:val="007045FD"/>
    <w:rsid w:val="00704623"/>
    <w:rsid w:val="00704675"/>
    <w:rsid w:val="00704789"/>
    <w:rsid w:val="007047C4"/>
    <w:rsid w:val="007047FB"/>
    <w:rsid w:val="007048A8"/>
    <w:rsid w:val="007048F3"/>
    <w:rsid w:val="00704909"/>
    <w:rsid w:val="00704A16"/>
    <w:rsid w:val="00704A2D"/>
    <w:rsid w:val="00704A98"/>
    <w:rsid w:val="00704ADB"/>
    <w:rsid w:val="00704BAC"/>
    <w:rsid w:val="00704BFD"/>
    <w:rsid w:val="00704D8E"/>
    <w:rsid w:val="00704EE5"/>
    <w:rsid w:val="00704FB6"/>
    <w:rsid w:val="00705033"/>
    <w:rsid w:val="007050AC"/>
    <w:rsid w:val="00705222"/>
    <w:rsid w:val="007052E0"/>
    <w:rsid w:val="007053BF"/>
    <w:rsid w:val="00705488"/>
    <w:rsid w:val="007055E7"/>
    <w:rsid w:val="00705769"/>
    <w:rsid w:val="00705786"/>
    <w:rsid w:val="007058CA"/>
    <w:rsid w:val="00705A06"/>
    <w:rsid w:val="00705A16"/>
    <w:rsid w:val="00705A8A"/>
    <w:rsid w:val="00705AE4"/>
    <w:rsid w:val="00705B93"/>
    <w:rsid w:val="00705C0A"/>
    <w:rsid w:val="00705C7D"/>
    <w:rsid w:val="00705CE6"/>
    <w:rsid w:val="00705DFB"/>
    <w:rsid w:val="00705E2A"/>
    <w:rsid w:val="00705E69"/>
    <w:rsid w:val="00705F06"/>
    <w:rsid w:val="00705F94"/>
    <w:rsid w:val="00705FA6"/>
    <w:rsid w:val="00706213"/>
    <w:rsid w:val="00706217"/>
    <w:rsid w:val="00706246"/>
    <w:rsid w:val="00706273"/>
    <w:rsid w:val="0070633E"/>
    <w:rsid w:val="0070635A"/>
    <w:rsid w:val="0070636D"/>
    <w:rsid w:val="007065E9"/>
    <w:rsid w:val="0070666C"/>
    <w:rsid w:val="00706682"/>
    <w:rsid w:val="007066BC"/>
    <w:rsid w:val="007066E8"/>
    <w:rsid w:val="007067AC"/>
    <w:rsid w:val="007067D4"/>
    <w:rsid w:val="007067E2"/>
    <w:rsid w:val="00706803"/>
    <w:rsid w:val="00706814"/>
    <w:rsid w:val="00706837"/>
    <w:rsid w:val="00706862"/>
    <w:rsid w:val="00706893"/>
    <w:rsid w:val="00706A38"/>
    <w:rsid w:val="00706CCB"/>
    <w:rsid w:val="00706DFA"/>
    <w:rsid w:val="00706EA5"/>
    <w:rsid w:val="00706EDC"/>
    <w:rsid w:val="00706FA0"/>
    <w:rsid w:val="007071CA"/>
    <w:rsid w:val="00707254"/>
    <w:rsid w:val="00707308"/>
    <w:rsid w:val="007073D0"/>
    <w:rsid w:val="007074A1"/>
    <w:rsid w:val="007074D8"/>
    <w:rsid w:val="00707532"/>
    <w:rsid w:val="00707691"/>
    <w:rsid w:val="00707895"/>
    <w:rsid w:val="007078E3"/>
    <w:rsid w:val="0070795E"/>
    <w:rsid w:val="00707A7A"/>
    <w:rsid w:val="00707A80"/>
    <w:rsid w:val="00707C18"/>
    <w:rsid w:val="00707C1C"/>
    <w:rsid w:val="00707D12"/>
    <w:rsid w:val="00707D22"/>
    <w:rsid w:val="00707E5C"/>
    <w:rsid w:val="00707EC0"/>
    <w:rsid w:val="00707EF9"/>
    <w:rsid w:val="00707F0A"/>
    <w:rsid w:val="00707F14"/>
    <w:rsid w:val="00707F76"/>
    <w:rsid w:val="00710080"/>
    <w:rsid w:val="0071019C"/>
    <w:rsid w:val="00710267"/>
    <w:rsid w:val="0071036A"/>
    <w:rsid w:val="007103A9"/>
    <w:rsid w:val="00710405"/>
    <w:rsid w:val="0071056E"/>
    <w:rsid w:val="00710642"/>
    <w:rsid w:val="0071069F"/>
    <w:rsid w:val="007107FA"/>
    <w:rsid w:val="007108F2"/>
    <w:rsid w:val="00710A50"/>
    <w:rsid w:val="00710B6B"/>
    <w:rsid w:val="00710BB7"/>
    <w:rsid w:val="00710C23"/>
    <w:rsid w:val="00710C9B"/>
    <w:rsid w:val="00710D2E"/>
    <w:rsid w:val="00710EA0"/>
    <w:rsid w:val="00710F53"/>
    <w:rsid w:val="00710F8E"/>
    <w:rsid w:val="007110B9"/>
    <w:rsid w:val="007111EC"/>
    <w:rsid w:val="00711251"/>
    <w:rsid w:val="007112DE"/>
    <w:rsid w:val="00711358"/>
    <w:rsid w:val="0071143F"/>
    <w:rsid w:val="00711538"/>
    <w:rsid w:val="0071159F"/>
    <w:rsid w:val="007115D8"/>
    <w:rsid w:val="00711631"/>
    <w:rsid w:val="00711726"/>
    <w:rsid w:val="00711740"/>
    <w:rsid w:val="00711750"/>
    <w:rsid w:val="0071179E"/>
    <w:rsid w:val="0071189F"/>
    <w:rsid w:val="007118CD"/>
    <w:rsid w:val="00711934"/>
    <w:rsid w:val="0071195C"/>
    <w:rsid w:val="007119D5"/>
    <w:rsid w:val="00711AE0"/>
    <w:rsid w:val="00711B1B"/>
    <w:rsid w:val="00711D1A"/>
    <w:rsid w:val="00711DC4"/>
    <w:rsid w:val="00711F0E"/>
    <w:rsid w:val="00711F81"/>
    <w:rsid w:val="0071211D"/>
    <w:rsid w:val="0071213E"/>
    <w:rsid w:val="0071217A"/>
    <w:rsid w:val="0071240D"/>
    <w:rsid w:val="0071246F"/>
    <w:rsid w:val="00712472"/>
    <w:rsid w:val="007124C6"/>
    <w:rsid w:val="007124FF"/>
    <w:rsid w:val="00712528"/>
    <w:rsid w:val="00712673"/>
    <w:rsid w:val="0071272B"/>
    <w:rsid w:val="00712786"/>
    <w:rsid w:val="0071278A"/>
    <w:rsid w:val="0071278D"/>
    <w:rsid w:val="007127AB"/>
    <w:rsid w:val="00712A55"/>
    <w:rsid w:val="00712A6F"/>
    <w:rsid w:val="00712B0F"/>
    <w:rsid w:val="00712B19"/>
    <w:rsid w:val="00712B7C"/>
    <w:rsid w:val="00712BA2"/>
    <w:rsid w:val="00712C0B"/>
    <w:rsid w:val="00712D4D"/>
    <w:rsid w:val="00712D8C"/>
    <w:rsid w:val="00712F1C"/>
    <w:rsid w:val="007130EA"/>
    <w:rsid w:val="0071312E"/>
    <w:rsid w:val="0071315A"/>
    <w:rsid w:val="0071326E"/>
    <w:rsid w:val="00713342"/>
    <w:rsid w:val="00713352"/>
    <w:rsid w:val="007134C0"/>
    <w:rsid w:val="007136DA"/>
    <w:rsid w:val="007138FA"/>
    <w:rsid w:val="00713A1B"/>
    <w:rsid w:val="00713AE7"/>
    <w:rsid w:val="00713B10"/>
    <w:rsid w:val="00713B63"/>
    <w:rsid w:val="00713CC7"/>
    <w:rsid w:val="00713D0B"/>
    <w:rsid w:val="00713D72"/>
    <w:rsid w:val="00713DDA"/>
    <w:rsid w:val="00713FAD"/>
    <w:rsid w:val="00713FFF"/>
    <w:rsid w:val="00714005"/>
    <w:rsid w:val="007140A7"/>
    <w:rsid w:val="007140B7"/>
    <w:rsid w:val="00714144"/>
    <w:rsid w:val="0071446C"/>
    <w:rsid w:val="00714564"/>
    <w:rsid w:val="00714568"/>
    <w:rsid w:val="0071457A"/>
    <w:rsid w:val="0071464F"/>
    <w:rsid w:val="0071471E"/>
    <w:rsid w:val="00714821"/>
    <w:rsid w:val="00714828"/>
    <w:rsid w:val="00714936"/>
    <w:rsid w:val="00714A37"/>
    <w:rsid w:val="00714AE4"/>
    <w:rsid w:val="00714B18"/>
    <w:rsid w:val="00714B37"/>
    <w:rsid w:val="00714B8E"/>
    <w:rsid w:val="00714C6B"/>
    <w:rsid w:val="00714CFF"/>
    <w:rsid w:val="00714DB7"/>
    <w:rsid w:val="00714EE3"/>
    <w:rsid w:val="00714F15"/>
    <w:rsid w:val="00714F69"/>
    <w:rsid w:val="00714F77"/>
    <w:rsid w:val="00715001"/>
    <w:rsid w:val="007150F7"/>
    <w:rsid w:val="0071527B"/>
    <w:rsid w:val="007152E0"/>
    <w:rsid w:val="00715346"/>
    <w:rsid w:val="0071543E"/>
    <w:rsid w:val="00715615"/>
    <w:rsid w:val="00715646"/>
    <w:rsid w:val="007156DA"/>
    <w:rsid w:val="0071573D"/>
    <w:rsid w:val="007157FD"/>
    <w:rsid w:val="00715817"/>
    <w:rsid w:val="007158FB"/>
    <w:rsid w:val="007158FE"/>
    <w:rsid w:val="007159F5"/>
    <w:rsid w:val="00715A7A"/>
    <w:rsid w:val="00715ABA"/>
    <w:rsid w:val="00715AE1"/>
    <w:rsid w:val="00715B24"/>
    <w:rsid w:val="00715C3C"/>
    <w:rsid w:val="00715C78"/>
    <w:rsid w:val="00715C89"/>
    <w:rsid w:val="00715EBD"/>
    <w:rsid w:val="00715FCD"/>
    <w:rsid w:val="00715FD3"/>
    <w:rsid w:val="00716086"/>
    <w:rsid w:val="007160CE"/>
    <w:rsid w:val="007161E7"/>
    <w:rsid w:val="00716235"/>
    <w:rsid w:val="0071630A"/>
    <w:rsid w:val="007163C1"/>
    <w:rsid w:val="00716405"/>
    <w:rsid w:val="0071649C"/>
    <w:rsid w:val="007164D3"/>
    <w:rsid w:val="007164F5"/>
    <w:rsid w:val="00716587"/>
    <w:rsid w:val="007165AF"/>
    <w:rsid w:val="007166EB"/>
    <w:rsid w:val="00716774"/>
    <w:rsid w:val="0071678D"/>
    <w:rsid w:val="00716822"/>
    <w:rsid w:val="00716949"/>
    <w:rsid w:val="00716AB2"/>
    <w:rsid w:val="00716AB7"/>
    <w:rsid w:val="00716AD2"/>
    <w:rsid w:val="00716D5C"/>
    <w:rsid w:val="00716ED9"/>
    <w:rsid w:val="00716F39"/>
    <w:rsid w:val="00717177"/>
    <w:rsid w:val="0071719C"/>
    <w:rsid w:val="00717393"/>
    <w:rsid w:val="00717462"/>
    <w:rsid w:val="00717469"/>
    <w:rsid w:val="0071748D"/>
    <w:rsid w:val="007174E3"/>
    <w:rsid w:val="007175C7"/>
    <w:rsid w:val="007175EB"/>
    <w:rsid w:val="00717605"/>
    <w:rsid w:val="007176F5"/>
    <w:rsid w:val="0071778A"/>
    <w:rsid w:val="007178E4"/>
    <w:rsid w:val="0071799F"/>
    <w:rsid w:val="007179A9"/>
    <w:rsid w:val="00717A4C"/>
    <w:rsid w:val="00717A75"/>
    <w:rsid w:val="00717B93"/>
    <w:rsid w:val="00717C12"/>
    <w:rsid w:val="00717E1D"/>
    <w:rsid w:val="00717EF2"/>
    <w:rsid w:val="00717F73"/>
    <w:rsid w:val="00717F77"/>
    <w:rsid w:val="00717F8C"/>
    <w:rsid w:val="00717FBE"/>
    <w:rsid w:val="00717FEA"/>
    <w:rsid w:val="00720043"/>
    <w:rsid w:val="007200C2"/>
    <w:rsid w:val="007200D2"/>
    <w:rsid w:val="007201B7"/>
    <w:rsid w:val="007202EA"/>
    <w:rsid w:val="007202EE"/>
    <w:rsid w:val="007203CA"/>
    <w:rsid w:val="00720479"/>
    <w:rsid w:val="0072049C"/>
    <w:rsid w:val="00720694"/>
    <w:rsid w:val="007206C4"/>
    <w:rsid w:val="0072071A"/>
    <w:rsid w:val="007207B1"/>
    <w:rsid w:val="0072087F"/>
    <w:rsid w:val="00720913"/>
    <w:rsid w:val="00720B06"/>
    <w:rsid w:val="00720B3E"/>
    <w:rsid w:val="00720BC8"/>
    <w:rsid w:val="00720DC0"/>
    <w:rsid w:val="00720E4C"/>
    <w:rsid w:val="00720EE3"/>
    <w:rsid w:val="00720F05"/>
    <w:rsid w:val="00720F22"/>
    <w:rsid w:val="00720F32"/>
    <w:rsid w:val="00720FBB"/>
    <w:rsid w:val="0072105B"/>
    <w:rsid w:val="007211ED"/>
    <w:rsid w:val="00721226"/>
    <w:rsid w:val="0072123B"/>
    <w:rsid w:val="00721262"/>
    <w:rsid w:val="007212A2"/>
    <w:rsid w:val="0072131D"/>
    <w:rsid w:val="0072136E"/>
    <w:rsid w:val="007213C2"/>
    <w:rsid w:val="007216D2"/>
    <w:rsid w:val="0072171A"/>
    <w:rsid w:val="0072173A"/>
    <w:rsid w:val="007217CE"/>
    <w:rsid w:val="0072182D"/>
    <w:rsid w:val="007218BD"/>
    <w:rsid w:val="00721900"/>
    <w:rsid w:val="00721901"/>
    <w:rsid w:val="00721919"/>
    <w:rsid w:val="0072194B"/>
    <w:rsid w:val="00721A25"/>
    <w:rsid w:val="00721A5B"/>
    <w:rsid w:val="00721A91"/>
    <w:rsid w:val="00721C4A"/>
    <w:rsid w:val="00721CE0"/>
    <w:rsid w:val="00721F37"/>
    <w:rsid w:val="00721F6F"/>
    <w:rsid w:val="0072214F"/>
    <w:rsid w:val="00722174"/>
    <w:rsid w:val="007221AA"/>
    <w:rsid w:val="007221FD"/>
    <w:rsid w:val="0072225A"/>
    <w:rsid w:val="00722294"/>
    <w:rsid w:val="007222C3"/>
    <w:rsid w:val="007222D5"/>
    <w:rsid w:val="00722301"/>
    <w:rsid w:val="007223DC"/>
    <w:rsid w:val="00722409"/>
    <w:rsid w:val="00722526"/>
    <w:rsid w:val="00722594"/>
    <w:rsid w:val="00722626"/>
    <w:rsid w:val="007226F5"/>
    <w:rsid w:val="00722740"/>
    <w:rsid w:val="00722754"/>
    <w:rsid w:val="00722839"/>
    <w:rsid w:val="00722875"/>
    <w:rsid w:val="007228BD"/>
    <w:rsid w:val="007228E8"/>
    <w:rsid w:val="007229D6"/>
    <w:rsid w:val="007229FF"/>
    <w:rsid w:val="00722A4F"/>
    <w:rsid w:val="00722B83"/>
    <w:rsid w:val="00722BB0"/>
    <w:rsid w:val="00722CC4"/>
    <w:rsid w:val="00722D56"/>
    <w:rsid w:val="00722D7C"/>
    <w:rsid w:val="00722D83"/>
    <w:rsid w:val="00722DB0"/>
    <w:rsid w:val="00722DD5"/>
    <w:rsid w:val="00722DD7"/>
    <w:rsid w:val="00722E66"/>
    <w:rsid w:val="00722E67"/>
    <w:rsid w:val="00722E9B"/>
    <w:rsid w:val="00722FAE"/>
    <w:rsid w:val="00723029"/>
    <w:rsid w:val="00723066"/>
    <w:rsid w:val="0072307A"/>
    <w:rsid w:val="00723087"/>
    <w:rsid w:val="0072308F"/>
    <w:rsid w:val="007230CA"/>
    <w:rsid w:val="007230DB"/>
    <w:rsid w:val="00723263"/>
    <w:rsid w:val="00723283"/>
    <w:rsid w:val="00723286"/>
    <w:rsid w:val="007232AA"/>
    <w:rsid w:val="007232CF"/>
    <w:rsid w:val="00723426"/>
    <w:rsid w:val="0072344C"/>
    <w:rsid w:val="00723566"/>
    <w:rsid w:val="00723581"/>
    <w:rsid w:val="007235AE"/>
    <w:rsid w:val="007236D8"/>
    <w:rsid w:val="007236F0"/>
    <w:rsid w:val="00723798"/>
    <w:rsid w:val="00723871"/>
    <w:rsid w:val="00723895"/>
    <w:rsid w:val="00723A0C"/>
    <w:rsid w:val="00723A42"/>
    <w:rsid w:val="00723A6D"/>
    <w:rsid w:val="00723AB5"/>
    <w:rsid w:val="00723ADA"/>
    <w:rsid w:val="00723B2C"/>
    <w:rsid w:val="00723B72"/>
    <w:rsid w:val="00723C3E"/>
    <w:rsid w:val="00723E9E"/>
    <w:rsid w:val="00723ECB"/>
    <w:rsid w:val="00724063"/>
    <w:rsid w:val="00724098"/>
    <w:rsid w:val="0072416F"/>
    <w:rsid w:val="007242C0"/>
    <w:rsid w:val="007242C7"/>
    <w:rsid w:val="00724319"/>
    <w:rsid w:val="0072437D"/>
    <w:rsid w:val="00724564"/>
    <w:rsid w:val="007245BF"/>
    <w:rsid w:val="00724638"/>
    <w:rsid w:val="0072476E"/>
    <w:rsid w:val="007247B3"/>
    <w:rsid w:val="007247D1"/>
    <w:rsid w:val="0072497E"/>
    <w:rsid w:val="007249F8"/>
    <w:rsid w:val="00724A9D"/>
    <w:rsid w:val="00724BA2"/>
    <w:rsid w:val="00724BB1"/>
    <w:rsid w:val="00724BD0"/>
    <w:rsid w:val="00724C7D"/>
    <w:rsid w:val="00724CFB"/>
    <w:rsid w:val="00724E2B"/>
    <w:rsid w:val="00724EB5"/>
    <w:rsid w:val="00724ED0"/>
    <w:rsid w:val="00724EEA"/>
    <w:rsid w:val="00724F92"/>
    <w:rsid w:val="0072507D"/>
    <w:rsid w:val="007250BD"/>
    <w:rsid w:val="007250E3"/>
    <w:rsid w:val="007251CB"/>
    <w:rsid w:val="007251DD"/>
    <w:rsid w:val="0072529C"/>
    <w:rsid w:val="007252D1"/>
    <w:rsid w:val="007252FF"/>
    <w:rsid w:val="00725315"/>
    <w:rsid w:val="007253D6"/>
    <w:rsid w:val="0072545E"/>
    <w:rsid w:val="007254A5"/>
    <w:rsid w:val="007254FC"/>
    <w:rsid w:val="007255B2"/>
    <w:rsid w:val="0072569A"/>
    <w:rsid w:val="0072578A"/>
    <w:rsid w:val="007257B2"/>
    <w:rsid w:val="00725802"/>
    <w:rsid w:val="00725846"/>
    <w:rsid w:val="00725914"/>
    <w:rsid w:val="0072597A"/>
    <w:rsid w:val="00725AAD"/>
    <w:rsid w:val="00725BCF"/>
    <w:rsid w:val="00725D83"/>
    <w:rsid w:val="00725E95"/>
    <w:rsid w:val="00725EAE"/>
    <w:rsid w:val="00725F56"/>
    <w:rsid w:val="0072600B"/>
    <w:rsid w:val="0072604A"/>
    <w:rsid w:val="00726210"/>
    <w:rsid w:val="0072622F"/>
    <w:rsid w:val="00726289"/>
    <w:rsid w:val="007262AF"/>
    <w:rsid w:val="007263AB"/>
    <w:rsid w:val="007263E7"/>
    <w:rsid w:val="007264D9"/>
    <w:rsid w:val="00726539"/>
    <w:rsid w:val="0072658F"/>
    <w:rsid w:val="007265A7"/>
    <w:rsid w:val="00726764"/>
    <w:rsid w:val="00726876"/>
    <w:rsid w:val="0072688A"/>
    <w:rsid w:val="0072697D"/>
    <w:rsid w:val="00726A2F"/>
    <w:rsid w:val="00726A6B"/>
    <w:rsid w:val="00726A90"/>
    <w:rsid w:val="00726ABE"/>
    <w:rsid w:val="00726CF0"/>
    <w:rsid w:val="00726D85"/>
    <w:rsid w:val="00726EE0"/>
    <w:rsid w:val="00726EEE"/>
    <w:rsid w:val="00726F82"/>
    <w:rsid w:val="00726FB8"/>
    <w:rsid w:val="00726FF9"/>
    <w:rsid w:val="0072703E"/>
    <w:rsid w:val="0072709F"/>
    <w:rsid w:val="007270C2"/>
    <w:rsid w:val="007270CB"/>
    <w:rsid w:val="00727182"/>
    <w:rsid w:val="007271D6"/>
    <w:rsid w:val="00727246"/>
    <w:rsid w:val="0072731D"/>
    <w:rsid w:val="00727395"/>
    <w:rsid w:val="0072745B"/>
    <w:rsid w:val="00727537"/>
    <w:rsid w:val="0072758E"/>
    <w:rsid w:val="00727636"/>
    <w:rsid w:val="00727666"/>
    <w:rsid w:val="00727684"/>
    <w:rsid w:val="007276E1"/>
    <w:rsid w:val="007276E9"/>
    <w:rsid w:val="00727875"/>
    <w:rsid w:val="00727A3F"/>
    <w:rsid w:val="00727A4A"/>
    <w:rsid w:val="00727A5C"/>
    <w:rsid w:val="00727AE8"/>
    <w:rsid w:val="00727B31"/>
    <w:rsid w:val="00727BC7"/>
    <w:rsid w:val="00727C41"/>
    <w:rsid w:val="00727C9A"/>
    <w:rsid w:val="00727CEF"/>
    <w:rsid w:val="00727D93"/>
    <w:rsid w:val="00727E92"/>
    <w:rsid w:val="00727F9E"/>
    <w:rsid w:val="00730053"/>
    <w:rsid w:val="0073005E"/>
    <w:rsid w:val="00730087"/>
    <w:rsid w:val="007300C6"/>
    <w:rsid w:val="00730135"/>
    <w:rsid w:val="007301FD"/>
    <w:rsid w:val="007302A2"/>
    <w:rsid w:val="0073038A"/>
    <w:rsid w:val="0073042B"/>
    <w:rsid w:val="007304B9"/>
    <w:rsid w:val="00730507"/>
    <w:rsid w:val="00730709"/>
    <w:rsid w:val="0073070A"/>
    <w:rsid w:val="0073072C"/>
    <w:rsid w:val="0073075A"/>
    <w:rsid w:val="00730926"/>
    <w:rsid w:val="007309FB"/>
    <w:rsid w:val="00730A2D"/>
    <w:rsid w:val="00730AF2"/>
    <w:rsid w:val="00730AFD"/>
    <w:rsid w:val="00730B11"/>
    <w:rsid w:val="00730B91"/>
    <w:rsid w:val="00730C4B"/>
    <w:rsid w:val="00730C6B"/>
    <w:rsid w:val="00730D0A"/>
    <w:rsid w:val="00730D18"/>
    <w:rsid w:val="00730D7E"/>
    <w:rsid w:val="00730E52"/>
    <w:rsid w:val="00730EA2"/>
    <w:rsid w:val="0073104B"/>
    <w:rsid w:val="0073106B"/>
    <w:rsid w:val="00731085"/>
    <w:rsid w:val="0073111B"/>
    <w:rsid w:val="007311BF"/>
    <w:rsid w:val="0073123D"/>
    <w:rsid w:val="007312D6"/>
    <w:rsid w:val="007312E7"/>
    <w:rsid w:val="00731327"/>
    <w:rsid w:val="0073146E"/>
    <w:rsid w:val="007314C3"/>
    <w:rsid w:val="00731566"/>
    <w:rsid w:val="00731615"/>
    <w:rsid w:val="007316A5"/>
    <w:rsid w:val="007316C0"/>
    <w:rsid w:val="007316D9"/>
    <w:rsid w:val="00731709"/>
    <w:rsid w:val="0073180B"/>
    <w:rsid w:val="00731831"/>
    <w:rsid w:val="00731990"/>
    <w:rsid w:val="00731AF7"/>
    <w:rsid w:val="00731B9F"/>
    <w:rsid w:val="00731C6A"/>
    <w:rsid w:val="00731D56"/>
    <w:rsid w:val="00731DB3"/>
    <w:rsid w:val="00731EBA"/>
    <w:rsid w:val="00731F54"/>
    <w:rsid w:val="00732029"/>
    <w:rsid w:val="007320AE"/>
    <w:rsid w:val="00732116"/>
    <w:rsid w:val="0073217C"/>
    <w:rsid w:val="007321E0"/>
    <w:rsid w:val="007321FC"/>
    <w:rsid w:val="00732625"/>
    <w:rsid w:val="00732664"/>
    <w:rsid w:val="007326B7"/>
    <w:rsid w:val="00732787"/>
    <w:rsid w:val="007329A8"/>
    <w:rsid w:val="007329CA"/>
    <w:rsid w:val="00732A1A"/>
    <w:rsid w:val="00732BCF"/>
    <w:rsid w:val="00732C0D"/>
    <w:rsid w:val="00732D07"/>
    <w:rsid w:val="00732D75"/>
    <w:rsid w:val="00732D8A"/>
    <w:rsid w:val="00732E2A"/>
    <w:rsid w:val="00732EA0"/>
    <w:rsid w:val="007331C3"/>
    <w:rsid w:val="007331F5"/>
    <w:rsid w:val="0073325F"/>
    <w:rsid w:val="007332EC"/>
    <w:rsid w:val="007332F4"/>
    <w:rsid w:val="00733306"/>
    <w:rsid w:val="0073331E"/>
    <w:rsid w:val="00733339"/>
    <w:rsid w:val="00733352"/>
    <w:rsid w:val="0073337D"/>
    <w:rsid w:val="00733434"/>
    <w:rsid w:val="00733495"/>
    <w:rsid w:val="00733515"/>
    <w:rsid w:val="007335BE"/>
    <w:rsid w:val="007335FA"/>
    <w:rsid w:val="00733642"/>
    <w:rsid w:val="00733685"/>
    <w:rsid w:val="007336D9"/>
    <w:rsid w:val="007336F5"/>
    <w:rsid w:val="00733777"/>
    <w:rsid w:val="007338AE"/>
    <w:rsid w:val="0073393B"/>
    <w:rsid w:val="0073393F"/>
    <w:rsid w:val="007339AA"/>
    <w:rsid w:val="00733AC0"/>
    <w:rsid w:val="00733ADB"/>
    <w:rsid w:val="00733B1E"/>
    <w:rsid w:val="00733B78"/>
    <w:rsid w:val="00733C28"/>
    <w:rsid w:val="00733C65"/>
    <w:rsid w:val="00733DA0"/>
    <w:rsid w:val="00733F1F"/>
    <w:rsid w:val="00733FC0"/>
    <w:rsid w:val="00733FD4"/>
    <w:rsid w:val="007341F1"/>
    <w:rsid w:val="00734235"/>
    <w:rsid w:val="00734435"/>
    <w:rsid w:val="007345AE"/>
    <w:rsid w:val="007345E6"/>
    <w:rsid w:val="00734685"/>
    <w:rsid w:val="007346AD"/>
    <w:rsid w:val="007346CC"/>
    <w:rsid w:val="0073479A"/>
    <w:rsid w:val="00734843"/>
    <w:rsid w:val="00734960"/>
    <w:rsid w:val="00734976"/>
    <w:rsid w:val="00734A3F"/>
    <w:rsid w:val="00734A48"/>
    <w:rsid w:val="00734B24"/>
    <w:rsid w:val="00734B7E"/>
    <w:rsid w:val="00734BC2"/>
    <w:rsid w:val="00734D92"/>
    <w:rsid w:val="00734F8F"/>
    <w:rsid w:val="00734FB7"/>
    <w:rsid w:val="00734FCA"/>
    <w:rsid w:val="0073502D"/>
    <w:rsid w:val="00735069"/>
    <w:rsid w:val="0073509B"/>
    <w:rsid w:val="007350B9"/>
    <w:rsid w:val="00735209"/>
    <w:rsid w:val="007352BB"/>
    <w:rsid w:val="007352DD"/>
    <w:rsid w:val="007352F6"/>
    <w:rsid w:val="007353CE"/>
    <w:rsid w:val="007354CA"/>
    <w:rsid w:val="0073573B"/>
    <w:rsid w:val="007357BE"/>
    <w:rsid w:val="007357E4"/>
    <w:rsid w:val="00735874"/>
    <w:rsid w:val="007358EC"/>
    <w:rsid w:val="0073595E"/>
    <w:rsid w:val="00735961"/>
    <w:rsid w:val="00735AB0"/>
    <w:rsid w:val="00735AC1"/>
    <w:rsid w:val="00735C84"/>
    <w:rsid w:val="00735CC4"/>
    <w:rsid w:val="00735DA2"/>
    <w:rsid w:val="00735ED0"/>
    <w:rsid w:val="00735F06"/>
    <w:rsid w:val="00735F71"/>
    <w:rsid w:val="00735F95"/>
    <w:rsid w:val="00735FF0"/>
    <w:rsid w:val="00736054"/>
    <w:rsid w:val="007361CD"/>
    <w:rsid w:val="00736371"/>
    <w:rsid w:val="00736471"/>
    <w:rsid w:val="00736483"/>
    <w:rsid w:val="007364BC"/>
    <w:rsid w:val="007364EE"/>
    <w:rsid w:val="00736521"/>
    <w:rsid w:val="00736579"/>
    <w:rsid w:val="00736580"/>
    <w:rsid w:val="0073663F"/>
    <w:rsid w:val="00736695"/>
    <w:rsid w:val="00736792"/>
    <w:rsid w:val="007367EE"/>
    <w:rsid w:val="007367FB"/>
    <w:rsid w:val="00736822"/>
    <w:rsid w:val="00736842"/>
    <w:rsid w:val="0073687D"/>
    <w:rsid w:val="0073698C"/>
    <w:rsid w:val="007369E8"/>
    <w:rsid w:val="00736AA4"/>
    <w:rsid w:val="00736BBF"/>
    <w:rsid w:val="00736C06"/>
    <w:rsid w:val="00736CB5"/>
    <w:rsid w:val="00736CB8"/>
    <w:rsid w:val="00736D42"/>
    <w:rsid w:val="00736E18"/>
    <w:rsid w:val="00736E38"/>
    <w:rsid w:val="00736E51"/>
    <w:rsid w:val="00736E58"/>
    <w:rsid w:val="00736F2A"/>
    <w:rsid w:val="00736F38"/>
    <w:rsid w:val="00736F3B"/>
    <w:rsid w:val="00736F90"/>
    <w:rsid w:val="0073707D"/>
    <w:rsid w:val="007370CE"/>
    <w:rsid w:val="007370EE"/>
    <w:rsid w:val="00737161"/>
    <w:rsid w:val="0073716D"/>
    <w:rsid w:val="0073720C"/>
    <w:rsid w:val="0073721C"/>
    <w:rsid w:val="0073725F"/>
    <w:rsid w:val="00737289"/>
    <w:rsid w:val="007372FD"/>
    <w:rsid w:val="00737332"/>
    <w:rsid w:val="007373EC"/>
    <w:rsid w:val="00737426"/>
    <w:rsid w:val="00737442"/>
    <w:rsid w:val="0073744C"/>
    <w:rsid w:val="00737469"/>
    <w:rsid w:val="00737710"/>
    <w:rsid w:val="00737780"/>
    <w:rsid w:val="0073782E"/>
    <w:rsid w:val="0073792C"/>
    <w:rsid w:val="0073794D"/>
    <w:rsid w:val="0073797E"/>
    <w:rsid w:val="00737AE5"/>
    <w:rsid w:val="00737C0F"/>
    <w:rsid w:val="00737D4D"/>
    <w:rsid w:val="00737D7A"/>
    <w:rsid w:val="00737F46"/>
    <w:rsid w:val="00737FEC"/>
    <w:rsid w:val="00740090"/>
    <w:rsid w:val="0074015E"/>
    <w:rsid w:val="007401C3"/>
    <w:rsid w:val="007401EA"/>
    <w:rsid w:val="0074031B"/>
    <w:rsid w:val="00740326"/>
    <w:rsid w:val="00740380"/>
    <w:rsid w:val="00740574"/>
    <w:rsid w:val="0074059F"/>
    <w:rsid w:val="007405A9"/>
    <w:rsid w:val="00740668"/>
    <w:rsid w:val="007406A2"/>
    <w:rsid w:val="007406C3"/>
    <w:rsid w:val="00740705"/>
    <w:rsid w:val="00740790"/>
    <w:rsid w:val="0074080F"/>
    <w:rsid w:val="0074081A"/>
    <w:rsid w:val="00740938"/>
    <w:rsid w:val="007409E2"/>
    <w:rsid w:val="00740A6C"/>
    <w:rsid w:val="00740BCF"/>
    <w:rsid w:val="00740BF0"/>
    <w:rsid w:val="00740C2A"/>
    <w:rsid w:val="00740CBA"/>
    <w:rsid w:val="00740D61"/>
    <w:rsid w:val="00740DCD"/>
    <w:rsid w:val="00740E63"/>
    <w:rsid w:val="00740FE3"/>
    <w:rsid w:val="00741250"/>
    <w:rsid w:val="0074125C"/>
    <w:rsid w:val="0074147F"/>
    <w:rsid w:val="00741484"/>
    <w:rsid w:val="0074152D"/>
    <w:rsid w:val="00741578"/>
    <w:rsid w:val="007415F5"/>
    <w:rsid w:val="00741640"/>
    <w:rsid w:val="007416BE"/>
    <w:rsid w:val="00741747"/>
    <w:rsid w:val="0074178F"/>
    <w:rsid w:val="007417DF"/>
    <w:rsid w:val="0074192D"/>
    <w:rsid w:val="00741935"/>
    <w:rsid w:val="007419BD"/>
    <w:rsid w:val="007419F3"/>
    <w:rsid w:val="00741B84"/>
    <w:rsid w:val="00741BB7"/>
    <w:rsid w:val="00741BE7"/>
    <w:rsid w:val="00741BE8"/>
    <w:rsid w:val="00741C50"/>
    <w:rsid w:val="00741D51"/>
    <w:rsid w:val="00741ECC"/>
    <w:rsid w:val="00742006"/>
    <w:rsid w:val="0074201E"/>
    <w:rsid w:val="00742060"/>
    <w:rsid w:val="00742106"/>
    <w:rsid w:val="0074213F"/>
    <w:rsid w:val="0074216C"/>
    <w:rsid w:val="007421D2"/>
    <w:rsid w:val="0074249E"/>
    <w:rsid w:val="007424F1"/>
    <w:rsid w:val="00742523"/>
    <w:rsid w:val="0074257A"/>
    <w:rsid w:val="007427A1"/>
    <w:rsid w:val="0074285C"/>
    <w:rsid w:val="0074291B"/>
    <w:rsid w:val="00742920"/>
    <w:rsid w:val="0074294D"/>
    <w:rsid w:val="0074294E"/>
    <w:rsid w:val="00742A5F"/>
    <w:rsid w:val="00742B22"/>
    <w:rsid w:val="00742C29"/>
    <w:rsid w:val="00742C66"/>
    <w:rsid w:val="00742CAF"/>
    <w:rsid w:val="00742D3C"/>
    <w:rsid w:val="00742F00"/>
    <w:rsid w:val="00743192"/>
    <w:rsid w:val="00743194"/>
    <w:rsid w:val="007431EC"/>
    <w:rsid w:val="0074332B"/>
    <w:rsid w:val="00743393"/>
    <w:rsid w:val="007433FA"/>
    <w:rsid w:val="0074346E"/>
    <w:rsid w:val="007435EC"/>
    <w:rsid w:val="00743771"/>
    <w:rsid w:val="007437B8"/>
    <w:rsid w:val="00743941"/>
    <w:rsid w:val="00743951"/>
    <w:rsid w:val="00743971"/>
    <w:rsid w:val="00743A72"/>
    <w:rsid w:val="00743B45"/>
    <w:rsid w:val="00743E28"/>
    <w:rsid w:val="00743E46"/>
    <w:rsid w:val="00743E4C"/>
    <w:rsid w:val="00743F74"/>
    <w:rsid w:val="00744167"/>
    <w:rsid w:val="0074426C"/>
    <w:rsid w:val="0074433F"/>
    <w:rsid w:val="007443EC"/>
    <w:rsid w:val="0074449E"/>
    <w:rsid w:val="0074453D"/>
    <w:rsid w:val="00744579"/>
    <w:rsid w:val="007445B2"/>
    <w:rsid w:val="0074461E"/>
    <w:rsid w:val="007446F8"/>
    <w:rsid w:val="0074475B"/>
    <w:rsid w:val="007449D5"/>
    <w:rsid w:val="00744AF2"/>
    <w:rsid w:val="00744B17"/>
    <w:rsid w:val="00744C22"/>
    <w:rsid w:val="00744C76"/>
    <w:rsid w:val="00744CAA"/>
    <w:rsid w:val="00744CB0"/>
    <w:rsid w:val="00745028"/>
    <w:rsid w:val="00745080"/>
    <w:rsid w:val="007450D8"/>
    <w:rsid w:val="007451ED"/>
    <w:rsid w:val="00745210"/>
    <w:rsid w:val="0074522C"/>
    <w:rsid w:val="00745242"/>
    <w:rsid w:val="007452AE"/>
    <w:rsid w:val="00745385"/>
    <w:rsid w:val="007453E8"/>
    <w:rsid w:val="00745585"/>
    <w:rsid w:val="007455AD"/>
    <w:rsid w:val="007455C9"/>
    <w:rsid w:val="007456A0"/>
    <w:rsid w:val="00745798"/>
    <w:rsid w:val="007457A7"/>
    <w:rsid w:val="007457D2"/>
    <w:rsid w:val="007457E2"/>
    <w:rsid w:val="007458CD"/>
    <w:rsid w:val="007458DA"/>
    <w:rsid w:val="00745903"/>
    <w:rsid w:val="00745A5E"/>
    <w:rsid w:val="00745A7F"/>
    <w:rsid w:val="00745AE8"/>
    <w:rsid w:val="00745B08"/>
    <w:rsid w:val="00745BA4"/>
    <w:rsid w:val="00745C00"/>
    <w:rsid w:val="00745C6B"/>
    <w:rsid w:val="00745DAF"/>
    <w:rsid w:val="00745DBC"/>
    <w:rsid w:val="00745E01"/>
    <w:rsid w:val="00745EB0"/>
    <w:rsid w:val="00745F2E"/>
    <w:rsid w:val="00746004"/>
    <w:rsid w:val="0074605B"/>
    <w:rsid w:val="00746200"/>
    <w:rsid w:val="0074625E"/>
    <w:rsid w:val="0074628D"/>
    <w:rsid w:val="007462CF"/>
    <w:rsid w:val="00746419"/>
    <w:rsid w:val="007464A1"/>
    <w:rsid w:val="007464A7"/>
    <w:rsid w:val="00746566"/>
    <w:rsid w:val="00746625"/>
    <w:rsid w:val="00746702"/>
    <w:rsid w:val="00746704"/>
    <w:rsid w:val="00746852"/>
    <w:rsid w:val="00746864"/>
    <w:rsid w:val="00746887"/>
    <w:rsid w:val="007468AB"/>
    <w:rsid w:val="00746A1A"/>
    <w:rsid w:val="00746B42"/>
    <w:rsid w:val="00746C35"/>
    <w:rsid w:val="00746D66"/>
    <w:rsid w:val="00746DD2"/>
    <w:rsid w:val="00746E06"/>
    <w:rsid w:val="00746E4E"/>
    <w:rsid w:val="00746F66"/>
    <w:rsid w:val="00747001"/>
    <w:rsid w:val="00747027"/>
    <w:rsid w:val="00747044"/>
    <w:rsid w:val="007470A2"/>
    <w:rsid w:val="007470A3"/>
    <w:rsid w:val="007470D3"/>
    <w:rsid w:val="00747117"/>
    <w:rsid w:val="007471AD"/>
    <w:rsid w:val="007471E7"/>
    <w:rsid w:val="0074722F"/>
    <w:rsid w:val="00747270"/>
    <w:rsid w:val="0074733D"/>
    <w:rsid w:val="007473D0"/>
    <w:rsid w:val="00747434"/>
    <w:rsid w:val="00747483"/>
    <w:rsid w:val="00747488"/>
    <w:rsid w:val="007475A4"/>
    <w:rsid w:val="00747643"/>
    <w:rsid w:val="007476BA"/>
    <w:rsid w:val="007476D0"/>
    <w:rsid w:val="00747710"/>
    <w:rsid w:val="00747770"/>
    <w:rsid w:val="00747869"/>
    <w:rsid w:val="0074787C"/>
    <w:rsid w:val="0074788B"/>
    <w:rsid w:val="00747A04"/>
    <w:rsid w:val="00747AED"/>
    <w:rsid w:val="00747C00"/>
    <w:rsid w:val="00747C5A"/>
    <w:rsid w:val="00747C9E"/>
    <w:rsid w:val="00747FDF"/>
    <w:rsid w:val="00747FEB"/>
    <w:rsid w:val="00750164"/>
    <w:rsid w:val="007501E4"/>
    <w:rsid w:val="00750305"/>
    <w:rsid w:val="00750389"/>
    <w:rsid w:val="007503BB"/>
    <w:rsid w:val="00750501"/>
    <w:rsid w:val="007506E8"/>
    <w:rsid w:val="00750714"/>
    <w:rsid w:val="00750774"/>
    <w:rsid w:val="00750885"/>
    <w:rsid w:val="007509BC"/>
    <w:rsid w:val="007509C1"/>
    <w:rsid w:val="007509F4"/>
    <w:rsid w:val="00750B4A"/>
    <w:rsid w:val="00750CA3"/>
    <w:rsid w:val="00750D3A"/>
    <w:rsid w:val="00750DF8"/>
    <w:rsid w:val="00750E8F"/>
    <w:rsid w:val="00750EF0"/>
    <w:rsid w:val="00750F8F"/>
    <w:rsid w:val="00750FCE"/>
    <w:rsid w:val="00750FD7"/>
    <w:rsid w:val="00751085"/>
    <w:rsid w:val="007510C6"/>
    <w:rsid w:val="00751161"/>
    <w:rsid w:val="0075130E"/>
    <w:rsid w:val="0075137C"/>
    <w:rsid w:val="007513B2"/>
    <w:rsid w:val="0075164D"/>
    <w:rsid w:val="0075167F"/>
    <w:rsid w:val="00751A23"/>
    <w:rsid w:val="00751A24"/>
    <w:rsid w:val="00751B44"/>
    <w:rsid w:val="00751C6D"/>
    <w:rsid w:val="00751D1E"/>
    <w:rsid w:val="00751D52"/>
    <w:rsid w:val="00751D59"/>
    <w:rsid w:val="00751DAB"/>
    <w:rsid w:val="00751F06"/>
    <w:rsid w:val="00751F0E"/>
    <w:rsid w:val="00751F14"/>
    <w:rsid w:val="00751F17"/>
    <w:rsid w:val="00751F54"/>
    <w:rsid w:val="00751FD1"/>
    <w:rsid w:val="0075202E"/>
    <w:rsid w:val="0075214F"/>
    <w:rsid w:val="00752204"/>
    <w:rsid w:val="0075226F"/>
    <w:rsid w:val="00752322"/>
    <w:rsid w:val="00752344"/>
    <w:rsid w:val="007524A6"/>
    <w:rsid w:val="007524E6"/>
    <w:rsid w:val="0075257F"/>
    <w:rsid w:val="0075271A"/>
    <w:rsid w:val="00752743"/>
    <w:rsid w:val="0075279D"/>
    <w:rsid w:val="00752864"/>
    <w:rsid w:val="00752868"/>
    <w:rsid w:val="007528B7"/>
    <w:rsid w:val="00752954"/>
    <w:rsid w:val="007529CE"/>
    <w:rsid w:val="007529E7"/>
    <w:rsid w:val="00752B23"/>
    <w:rsid w:val="00752CB8"/>
    <w:rsid w:val="00752D0B"/>
    <w:rsid w:val="00752D71"/>
    <w:rsid w:val="00752F1B"/>
    <w:rsid w:val="00752F2C"/>
    <w:rsid w:val="007531E8"/>
    <w:rsid w:val="0075333A"/>
    <w:rsid w:val="0075341E"/>
    <w:rsid w:val="0075348C"/>
    <w:rsid w:val="007534E1"/>
    <w:rsid w:val="00753520"/>
    <w:rsid w:val="007535BA"/>
    <w:rsid w:val="007535D7"/>
    <w:rsid w:val="00753650"/>
    <w:rsid w:val="0075371B"/>
    <w:rsid w:val="00753761"/>
    <w:rsid w:val="0075379C"/>
    <w:rsid w:val="007537A2"/>
    <w:rsid w:val="007537F6"/>
    <w:rsid w:val="00753879"/>
    <w:rsid w:val="0075389D"/>
    <w:rsid w:val="00753904"/>
    <w:rsid w:val="00753905"/>
    <w:rsid w:val="00753A38"/>
    <w:rsid w:val="00753B01"/>
    <w:rsid w:val="00753BCA"/>
    <w:rsid w:val="00753C30"/>
    <w:rsid w:val="00753C67"/>
    <w:rsid w:val="00753CEC"/>
    <w:rsid w:val="00753D15"/>
    <w:rsid w:val="00753D8E"/>
    <w:rsid w:val="00753DD4"/>
    <w:rsid w:val="00753DFD"/>
    <w:rsid w:val="00753E1B"/>
    <w:rsid w:val="00753E3D"/>
    <w:rsid w:val="00754055"/>
    <w:rsid w:val="00754132"/>
    <w:rsid w:val="0075414D"/>
    <w:rsid w:val="0075418A"/>
    <w:rsid w:val="00754353"/>
    <w:rsid w:val="00754493"/>
    <w:rsid w:val="007544E3"/>
    <w:rsid w:val="0075458E"/>
    <w:rsid w:val="0075465D"/>
    <w:rsid w:val="0075483D"/>
    <w:rsid w:val="00754878"/>
    <w:rsid w:val="00754883"/>
    <w:rsid w:val="00754938"/>
    <w:rsid w:val="00754963"/>
    <w:rsid w:val="00754C16"/>
    <w:rsid w:val="00754CE0"/>
    <w:rsid w:val="00754DED"/>
    <w:rsid w:val="00754E39"/>
    <w:rsid w:val="00754FE9"/>
    <w:rsid w:val="0075502F"/>
    <w:rsid w:val="00755107"/>
    <w:rsid w:val="00755149"/>
    <w:rsid w:val="007552AD"/>
    <w:rsid w:val="007552E3"/>
    <w:rsid w:val="00755453"/>
    <w:rsid w:val="00755638"/>
    <w:rsid w:val="007557A1"/>
    <w:rsid w:val="00755943"/>
    <w:rsid w:val="0075597F"/>
    <w:rsid w:val="007559AC"/>
    <w:rsid w:val="00755A9A"/>
    <w:rsid w:val="00755B56"/>
    <w:rsid w:val="00755D18"/>
    <w:rsid w:val="00755D9F"/>
    <w:rsid w:val="00755E0F"/>
    <w:rsid w:val="00755E22"/>
    <w:rsid w:val="00755E60"/>
    <w:rsid w:val="00755F03"/>
    <w:rsid w:val="00755F4A"/>
    <w:rsid w:val="0075628E"/>
    <w:rsid w:val="00756295"/>
    <w:rsid w:val="007565BD"/>
    <w:rsid w:val="007565D0"/>
    <w:rsid w:val="00756631"/>
    <w:rsid w:val="00756654"/>
    <w:rsid w:val="00756662"/>
    <w:rsid w:val="00756732"/>
    <w:rsid w:val="0075678D"/>
    <w:rsid w:val="0075680D"/>
    <w:rsid w:val="00756815"/>
    <w:rsid w:val="007568A8"/>
    <w:rsid w:val="007568D0"/>
    <w:rsid w:val="0075695D"/>
    <w:rsid w:val="00756972"/>
    <w:rsid w:val="007569A3"/>
    <w:rsid w:val="007569C0"/>
    <w:rsid w:val="00756A35"/>
    <w:rsid w:val="00756A7F"/>
    <w:rsid w:val="00756AAD"/>
    <w:rsid w:val="00756BEB"/>
    <w:rsid w:val="00756FD5"/>
    <w:rsid w:val="00756FF6"/>
    <w:rsid w:val="007570FD"/>
    <w:rsid w:val="00757194"/>
    <w:rsid w:val="007571F0"/>
    <w:rsid w:val="0075732D"/>
    <w:rsid w:val="0075750B"/>
    <w:rsid w:val="00757530"/>
    <w:rsid w:val="00757607"/>
    <w:rsid w:val="0075762A"/>
    <w:rsid w:val="007576DF"/>
    <w:rsid w:val="007577EB"/>
    <w:rsid w:val="007578A3"/>
    <w:rsid w:val="00757938"/>
    <w:rsid w:val="00757939"/>
    <w:rsid w:val="00757986"/>
    <w:rsid w:val="00757A9B"/>
    <w:rsid w:val="00757ABC"/>
    <w:rsid w:val="00757ADF"/>
    <w:rsid w:val="00757BF5"/>
    <w:rsid w:val="00757D8F"/>
    <w:rsid w:val="00757E91"/>
    <w:rsid w:val="00757EA2"/>
    <w:rsid w:val="00757F87"/>
    <w:rsid w:val="0076006E"/>
    <w:rsid w:val="00760074"/>
    <w:rsid w:val="007600DA"/>
    <w:rsid w:val="0076023E"/>
    <w:rsid w:val="007602BC"/>
    <w:rsid w:val="0076040D"/>
    <w:rsid w:val="00760464"/>
    <w:rsid w:val="0076046E"/>
    <w:rsid w:val="0076050D"/>
    <w:rsid w:val="00760513"/>
    <w:rsid w:val="00760521"/>
    <w:rsid w:val="0076061C"/>
    <w:rsid w:val="00760654"/>
    <w:rsid w:val="007606D7"/>
    <w:rsid w:val="007607A7"/>
    <w:rsid w:val="00760817"/>
    <w:rsid w:val="007608B2"/>
    <w:rsid w:val="0076093C"/>
    <w:rsid w:val="007609DD"/>
    <w:rsid w:val="007609E1"/>
    <w:rsid w:val="00760A9D"/>
    <w:rsid w:val="00760B36"/>
    <w:rsid w:val="00760B3E"/>
    <w:rsid w:val="00760B89"/>
    <w:rsid w:val="00760BA1"/>
    <w:rsid w:val="00760BFA"/>
    <w:rsid w:val="00760C82"/>
    <w:rsid w:val="00760CDF"/>
    <w:rsid w:val="00760D69"/>
    <w:rsid w:val="00760E54"/>
    <w:rsid w:val="00760FDD"/>
    <w:rsid w:val="007610B5"/>
    <w:rsid w:val="007611F8"/>
    <w:rsid w:val="0076133A"/>
    <w:rsid w:val="0076135E"/>
    <w:rsid w:val="00761461"/>
    <w:rsid w:val="0076146A"/>
    <w:rsid w:val="007615B8"/>
    <w:rsid w:val="007615E9"/>
    <w:rsid w:val="00761617"/>
    <w:rsid w:val="00761725"/>
    <w:rsid w:val="007617E0"/>
    <w:rsid w:val="0076187A"/>
    <w:rsid w:val="007618F0"/>
    <w:rsid w:val="00761A65"/>
    <w:rsid w:val="00761B3F"/>
    <w:rsid w:val="00761CA2"/>
    <w:rsid w:val="00761CA6"/>
    <w:rsid w:val="00761E59"/>
    <w:rsid w:val="00761E5B"/>
    <w:rsid w:val="00761EB2"/>
    <w:rsid w:val="00761F7C"/>
    <w:rsid w:val="00762010"/>
    <w:rsid w:val="0076223A"/>
    <w:rsid w:val="007622F0"/>
    <w:rsid w:val="007622FD"/>
    <w:rsid w:val="00762383"/>
    <w:rsid w:val="0076238A"/>
    <w:rsid w:val="00762421"/>
    <w:rsid w:val="0076251B"/>
    <w:rsid w:val="007625DC"/>
    <w:rsid w:val="0076260D"/>
    <w:rsid w:val="00762716"/>
    <w:rsid w:val="007627B8"/>
    <w:rsid w:val="007627C5"/>
    <w:rsid w:val="007627F2"/>
    <w:rsid w:val="00762813"/>
    <w:rsid w:val="0076295F"/>
    <w:rsid w:val="007629FD"/>
    <w:rsid w:val="00762A1B"/>
    <w:rsid w:val="00762B6A"/>
    <w:rsid w:val="00762B6E"/>
    <w:rsid w:val="00762C17"/>
    <w:rsid w:val="00762C37"/>
    <w:rsid w:val="00762C5D"/>
    <w:rsid w:val="00762DA2"/>
    <w:rsid w:val="00762E7A"/>
    <w:rsid w:val="00762F7D"/>
    <w:rsid w:val="00762FE9"/>
    <w:rsid w:val="00763052"/>
    <w:rsid w:val="0076317C"/>
    <w:rsid w:val="00763263"/>
    <w:rsid w:val="007632D5"/>
    <w:rsid w:val="0076337C"/>
    <w:rsid w:val="007633B1"/>
    <w:rsid w:val="00763450"/>
    <w:rsid w:val="007634D3"/>
    <w:rsid w:val="007634DD"/>
    <w:rsid w:val="00763595"/>
    <w:rsid w:val="00763596"/>
    <w:rsid w:val="007636DF"/>
    <w:rsid w:val="007636FA"/>
    <w:rsid w:val="00763748"/>
    <w:rsid w:val="0076377E"/>
    <w:rsid w:val="00763885"/>
    <w:rsid w:val="00763B0D"/>
    <w:rsid w:val="00763B16"/>
    <w:rsid w:val="00763B77"/>
    <w:rsid w:val="00763BCC"/>
    <w:rsid w:val="00763BD5"/>
    <w:rsid w:val="00763D32"/>
    <w:rsid w:val="00763E89"/>
    <w:rsid w:val="00763F40"/>
    <w:rsid w:val="00764014"/>
    <w:rsid w:val="00764063"/>
    <w:rsid w:val="0076415A"/>
    <w:rsid w:val="00764201"/>
    <w:rsid w:val="00764227"/>
    <w:rsid w:val="00764342"/>
    <w:rsid w:val="007643D6"/>
    <w:rsid w:val="00764409"/>
    <w:rsid w:val="00764467"/>
    <w:rsid w:val="007644A5"/>
    <w:rsid w:val="00764589"/>
    <w:rsid w:val="0076458F"/>
    <w:rsid w:val="0076467B"/>
    <w:rsid w:val="00764692"/>
    <w:rsid w:val="007646A0"/>
    <w:rsid w:val="007646C9"/>
    <w:rsid w:val="0076471B"/>
    <w:rsid w:val="007648D1"/>
    <w:rsid w:val="00764957"/>
    <w:rsid w:val="00764975"/>
    <w:rsid w:val="007649E5"/>
    <w:rsid w:val="00764B97"/>
    <w:rsid w:val="00764BD0"/>
    <w:rsid w:val="00764BEE"/>
    <w:rsid w:val="00764D27"/>
    <w:rsid w:val="00764D41"/>
    <w:rsid w:val="00764DB0"/>
    <w:rsid w:val="00764E0D"/>
    <w:rsid w:val="00764E35"/>
    <w:rsid w:val="00764FDD"/>
    <w:rsid w:val="007650A4"/>
    <w:rsid w:val="007650CD"/>
    <w:rsid w:val="0076517B"/>
    <w:rsid w:val="00765186"/>
    <w:rsid w:val="00765306"/>
    <w:rsid w:val="007657EC"/>
    <w:rsid w:val="007658EB"/>
    <w:rsid w:val="00765921"/>
    <w:rsid w:val="007659CE"/>
    <w:rsid w:val="00765A10"/>
    <w:rsid w:val="00765A15"/>
    <w:rsid w:val="00765A33"/>
    <w:rsid w:val="00765BDD"/>
    <w:rsid w:val="00765C2A"/>
    <w:rsid w:val="00765D72"/>
    <w:rsid w:val="00765D88"/>
    <w:rsid w:val="00765DAA"/>
    <w:rsid w:val="00765E32"/>
    <w:rsid w:val="00765ECE"/>
    <w:rsid w:val="00765F57"/>
    <w:rsid w:val="00766021"/>
    <w:rsid w:val="007660D6"/>
    <w:rsid w:val="00766141"/>
    <w:rsid w:val="00766242"/>
    <w:rsid w:val="007662F9"/>
    <w:rsid w:val="007663E9"/>
    <w:rsid w:val="00766404"/>
    <w:rsid w:val="0076659C"/>
    <w:rsid w:val="007665C6"/>
    <w:rsid w:val="00766628"/>
    <w:rsid w:val="007666C6"/>
    <w:rsid w:val="007666CE"/>
    <w:rsid w:val="007667DA"/>
    <w:rsid w:val="007667DD"/>
    <w:rsid w:val="0076682E"/>
    <w:rsid w:val="007668A0"/>
    <w:rsid w:val="007668A5"/>
    <w:rsid w:val="007668DE"/>
    <w:rsid w:val="007669C2"/>
    <w:rsid w:val="007669E2"/>
    <w:rsid w:val="00766A43"/>
    <w:rsid w:val="00766A4F"/>
    <w:rsid w:val="00766ADF"/>
    <w:rsid w:val="00766B18"/>
    <w:rsid w:val="00766C17"/>
    <w:rsid w:val="00766C72"/>
    <w:rsid w:val="00766CF6"/>
    <w:rsid w:val="00766D16"/>
    <w:rsid w:val="00766EE5"/>
    <w:rsid w:val="00766EF8"/>
    <w:rsid w:val="0076702C"/>
    <w:rsid w:val="0076704A"/>
    <w:rsid w:val="00767156"/>
    <w:rsid w:val="00767239"/>
    <w:rsid w:val="00767242"/>
    <w:rsid w:val="0076726A"/>
    <w:rsid w:val="007672C3"/>
    <w:rsid w:val="007672EF"/>
    <w:rsid w:val="0076747C"/>
    <w:rsid w:val="007674C1"/>
    <w:rsid w:val="007675D5"/>
    <w:rsid w:val="00767609"/>
    <w:rsid w:val="00767722"/>
    <w:rsid w:val="007677C6"/>
    <w:rsid w:val="00767934"/>
    <w:rsid w:val="00767947"/>
    <w:rsid w:val="00767973"/>
    <w:rsid w:val="007679CC"/>
    <w:rsid w:val="007679E6"/>
    <w:rsid w:val="00767A11"/>
    <w:rsid w:val="00767A65"/>
    <w:rsid w:val="00767A98"/>
    <w:rsid w:val="00767B12"/>
    <w:rsid w:val="00767C80"/>
    <w:rsid w:val="00767D9D"/>
    <w:rsid w:val="00767F6C"/>
    <w:rsid w:val="00767F7D"/>
    <w:rsid w:val="0077001C"/>
    <w:rsid w:val="00770126"/>
    <w:rsid w:val="00770149"/>
    <w:rsid w:val="0077036C"/>
    <w:rsid w:val="0077046E"/>
    <w:rsid w:val="0077049A"/>
    <w:rsid w:val="007704E8"/>
    <w:rsid w:val="0077058D"/>
    <w:rsid w:val="00770621"/>
    <w:rsid w:val="007706A8"/>
    <w:rsid w:val="00770707"/>
    <w:rsid w:val="0077077B"/>
    <w:rsid w:val="007709B8"/>
    <w:rsid w:val="00770A73"/>
    <w:rsid w:val="00770B26"/>
    <w:rsid w:val="00770B45"/>
    <w:rsid w:val="00770BE6"/>
    <w:rsid w:val="00770C50"/>
    <w:rsid w:val="00770D2F"/>
    <w:rsid w:val="00770DEC"/>
    <w:rsid w:val="00770E22"/>
    <w:rsid w:val="00770E68"/>
    <w:rsid w:val="00770EE6"/>
    <w:rsid w:val="00771023"/>
    <w:rsid w:val="007710CC"/>
    <w:rsid w:val="0077119E"/>
    <w:rsid w:val="007712BF"/>
    <w:rsid w:val="007713A4"/>
    <w:rsid w:val="00771431"/>
    <w:rsid w:val="0077148C"/>
    <w:rsid w:val="007714BD"/>
    <w:rsid w:val="007714D2"/>
    <w:rsid w:val="0077156F"/>
    <w:rsid w:val="00771651"/>
    <w:rsid w:val="00771739"/>
    <w:rsid w:val="00771762"/>
    <w:rsid w:val="0077178B"/>
    <w:rsid w:val="00771812"/>
    <w:rsid w:val="00771846"/>
    <w:rsid w:val="00771856"/>
    <w:rsid w:val="00771899"/>
    <w:rsid w:val="0077190E"/>
    <w:rsid w:val="0077192C"/>
    <w:rsid w:val="0077192D"/>
    <w:rsid w:val="00771951"/>
    <w:rsid w:val="007719EB"/>
    <w:rsid w:val="00771AAA"/>
    <w:rsid w:val="00771BB3"/>
    <w:rsid w:val="00771BE4"/>
    <w:rsid w:val="00771CAA"/>
    <w:rsid w:val="00771D2B"/>
    <w:rsid w:val="00771D5B"/>
    <w:rsid w:val="00771EEE"/>
    <w:rsid w:val="00772124"/>
    <w:rsid w:val="00772212"/>
    <w:rsid w:val="00772276"/>
    <w:rsid w:val="00772314"/>
    <w:rsid w:val="00772400"/>
    <w:rsid w:val="00772491"/>
    <w:rsid w:val="00772511"/>
    <w:rsid w:val="00772698"/>
    <w:rsid w:val="00772829"/>
    <w:rsid w:val="00772878"/>
    <w:rsid w:val="0077287F"/>
    <w:rsid w:val="007728E8"/>
    <w:rsid w:val="00772975"/>
    <w:rsid w:val="00772A18"/>
    <w:rsid w:val="00772AC0"/>
    <w:rsid w:val="00772C28"/>
    <w:rsid w:val="00772C7B"/>
    <w:rsid w:val="00772C9D"/>
    <w:rsid w:val="00772D4D"/>
    <w:rsid w:val="00772E55"/>
    <w:rsid w:val="00772FBB"/>
    <w:rsid w:val="0077302E"/>
    <w:rsid w:val="007730F9"/>
    <w:rsid w:val="007731DD"/>
    <w:rsid w:val="007731FF"/>
    <w:rsid w:val="0077325F"/>
    <w:rsid w:val="0077326D"/>
    <w:rsid w:val="00773296"/>
    <w:rsid w:val="00773300"/>
    <w:rsid w:val="00773330"/>
    <w:rsid w:val="00773480"/>
    <w:rsid w:val="007734CC"/>
    <w:rsid w:val="0077356A"/>
    <w:rsid w:val="00773660"/>
    <w:rsid w:val="0077366F"/>
    <w:rsid w:val="0077368F"/>
    <w:rsid w:val="00773692"/>
    <w:rsid w:val="007736E9"/>
    <w:rsid w:val="00773719"/>
    <w:rsid w:val="0077375E"/>
    <w:rsid w:val="0077380D"/>
    <w:rsid w:val="00773839"/>
    <w:rsid w:val="0077388B"/>
    <w:rsid w:val="007738CA"/>
    <w:rsid w:val="007738FF"/>
    <w:rsid w:val="00773922"/>
    <w:rsid w:val="007739C7"/>
    <w:rsid w:val="00773B96"/>
    <w:rsid w:val="00773C16"/>
    <w:rsid w:val="00773C57"/>
    <w:rsid w:val="00773CF2"/>
    <w:rsid w:val="00773D12"/>
    <w:rsid w:val="00773E00"/>
    <w:rsid w:val="00773E55"/>
    <w:rsid w:val="00773FCB"/>
    <w:rsid w:val="0077400B"/>
    <w:rsid w:val="00774041"/>
    <w:rsid w:val="007740B2"/>
    <w:rsid w:val="0077415C"/>
    <w:rsid w:val="007741ED"/>
    <w:rsid w:val="0077426C"/>
    <w:rsid w:val="007742A4"/>
    <w:rsid w:val="00774381"/>
    <w:rsid w:val="007743BA"/>
    <w:rsid w:val="00774458"/>
    <w:rsid w:val="00774477"/>
    <w:rsid w:val="007746C2"/>
    <w:rsid w:val="00774737"/>
    <w:rsid w:val="0077475C"/>
    <w:rsid w:val="007748BF"/>
    <w:rsid w:val="007749DB"/>
    <w:rsid w:val="00774A16"/>
    <w:rsid w:val="00774A31"/>
    <w:rsid w:val="00774A38"/>
    <w:rsid w:val="00774A53"/>
    <w:rsid w:val="00774AB4"/>
    <w:rsid w:val="00774ABC"/>
    <w:rsid w:val="00774BE6"/>
    <w:rsid w:val="00774C1A"/>
    <w:rsid w:val="00774CA1"/>
    <w:rsid w:val="00774DD3"/>
    <w:rsid w:val="00774EDB"/>
    <w:rsid w:val="00774F3D"/>
    <w:rsid w:val="00774F8C"/>
    <w:rsid w:val="00775033"/>
    <w:rsid w:val="0077506C"/>
    <w:rsid w:val="00775113"/>
    <w:rsid w:val="00775191"/>
    <w:rsid w:val="007753F1"/>
    <w:rsid w:val="007754EC"/>
    <w:rsid w:val="007755D9"/>
    <w:rsid w:val="0077565E"/>
    <w:rsid w:val="00775671"/>
    <w:rsid w:val="007756CA"/>
    <w:rsid w:val="007756E7"/>
    <w:rsid w:val="00775A4B"/>
    <w:rsid w:val="00775A5A"/>
    <w:rsid w:val="00775AE9"/>
    <w:rsid w:val="00775B4F"/>
    <w:rsid w:val="00775BD6"/>
    <w:rsid w:val="00775D0E"/>
    <w:rsid w:val="00775D87"/>
    <w:rsid w:val="00775E73"/>
    <w:rsid w:val="00775EEA"/>
    <w:rsid w:val="00775FA2"/>
    <w:rsid w:val="00776022"/>
    <w:rsid w:val="007760B8"/>
    <w:rsid w:val="007760DD"/>
    <w:rsid w:val="007761A0"/>
    <w:rsid w:val="0077628F"/>
    <w:rsid w:val="007763F8"/>
    <w:rsid w:val="0077649C"/>
    <w:rsid w:val="007764B9"/>
    <w:rsid w:val="0077658B"/>
    <w:rsid w:val="0077667F"/>
    <w:rsid w:val="00776712"/>
    <w:rsid w:val="00776798"/>
    <w:rsid w:val="007767A1"/>
    <w:rsid w:val="007767C0"/>
    <w:rsid w:val="0077681C"/>
    <w:rsid w:val="00776880"/>
    <w:rsid w:val="00776889"/>
    <w:rsid w:val="007768BA"/>
    <w:rsid w:val="00776921"/>
    <w:rsid w:val="00776A53"/>
    <w:rsid w:val="00776AAB"/>
    <w:rsid w:val="00776AB3"/>
    <w:rsid w:val="00776CB9"/>
    <w:rsid w:val="00776D06"/>
    <w:rsid w:val="00776D80"/>
    <w:rsid w:val="00776DB9"/>
    <w:rsid w:val="00776DC9"/>
    <w:rsid w:val="00776E2E"/>
    <w:rsid w:val="00776E33"/>
    <w:rsid w:val="00776E40"/>
    <w:rsid w:val="00776ECC"/>
    <w:rsid w:val="00776FCC"/>
    <w:rsid w:val="00776FFB"/>
    <w:rsid w:val="0077704B"/>
    <w:rsid w:val="007770A6"/>
    <w:rsid w:val="007770C2"/>
    <w:rsid w:val="00777139"/>
    <w:rsid w:val="0077721E"/>
    <w:rsid w:val="00777249"/>
    <w:rsid w:val="00777429"/>
    <w:rsid w:val="007777CD"/>
    <w:rsid w:val="00777848"/>
    <w:rsid w:val="00777893"/>
    <w:rsid w:val="00777928"/>
    <w:rsid w:val="00777951"/>
    <w:rsid w:val="00777964"/>
    <w:rsid w:val="007779B4"/>
    <w:rsid w:val="00777A21"/>
    <w:rsid w:val="00777A7A"/>
    <w:rsid w:val="00777AFE"/>
    <w:rsid w:val="00777BD6"/>
    <w:rsid w:val="00777C39"/>
    <w:rsid w:val="00777C82"/>
    <w:rsid w:val="00777CF9"/>
    <w:rsid w:val="00777D19"/>
    <w:rsid w:val="00777E38"/>
    <w:rsid w:val="00777FA6"/>
    <w:rsid w:val="0078009F"/>
    <w:rsid w:val="007800B7"/>
    <w:rsid w:val="0078010A"/>
    <w:rsid w:val="0078022F"/>
    <w:rsid w:val="0078034E"/>
    <w:rsid w:val="00780364"/>
    <w:rsid w:val="007803AB"/>
    <w:rsid w:val="0078041A"/>
    <w:rsid w:val="0078049F"/>
    <w:rsid w:val="00780549"/>
    <w:rsid w:val="0078056C"/>
    <w:rsid w:val="00780660"/>
    <w:rsid w:val="00780675"/>
    <w:rsid w:val="00780677"/>
    <w:rsid w:val="00780765"/>
    <w:rsid w:val="007807CB"/>
    <w:rsid w:val="007807F5"/>
    <w:rsid w:val="00780801"/>
    <w:rsid w:val="0078090F"/>
    <w:rsid w:val="0078099E"/>
    <w:rsid w:val="00780A8D"/>
    <w:rsid w:val="00780BA2"/>
    <w:rsid w:val="00780BD0"/>
    <w:rsid w:val="00780CEB"/>
    <w:rsid w:val="00780D16"/>
    <w:rsid w:val="00780FF3"/>
    <w:rsid w:val="0078108E"/>
    <w:rsid w:val="007810EB"/>
    <w:rsid w:val="007810FC"/>
    <w:rsid w:val="0078117A"/>
    <w:rsid w:val="00781192"/>
    <w:rsid w:val="007811D5"/>
    <w:rsid w:val="00781295"/>
    <w:rsid w:val="0078130E"/>
    <w:rsid w:val="00781489"/>
    <w:rsid w:val="007814A9"/>
    <w:rsid w:val="0078154F"/>
    <w:rsid w:val="007815D5"/>
    <w:rsid w:val="007815E3"/>
    <w:rsid w:val="00781816"/>
    <w:rsid w:val="00781842"/>
    <w:rsid w:val="0078198B"/>
    <w:rsid w:val="007819BD"/>
    <w:rsid w:val="00781C05"/>
    <w:rsid w:val="00781C22"/>
    <w:rsid w:val="00781C49"/>
    <w:rsid w:val="00781D9D"/>
    <w:rsid w:val="00781EF2"/>
    <w:rsid w:val="00781F02"/>
    <w:rsid w:val="00781F5F"/>
    <w:rsid w:val="007820CA"/>
    <w:rsid w:val="0078218A"/>
    <w:rsid w:val="00782195"/>
    <w:rsid w:val="00782221"/>
    <w:rsid w:val="00782224"/>
    <w:rsid w:val="007822A9"/>
    <w:rsid w:val="0078235B"/>
    <w:rsid w:val="00782367"/>
    <w:rsid w:val="00782421"/>
    <w:rsid w:val="00782603"/>
    <w:rsid w:val="00782643"/>
    <w:rsid w:val="0078282E"/>
    <w:rsid w:val="007828B9"/>
    <w:rsid w:val="00782AA7"/>
    <w:rsid w:val="00782B6C"/>
    <w:rsid w:val="00782C77"/>
    <w:rsid w:val="00782CE4"/>
    <w:rsid w:val="00782E5D"/>
    <w:rsid w:val="00782F1E"/>
    <w:rsid w:val="00782F22"/>
    <w:rsid w:val="00782F4A"/>
    <w:rsid w:val="00782F57"/>
    <w:rsid w:val="007830CF"/>
    <w:rsid w:val="0078318A"/>
    <w:rsid w:val="007831BD"/>
    <w:rsid w:val="007831F8"/>
    <w:rsid w:val="00783223"/>
    <w:rsid w:val="007832CC"/>
    <w:rsid w:val="007832CD"/>
    <w:rsid w:val="00783335"/>
    <w:rsid w:val="00783426"/>
    <w:rsid w:val="00783486"/>
    <w:rsid w:val="0078357C"/>
    <w:rsid w:val="0078358A"/>
    <w:rsid w:val="007836D4"/>
    <w:rsid w:val="00783773"/>
    <w:rsid w:val="007837AD"/>
    <w:rsid w:val="0078387B"/>
    <w:rsid w:val="00783A1D"/>
    <w:rsid w:val="00783A3C"/>
    <w:rsid w:val="00783A75"/>
    <w:rsid w:val="00783A7D"/>
    <w:rsid w:val="00783A8B"/>
    <w:rsid w:val="00783B86"/>
    <w:rsid w:val="00783D57"/>
    <w:rsid w:val="00783D74"/>
    <w:rsid w:val="00783D96"/>
    <w:rsid w:val="00783DAE"/>
    <w:rsid w:val="00783DCE"/>
    <w:rsid w:val="00783E23"/>
    <w:rsid w:val="00783E6F"/>
    <w:rsid w:val="00783E9A"/>
    <w:rsid w:val="00783EC7"/>
    <w:rsid w:val="00783ED8"/>
    <w:rsid w:val="00783EEB"/>
    <w:rsid w:val="007840C5"/>
    <w:rsid w:val="007841F9"/>
    <w:rsid w:val="00784249"/>
    <w:rsid w:val="00784252"/>
    <w:rsid w:val="0078432E"/>
    <w:rsid w:val="0078439B"/>
    <w:rsid w:val="007843BE"/>
    <w:rsid w:val="007843E8"/>
    <w:rsid w:val="0078442A"/>
    <w:rsid w:val="00784468"/>
    <w:rsid w:val="00784683"/>
    <w:rsid w:val="00784776"/>
    <w:rsid w:val="00784781"/>
    <w:rsid w:val="00784787"/>
    <w:rsid w:val="007847E8"/>
    <w:rsid w:val="00784832"/>
    <w:rsid w:val="0078483B"/>
    <w:rsid w:val="00784A74"/>
    <w:rsid w:val="00784AD6"/>
    <w:rsid w:val="00784AE5"/>
    <w:rsid w:val="00784B0C"/>
    <w:rsid w:val="00784B7E"/>
    <w:rsid w:val="00784B90"/>
    <w:rsid w:val="00784BC8"/>
    <w:rsid w:val="00784C6D"/>
    <w:rsid w:val="00784CB5"/>
    <w:rsid w:val="00784CBC"/>
    <w:rsid w:val="00784DCC"/>
    <w:rsid w:val="00784E0F"/>
    <w:rsid w:val="00784E82"/>
    <w:rsid w:val="00784E8D"/>
    <w:rsid w:val="00784EA0"/>
    <w:rsid w:val="00784ECC"/>
    <w:rsid w:val="00784ECF"/>
    <w:rsid w:val="00784F48"/>
    <w:rsid w:val="00784FA6"/>
    <w:rsid w:val="0078519A"/>
    <w:rsid w:val="007851F3"/>
    <w:rsid w:val="007852D4"/>
    <w:rsid w:val="007852E9"/>
    <w:rsid w:val="00785324"/>
    <w:rsid w:val="00785372"/>
    <w:rsid w:val="007853CC"/>
    <w:rsid w:val="0078547B"/>
    <w:rsid w:val="00785677"/>
    <w:rsid w:val="00785737"/>
    <w:rsid w:val="0078575C"/>
    <w:rsid w:val="0078594C"/>
    <w:rsid w:val="00785A27"/>
    <w:rsid w:val="00785A87"/>
    <w:rsid w:val="00785AFF"/>
    <w:rsid w:val="00785D59"/>
    <w:rsid w:val="00785E20"/>
    <w:rsid w:val="00785E68"/>
    <w:rsid w:val="00785F09"/>
    <w:rsid w:val="007860E3"/>
    <w:rsid w:val="00786314"/>
    <w:rsid w:val="00786443"/>
    <w:rsid w:val="0078656B"/>
    <w:rsid w:val="007865D8"/>
    <w:rsid w:val="0078667A"/>
    <w:rsid w:val="007866AF"/>
    <w:rsid w:val="0078671B"/>
    <w:rsid w:val="00786741"/>
    <w:rsid w:val="00786754"/>
    <w:rsid w:val="007868CA"/>
    <w:rsid w:val="00786907"/>
    <w:rsid w:val="00786A53"/>
    <w:rsid w:val="00786A57"/>
    <w:rsid w:val="00786C29"/>
    <w:rsid w:val="00786C51"/>
    <w:rsid w:val="00786C61"/>
    <w:rsid w:val="00786C66"/>
    <w:rsid w:val="00786C95"/>
    <w:rsid w:val="00786D03"/>
    <w:rsid w:val="00786D11"/>
    <w:rsid w:val="00786EEB"/>
    <w:rsid w:val="00786F5F"/>
    <w:rsid w:val="007870E9"/>
    <w:rsid w:val="00787141"/>
    <w:rsid w:val="0078715A"/>
    <w:rsid w:val="007871B1"/>
    <w:rsid w:val="0078726A"/>
    <w:rsid w:val="00787393"/>
    <w:rsid w:val="00787463"/>
    <w:rsid w:val="007876EF"/>
    <w:rsid w:val="0078773F"/>
    <w:rsid w:val="00787744"/>
    <w:rsid w:val="0078774A"/>
    <w:rsid w:val="00787795"/>
    <w:rsid w:val="007877AA"/>
    <w:rsid w:val="00787890"/>
    <w:rsid w:val="007878A8"/>
    <w:rsid w:val="007878BB"/>
    <w:rsid w:val="00787964"/>
    <w:rsid w:val="00787A81"/>
    <w:rsid w:val="00787D9D"/>
    <w:rsid w:val="00787E19"/>
    <w:rsid w:val="00787E42"/>
    <w:rsid w:val="00787E65"/>
    <w:rsid w:val="00787EB2"/>
    <w:rsid w:val="00787EDF"/>
    <w:rsid w:val="00787F59"/>
    <w:rsid w:val="0079005D"/>
    <w:rsid w:val="007900CF"/>
    <w:rsid w:val="007900EB"/>
    <w:rsid w:val="007901BC"/>
    <w:rsid w:val="007901E1"/>
    <w:rsid w:val="00790260"/>
    <w:rsid w:val="00790263"/>
    <w:rsid w:val="00790428"/>
    <w:rsid w:val="007904D2"/>
    <w:rsid w:val="00790584"/>
    <w:rsid w:val="007905F9"/>
    <w:rsid w:val="00790639"/>
    <w:rsid w:val="007906B6"/>
    <w:rsid w:val="00790746"/>
    <w:rsid w:val="00790870"/>
    <w:rsid w:val="00790887"/>
    <w:rsid w:val="007908A7"/>
    <w:rsid w:val="007909E5"/>
    <w:rsid w:val="007909FB"/>
    <w:rsid w:val="00790B15"/>
    <w:rsid w:val="00790C78"/>
    <w:rsid w:val="00790CC5"/>
    <w:rsid w:val="00790D21"/>
    <w:rsid w:val="00790DCD"/>
    <w:rsid w:val="00790F49"/>
    <w:rsid w:val="00790F61"/>
    <w:rsid w:val="00791061"/>
    <w:rsid w:val="007911A9"/>
    <w:rsid w:val="007911BF"/>
    <w:rsid w:val="007913D7"/>
    <w:rsid w:val="00791456"/>
    <w:rsid w:val="00791557"/>
    <w:rsid w:val="007915D1"/>
    <w:rsid w:val="0079161D"/>
    <w:rsid w:val="007916AC"/>
    <w:rsid w:val="00791734"/>
    <w:rsid w:val="00791766"/>
    <w:rsid w:val="0079185E"/>
    <w:rsid w:val="0079188E"/>
    <w:rsid w:val="0079189B"/>
    <w:rsid w:val="007919F7"/>
    <w:rsid w:val="00791AE4"/>
    <w:rsid w:val="00791B16"/>
    <w:rsid w:val="00791B40"/>
    <w:rsid w:val="00791C1F"/>
    <w:rsid w:val="00791C35"/>
    <w:rsid w:val="00791C72"/>
    <w:rsid w:val="00791D0F"/>
    <w:rsid w:val="00791E0F"/>
    <w:rsid w:val="00791E3E"/>
    <w:rsid w:val="00791E4F"/>
    <w:rsid w:val="00791E8A"/>
    <w:rsid w:val="00791EED"/>
    <w:rsid w:val="00791F79"/>
    <w:rsid w:val="00791FBB"/>
    <w:rsid w:val="00792042"/>
    <w:rsid w:val="00792193"/>
    <w:rsid w:val="007921D5"/>
    <w:rsid w:val="00792283"/>
    <w:rsid w:val="00792414"/>
    <w:rsid w:val="0079244E"/>
    <w:rsid w:val="00792543"/>
    <w:rsid w:val="007926B3"/>
    <w:rsid w:val="007926EC"/>
    <w:rsid w:val="00792862"/>
    <w:rsid w:val="00792AC1"/>
    <w:rsid w:val="00792ADE"/>
    <w:rsid w:val="00792B77"/>
    <w:rsid w:val="00792C9A"/>
    <w:rsid w:val="00792CAE"/>
    <w:rsid w:val="00792D29"/>
    <w:rsid w:val="00792E37"/>
    <w:rsid w:val="00792E4C"/>
    <w:rsid w:val="00792EDE"/>
    <w:rsid w:val="00792F91"/>
    <w:rsid w:val="007930B2"/>
    <w:rsid w:val="00793193"/>
    <w:rsid w:val="007931CB"/>
    <w:rsid w:val="00793255"/>
    <w:rsid w:val="007932AE"/>
    <w:rsid w:val="007933DF"/>
    <w:rsid w:val="007933F0"/>
    <w:rsid w:val="00793478"/>
    <w:rsid w:val="0079353C"/>
    <w:rsid w:val="0079354F"/>
    <w:rsid w:val="007935E0"/>
    <w:rsid w:val="00793620"/>
    <w:rsid w:val="007936EE"/>
    <w:rsid w:val="0079383F"/>
    <w:rsid w:val="00793854"/>
    <w:rsid w:val="00793882"/>
    <w:rsid w:val="00793962"/>
    <w:rsid w:val="007939C5"/>
    <w:rsid w:val="007939ED"/>
    <w:rsid w:val="00793A37"/>
    <w:rsid w:val="00793A4F"/>
    <w:rsid w:val="00793A54"/>
    <w:rsid w:val="00793A73"/>
    <w:rsid w:val="00793ACE"/>
    <w:rsid w:val="00793B4F"/>
    <w:rsid w:val="00793B72"/>
    <w:rsid w:val="00793C45"/>
    <w:rsid w:val="00793C96"/>
    <w:rsid w:val="00793CF2"/>
    <w:rsid w:val="00793CF9"/>
    <w:rsid w:val="00793D44"/>
    <w:rsid w:val="00793DB3"/>
    <w:rsid w:val="00793DF1"/>
    <w:rsid w:val="00793E3E"/>
    <w:rsid w:val="00794111"/>
    <w:rsid w:val="00794157"/>
    <w:rsid w:val="007941A5"/>
    <w:rsid w:val="0079422E"/>
    <w:rsid w:val="007942C7"/>
    <w:rsid w:val="00794425"/>
    <w:rsid w:val="0079442E"/>
    <w:rsid w:val="007945EB"/>
    <w:rsid w:val="00794610"/>
    <w:rsid w:val="00794640"/>
    <w:rsid w:val="00794662"/>
    <w:rsid w:val="00794706"/>
    <w:rsid w:val="00794729"/>
    <w:rsid w:val="0079472C"/>
    <w:rsid w:val="007947AF"/>
    <w:rsid w:val="0079484E"/>
    <w:rsid w:val="0079498A"/>
    <w:rsid w:val="00794A1C"/>
    <w:rsid w:val="00794A63"/>
    <w:rsid w:val="00794A66"/>
    <w:rsid w:val="00794B5F"/>
    <w:rsid w:val="00794B9F"/>
    <w:rsid w:val="00794BC4"/>
    <w:rsid w:val="00794BCE"/>
    <w:rsid w:val="00794C02"/>
    <w:rsid w:val="00794C6E"/>
    <w:rsid w:val="00794C8D"/>
    <w:rsid w:val="00794DBC"/>
    <w:rsid w:val="00794E8A"/>
    <w:rsid w:val="00794F37"/>
    <w:rsid w:val="00794F78"/>
    <w:rsid w:val="00795086"/>
    <w:rsid w:val="007951BC"/>
    <w:rsid w:val="007951D4"/>
    <w:rsid w:val="00795221"/>
    <w:rsid w:val="007952BA"/>
    <w:rsid w:val="007952BC"/>
    <w:rsid w:val="0079531B"/>
    <w:rsid w:val="0079533C"/>
    <w:rsid w:val="0079536F"/>
    <w:rsid w:val="007953C0"/>
    <w:rsid w:val="00795406"/>
    <w:rsid w:val="00795427"/>
    <w:rsid w:val="007955E2"/>
    <w:rsid w:val="0079576A"/>
    <w:rsid w:val="00795849"/>
    <w:rsid w:val="00795882"/>
    <w:rsid w:val="00795A07"/>
    <w:rsid w:val="00795A2B"/>
    <w:rsid w:val="00795ADF"/>
    <w:rsid w:val="00795AE2"/>
    <w:rsid w:val="00795AF6"/>
    <w:rsid w:val="00795C3C"/>
    <w:rsid w:val="00795C44"/>
    <w:rsid w:val="00795D05"/>
    <w:rsid w:val="00795E0D"/>
    <w:rsid w:val="00795F0F"/>
    <w:rsid w:val="00795F22"/>
    <w:rsid w:val="00795F2C"/>
    <w:rsid w:val="00795F9D"/>
    <w:rsid w:val="00795FA5"/>
    <w:rsid w:val="00796287"/>
    <w:rsid w:val="0079629F"/>
    <w:rsid w:val="0079639B"/>
    <w:rsid w:val="007966B7"/>
    <w:rsid w:val="0079677F"/>
    <w:rsid w:val="0079680A"/>
    <w:rsid w:val="00796862"/>
    <w:rsid w:val="00796A60"/>
    <w:rsid w:val="00796AEC"/>
    <w:rsid w:val="00796B62"/>
    <w:rsid w:val="00796C58"/>
    <w:rsid w:val="00796CD1"/>
    <w:rsid w:val="00796CDD"/>
    <w:rsid w:val="00796D62"/>
    <w:rsid w:val="00796D78"/>
    <w:rsid w:val="00796F20"/>
    <w:rsid w:val="00796F51"/>
    <w:rsid w:val="00797031"/>
    <w:rsid w:val="00797087"/>
    <w:rsid w:val="00797129"/>
    <w:rsid w:val="00797182"/>
    <w:rsid w:val="0079720F"/>
    <w:rsid w:val="0079739D"/>
    <w:rsid w:val="007973DA"/>
    <w:rsid w:val="00797450"/>
    <w:rsid w:val="007974E7"/>
    <w:rsid w:val="00797679"/>
    <w:rsid w:val="007976B4"/>
    <w:rsid w:val="007976BF"/>
    <w:rsid w:val="00797807"/>
    <w:rsid w:val="007978CB"/>
    <w:rsid w:val="00797A3F"/>
    <w:rsid w:val="00797A80"/>
    <w:rsid w:val="00797B32"/>
    <w:rsid w:val="00797B8A"/>
    <w:rsid w:val="00797BFC"/>
    <w:rsid w:val="00797C24"/>
    <w:rsid w:val="00797C46"/>
    <w:rsid w:val="00797C60"/>
    <w:rsid w:val="00797C94"/>
    <w:rsid w:val="00797D4F"/>
    <w:rsid w:val="007A008B"/>
    <w:rsid w:val="007A0143"/>
    <w:rsid w:val="007A017D"/>
    <w:rsid w:val="007A01FD"/>
    <w:rsid w:val="007A032A"/>
    <w:rsid w:val="007A0413"/>
    <w:rsid w:val="007A05E8"/>
    <w:rsid w:val="007A065B"/>
    <w:rsid w:val="007A06C0"/>
    <w:rsid w:val="007A076A"/>
    <w:rsid w:val="007A07EB"/>
    <w:rsid w:val="007A0967"/>
    <w:rsid w:val="007A09F0"/>
    <w:rsid w:val="007A0A9D"/>
    <w:rsid w:val="007A0ABE"/>
    <w:rsid w:val="007A0ADC"/>
    <w:rsid w:val="007A0B73"/>
    <w:rsid w:val="007A0B9F"/>
    <w:rsid w:val="007A0C52"/>
    <w:rsid w:val="007A0CA9"/>
    <w:rsid w:val="007A0E40"/>
    <w:rsid w:val="007A0EA5"/>
    <w:rsid w:val="007A0EE8"/>
    <w:rsid w:val="007A0F9E"/>
    <w:rsid w:val="007A1129"/>
    <w:rsid w:val="007A1131"/>
    <w:rsid w:val="007A1206"/>
    <w:rsid w:val="007A1214"/>
    <w:rsid w:val="007A121F"/>
    <w:rsid w:val="007A134F"/>
    <w:rsid w:val="007A1477"/>
    <w:rsid w:val="007A1493"/>
    <w:rsid w:val="007A15A6"/>
    <w:rsid w:val="007A1691"/>
    <w:rsid w:val="007A16D3"/>
    <w:rsid w:val="007A16F9"/>
    <w:rsid w:val="007A1705"/>
    <w:rsid w:val="007A17A7"/>
    <w:rsid w:val="007A1831"/>
    <w:rsid w:val="007A18EF"/>
    <w:rsid w:val="007A18F6"/>
    <w:rsid w:val="007A1967"/>
    <w:rsid w:val="007A1997"/>
    <w:rsid w:val="007A19F6"/>
    <w:rsid w:val="007A1B17"/>
    <w:rsid w:val="007A1BEC"/>
    <w:rsid w:val="007A1CD5"/>
    <w:rsid w:val="007A1CDB"/>
    <w:rsid w:val="007A1CFC"/>
    <w:rsid w:val="007A1E68"/>
    <w:rsid w:val="007A1EC0"/>
    <w:rsid w:val="007A204E"/>
    <w:rsid w:val="007A207C"/>
    <w:rsid w:val="007A20D7"/>
    <w:rsid w:val="007A21BD"/>
    <w:rsid w:val="007A21C8"/>
    <w:rsid w:val="007A2214"/>
    <w:rsid w:val="007A2481"/>
    <w:rsid w:val="007A248B"/>
    <w:rsid w:val="007A24DA"/>
    <w:rsid w:val="007A2539"/>
    <w:rsid w:val="007A2581"/>
    <w:rsid w:val="007A25C2"/>
    <w:rsid w:val="007A2622"/>
    <w:rsid w:val="007A2657"/>
    <w:rsid w:val="007A265A"/>
    <w:rsid w:val="007A265B"/>
    <w:rsid w:val="007A26EA"/>
    <w:rsid w:val="007A2718"/>
    <w:rsid w:val="007A2744"/>
    <w:rsid w:val="007A2813"/>
    <w:rsid w:val="007A2998"/>
    <w:rsid w:val="007A2A0B"/>
    <w:rsid w:val="007A2A0C"/>
    <w:rsid w:val="007A2A81"/>
    <w:rsid w:val="007A2B65"/>
    <w:rsid w:val="007A2B66"/>
    <w:rsid w:val="007A2BA8"/>
    <w:rsid w:val="007A2C03"/>
    <w:rsid w:val="007A2C5C"/>
    <w:rsid w:val="007A2C5D"/>
    <w:rsid w:val="007A2CA8"/>
    <w:rsid w:val="007A2D1E"/>
    <w:rsid w:val="007A2E79"/>
    <w:rsid w:val="007A2F2E"/>
    <w:rsid w:val="007A2F56"/>
    <w:rsid w:val="007A3075"/>
    <w:rsid w:val="007A3181"/>
    <w:rsid w:val="007A3188"/>
    <w:rsid w:val="007A31E2"/>
    <w:rsid w:val="007A31E9"/>
    <w:rsid w:val="007A31FF"/>
    <w:rsid w:val="007A3361"/>
    <w:rsid w:val="007A33AA"/>
    <w:rsid w:val="007A341C"/>
    <w:rsid w:val="007A3569"/>
    <w:rsid w:val="007A3651"/>
    <w:rsid w:val="007A36B0"/>
    <w:rsid w:val="007A3812"/>
    <w:rsid w:val="007A3A1B"/>
    <w:rsid w:val="007A3A23"/>
    <w:rsid w:val="007A3A33"/>
    <w:rsid w:val="007A3AD3"/>
    <w:rsid w:val="007A3B08"/>
    <w:rsid w:val="007A3B83"/>
    <w:rsid w:val="007A3BC4"/>
    <w:rsid w:val="007A3BE8"/>
    <w:rsid w:val="007A3C06"/>
    <w:rsid w:val="007A3C4C"/>
    <w:rsid w:val="007A3C66"/>
    <w:rsid w:val="007A3D59"/>
    <w:rsid w:val="007A3E4F"/>
    <w:rsid w:val="007A3E7F"/>
    <w:rsid w:val="007A3EE2"/>
    <w:rsid w:val="007A3F79"/>
    <w:rsid w:val="007A4030"/>
    <w:rsid w:val="007A4375"/>
    <w:rsid w:val="007A43C3"/>
    <w:rsid w:val="007A4553"/>
    <w:rsid w:val="007A478B"/>
    <w:rsid w:val="007A47A7"/>
    <w:rsid w:val="007A4898"/>
    <w:rsid w:val="007A48C2"/>
    <w:rsid w:val="007A48FF"/>
    <w:rsid w:val="007A4A95"/>
    <w:rsid w:val="007A4C12"/>
    <w:rsid w:val="007A4CBC"/>
    <w:rsid w:val="007A4D7B"/>
    <w:rsid w:val="007A4DE1"/>
    <w:rsid w:val="007A4DFF"/>
    <w:rsid w:val="007A4E31"/>
    <w:rsid w:val="007A4F2B"/>
    <w:rsid w:val="007A4F93"/>
    <w:rsid w:val="007A4FA9"/>
    <w:rsid w:val="007A4FB2"/>
    <w:rsid w:val="007A5025"/>
    <w:rsid w:val="007A5267"/>
    <w:rsid w:val="007A5438"/>
    <w:rsid w:val="007A5518"/>
    <w:rsid w:val="007A55DF"/>
    <w:rsid w:val="007A5617"/>
    <w:rsid w:val="007A569A"/>
    <w:rsid w:val="007A56D9"/>
    <w:rsid w:val="007A56F3"/>
    <w:rsid w:val="007A5771"/>
    <w:rsid w:val="007A5836"/>
    <w:rsid w:val="007A5854"/>
    <w:rsid w:val="007A5856"/>
    <w:rsid w:val="007A59A5"/>
    <w:rsid w:val="007A5AEF"/>
    <w:rsid w:val="007A5B5B"/>
    <w:rsid w:val="007A5B6A"/>
    <w:rsid w:val="007A5B9C"/>
    <w:rsid w:val="007A5BCB"/>
    <w:rsid w:val="007A5C93"/>
    <w:rsid w:val="007A5E2B"/>
    <w:rsid w:val="007A5ED7"/>
    <w:rsid w:val="007A5F32"/>
    <w:rsid w:val="007A5F37"/>
    <w:rsid w:val="007A5F5D"/>
    <w:rsid w:val="007A5F5E"/>
    <w:rsid w:val="007A5F7B"/>
    <w:rsid w:val="007A5F7F"/>
    <w:rsid w:val="007A5FF9"/>
    <w:rsid w:val="007A60D5"/>
    <w:rsid w:val="007A6114"/>
    <w:rsid w:val="007A62EF"/>
    <w:rsid w:val="007A633F"/>
    <w:rsid w:val="007A634A"/>
    <w:rsid w:val="007A63A4"/>
    <w:rsid w:val="007A63E1"/>
    <w:rsid w:val="007A64B2"/>
    <w:rsid w:val="007A64D2"/>
    <w:rsid w:val="007A64FC"/>
    <w:rsid w:val="007A6585"/>
    <w:rsid w:val="007A65BE"/>
    <w:rsid w:val="007A65BF"/>
    <w:rsid w:val="007A66C6"/>
    <w:rsid w:val="007A680D"/>
    <w:rsid w:val="007A684E"/>
    <w:rsid w:val="007A6854"/>
    <w:rsid w:val="007A685A"/>
    <w:rsid w:val="007A6891"/>
    <w:rsid w:val="007A68D6"/>
    <w:rsid w:val="007A698B"/>
    <w:rsid w:val="007A69BC"/>
    <w:rsid w:val="007A6A3C"/>
    <w:rsid w:val="007A6B6B"/>
    <w:rsid w:val="007A6CB7"/>
    <w:rsid w:val="007A6CB9"/>
    <w:rsid w:val="007A6CD5"/>
    <w:rsid w:val="007A6D01"/>
    <w:rsid w:val="007A6E68"/>
    <w:rsid w:val="007A6EE1"/>
    <w:rsid w:val="007A6FDD"/>
    <w:rsid w:val="007A701D"/>
    <w:rsid w:val="007A709E"/>
    <w:rsid w:val="007A70B1"/>
    <w:rsid w:val="007A70C5"/>
    <w:rsid w:val="007A7177"/>
    <w:rsid w:val="007A71A3"/>
    <w:rsid w:val="007A73B7"/>
    <w:rsid w:val="007A73F5"/>
    <w:rsid w:val="007A7446"/>
    <w:rsid w:val="007A751E"/>
    <w:rsid w:val="007A75B4"/>
    <w:rsid w:val="007A766E"/>
    <w:rsid w:val="007A76C9"/>
    <w:rsid w:val="007A781F"/>
    <w:rsid w:val="007A78C8"/>
    <w:rsid w:val="007A7A16"/>
    <w:rsid w:val="007A7B12"/>
    <w:rsid w:val="007A7B24"/>
    <w:rsid w:val="007A7B62"/>
    <w:rsid w:val="007A7D2A"/>
    <w:rsid w:val="007A7D6A"/>
    <w:rsid w:val="007A7D70"/>
    <w:rsid w:val="007A7EDF"/>
    <w:rsid w:val="007A7F24"/>
    <w:rsid w:val="007B0043"/>
    <w:rsid w:val="007B01CF"/>
    <w:rsid w:val="007B0245"/>
    <w:rsid w:val="007B026B"/>
    <w:rsid w:val="007B02D0"/>
    <w:rsid w:val="007B0315"/>
    <w:rsid w:val="007B0325"/>
    <w:rsid w:val="007B0337"/>
    <w:rsid w:val="007B03AF"/>
    <w:rsid w:val="007B03B9"/>
    <w:rsid w:val="007B0415"/>
    <w:rsid w:val="007B0485"/>
    <w:rsid w:val="007B049C"/>
    <w:rsid w:val="007B050F"/>
    <w:rsid w:val="007B06DE"/>
    <w:rsid w:val="007B06DF"/>
    <w:rsid w:val="007B06FA"/>
    <w:rsid w:val="007B083F"/>
    <w:rsid w:val="007B084B"/>
    <w:rsid w:val="007B0880"/>
    <w:rsid w:val="007B0882"/>
    <w:rsid w:val="007B08CA"/>
    <w:rsid w:val="007B08DA"/>
    <w:rsid w:val="007B09F3"/>
    <w:rsid w:val="007B09F9"/>
    <w:rsid w:val="007B0A04"/>
    <w:rsid w:val="007B0B39"/>
    <w:rsid w:val="007B0C9E"/>
    <w:rsid w:val="007B0D01"/>
    <w:rsid w:val="007B0D3F"/>
    <w:rsid w:val="007B0DF4"/>
    <w:rsid w:val="007B0E19"/>
    <w:rsid w:val="007B0E41"/>
    <w:rsid w:val="007B0EE9"/>
    <w:rsid w:val="007B0F7D"/>
    <w:rsid w:val="007B0FD0"/>
    <w:rsid w:val="007B104C"/>
    <w:rsid w:val="007B11D6"/>
    <w:rsid w:val="007B12BF"/>
    <w:rsid w:val="007B12F5"/>
    <w:rsid w:val="007B13AB"/>
    <w:rsid w:val="007B13C4"/>
    <w:rsid w:val="007B1486"/>
    <w:rsid w:val="007B14CF"/>
    <w:rsid w:val="007B151E"/>
    <w:rsid w:val="007B1853"/>
    <w:rsid w:val="007B18E2"/>
    <w:rsid w:val="007B1910"/>
    <w:rsid w:val="007B1AA4"/>
    <w:rsid w:val="007B1AD3"/>
    <w:rsid w:val="007B1B84"/>
    <w:rsid w:val="007B1BD4"/>
    <w:rsid w:val="007B1D13"/>
    <w:rsid w:val="007B1DE2"/>
    <w:rsid w:val="007B1DEA"/>
    <w:rsid w:val="007B1E88"/>
    <w:rsid w:val="007B1F15"/>
    <w:rsid w:val="007B1FA7"/>
    <w:rsid w:val="007B2078"/>
    <w:rsid w:val="007B2085"/>
    <w:rsid w:val="007B20A9"/>
    <w:rsid w:val="007B20B0"/>
    <w:rsid w:val="007B2100"/>
    <w:rsid w:val="007B212C"/>
    <w:rsid w:val="007B2289"/>
    <w:rsid w:val="007B2328"/>
    <w:rsid w:val="007B2339"/>
    <w:rsid w:val="007B2436"/>
    <w:rsid w:val="007B247D"/>
    <w:rsid w:val="007B25B6"/>
    <w:rsid w:val="007B2611"/>
    <w:rsid w:val="007B26CF"/>
    <w:rsid w:val="007B277B"/>
    <w:rsid w:val="007B2781"/>
    <w:rsid w:val="007B27A8"/>
    <w:rsid w:val="007B294C"/>
    <w:rsid w:val="007B2A22"/>
    <w:rsid w:val="007B2AD7"/>
    <w:rsid w:val="007B2B83"/>
    <w:rsid w:val="007B2BB9"/>
    <w:rsid w:val="007B2C27"/>
    <w:rsid w:val="007B2C58"/>
    <w:rsid w:val="007B2C8C"/>
    <w:rsid w:val="007B2DBC"/>
    <w:rsid w:val="007B2E35"/>
    <w:rsid w:val="007B2E7B"/>
    <w:rsid w:val="007B2E7C"/>
    <w:rsid w:val="007B2EBC"/>
    <w:rsid w:val="007B2ED2"/>
    <w:rsid w:val="007B2F6E"/>
    <w:rsid w:val="007B2FB3"/>
    <w:rsid w:val="007B2FC7"/>
    <w:rsid w:val="007B2FDC"/>
    <w:rsid w:val="007B3012"/>
    <w:rsid w:val="007B3035"/>
    <w:rsid w:val="007B30F5"/>
    <w:rsid w:val="007B313A"/>
    <w:rsid w:val="007B31D1"/>
    <w:rsid w:val="007B325A"/>
    <w:rsid w:val="007B326C"/>
    <w:rsid w:val="007B327A"/>
    <w:rsid w:val="007B3280"/>
    <w:rsid w:val="007B34DE"/>
    <w:rsid w:val="007B3618"/>
    <w:rsid w:val="007B37CF"/>
    <w:rsid w:val="007B38A0"/>
    <w:rsid w:val="007B38A6"/>
    <w:rsid w:val="007B38B7"/>
    <w:rsid w:val="007B39D0"/>
    <w:rsid w:val="007B3B1E"/>
    <w:rsid w:val="007B3B82"/>
    <w:rsid w:val="007B3C1F"/>
    <w:rsid w:val="007B3D5F"/>
    <w:rsid w:val="007B3E91"/>
    <w:rsid w:val="007B3ED8"/>
    <w:rsid w:val="007B3F6B"/>
    <w:rsid w:val="007B3F7B"/>
    <w:rsid w:val="007B400D"/>
    <w:rsid w:val="007B4125"/>
    <w:rsid w:val="007B418A"/>
    <w:rsid w:val="007B4194"/>
    <w:rsid w:val="007B41B6"/>
    <w:rsid w:val="007B4308"/>
    <w:rsid w:val="007B431D"/>
    <w:rsid w:val="007B441D"/>
    <w:rsid w:val="007B45AD"/>
    <w:rsid w:val="007B4682"/>
    <w:rsid w:val="007B46FB"/>
    <w:rsid w:val="007B4786"/>
    <w:rsid w:val="007B47B5"/>
    <w:rsid w:val="007B4819"/>
    <w:rsid w:val="007B4852"/>
    <w:rsid w:val="007B48D1"/>
    <w:rsid w:val="007B4937"/>
    <w:rsid w:val="007B4993"/>
    <w:rsid w:val="007B49C1"/>
    <w:rsid w:val="007B4ADE"/>
    <w:rsid w:val="007B4B9C"/>
    <w:rsid w:val="007B4BB1"/>
    <w:rsid w:val="007B4BE3"/>
    <w:rsid w:val="007B4BF6"/>
    <w:rsid w:val="007B4CE2"/>
    <w:rsid w:val="007B4DA5"/>
    <w:rsid w:val="007B4DE2"/>
    <w:rsid w:val="007B4F7B"/>
    <w:rsid w:val="007B4FFC"/>
    <w:rsid w:val="007B504A"/>
    <w:rsid w:val="007B5102"/>
    <w:rsid w:val="007B5212"/>
    <w:rsid w:val="007B5364"/>
    <w:rsid w:val="007B536D"/>
    <w:rsid w:val="007B53D6"/>
    <w:rsid w:val="007B5456"/>
    <w:rsid w:val="007B5610"/>
    <w:rsid w:val="007B5627"/>
    <w:rsid w:val="007B572C"/>
    <w:rsid w:val="007B57E8"/>
    <w:rsid w:val="007B583D"/>
    <w:rsid w:val="007B5845"/>
    <w:rsid w:val="007B5959"/>
    <w:rsid w:val="007B599C"/>
    <w:rsid w:val="007B5AAA"/>
    <w:rsid w:val="007B5AEC"/>
    <w:rsid w:val="007B5BB8"/>
    <w:rsid w:val="007B5BD9"/>
    <w:rsid w:val="007B5D7A"/>
    <w:rsid w:val="007B5DB6"/>
    <w:rsid w:val="007B5DBE"/>
    <w:rsid w:val="007B5DED"/>
    <w:rsid w:val="007B5E4A"/>
    <w:rsid w:val="007B5E97"/>
    <w:rsid w:val="007B5FB8"/>
    <w:rsid w:val="007B5FBA"/>
    <w:rsid w:val="007B5FC5"/>
    <w:rsid w:val="007B5FC6"/>
    <w:rsid w:val="007B5FE0"/>
    <w:rsid w:val="007B5FFD"/>
    <w:rsid w:val="007B60AE"/>
    <w:rsid w:val="007B60B3"/>
    <w:rsid w:val="007B6123"/>
    <w:rsid w:val="007B6281"/>
    <w:rsid w:val="007B6430"/>
    <w:rsid w:val="007B64DE"/>
    <w:rsid w:val="007B657A"/>
    <w:rsid w:val="007B65DE"/>
    <w:rsid w:val="007B6604"/>
    <w:rsid w:val="007B6680"/>
    <w:rsid w:val="007B6684"/>
    <w:rsid w:val="007B66CC"/>
    <w:rsid w:val="007B66E6"/>
    <w:rsid w:val="007B686F"/>
    <w:rsid w:val="007B6888"/>
    <w:rsid w:val="007B68B4"/>
    <w:rsid w:val="007B6986"/>
    <w:rsid w:val="007B6996"/>
    <w:rsid w:val="007B69D2"/>
    <w:rsid w:val="007B69E3"/>
    <w:rsid w:val="007B6A01"/>
    <w:rsid w:val="007B6A5E"/>
    <w:rsid w:val="007B6AC5"/>
    <w:rsid w:val="007B6B21"/>
    <w:rsid w:val="007B6B9C"/>
    <w:rsid w:val="007B6BAE"/>
    <w:rsid w:val="007B6BE7"/>
    <w:rsid w:val="007B6BFE"/>
    <w:rsid w:val="007B6C2E"/>
    <w:rsid w:val="007B6C83"/>
    <w:rsid w:val="007B6C86"/>
    <w:rsid w:val="007B6DF1"/>
    <w:rsid w:val="007B6DF9"/>
    <w:rsid w:val="007B6F3B"/>
    <w:rsid w:val="007B7024"/>
    <w:rsid w:val="007B716C"/>
    <w:rsid w:val="007B723D"/>
    <w:rsid w:val="007B7252"/>
    <w:rsid w:val="007B729C"/>
    <w:rsid w:val="007B74F5"/>
    <w:rsid w:val="007B750F"/>
    <w:rsid w:val="007B75DF"/>
    <w:rsid w:val="007B77AF"/>
    <w:rsid w:val="007B7A62"/>
    <w:rsid w:val="007B7A99"/>
    <w:rsid w:val="007B7BDD"/>
    <w:rsid w:val="007B7C22"/>
    <w:rsid w:val="007B7E71"/>
    <w:rsid w:val="007B7E9F"/>
    <w:rsid w:val="007B7EF9"/>
    <w:rsid w:val="007B7F26"/>
    <w:rsid w:val="007B7F6A"/>
    <w:rsid w:val="007B7F7C"/>
    <w:rsid w:val="007C0237"/>
    <w:rsid w:val="007C02F6"/>
    <w:rsid w:val="007C0382"/>
    <w:rsid w:val="007C0390"/>
    <w:rsid w:val="007C0419"/>
    <w:rsid w:val="007C05AC"/>
    <w:rsid w:val="007C05B2"/>
    <w:rsid w:val="007C062A"/>
    <w:rsid w:val="007C0648"/>
    <w:rsid w:val="007C073C"/>
    <w:rsid w:val="007C0AFE"/>
    <w:rsid w:val="007C0C09"/>
    <w:rsid w:val="007C0CC1"/>
    <w:rsid w:val="007C0D5F"/>
    <w:rsid w:val="007C0D66"/>
    <w:rsid w:val="007C0D88"/>
    <w:rsid w:val="007C0E54"/>
    <w:rsid w:val="007C103F"/>
    <w:rsid w:val="007C109A"/>
    <w:rsid w:val="007C1171"/>
    <w:rsid w:val="007C11BA"/>
    <w:rsid w:val="007C124E"/>
    <w:rsid w:val="007C12E5"/>
    <w:rsid w:val="007C1377"/>
    <w:rsid w:val="007C13D9"/>
    <w:rsid w:val="007C1470"/>
    <w:rsid w:val="007C14A2"/>
    <w:rsid w:val="007C15ED"/>
    <w:rsid w:val="007C1636"/>
    <w:rsid w:val="007C164B"/>
    <w:rsid w:val="007C165D"/>
    <w:rsid w:val="007C1727"/>
    <w:rsid w:val="007C1771"/>
    <w:rsid w:val="007C17AD"/>
    <w:rsid w:val="007C184B"/>
    <w:rsid w:val="007C18CF"/>
    <w:rsid w:val="007C1A83"/>
    <w:rsid w:val="007C1BF9"/>
    <w:rsid w:val="007C1C32"/>
    <w:rsid w:val="007C1C3D"/>
    <w:rsid w:val="007C1D29"/>
    <w:rsid w:val="007C1D45"/>
    <w:rsid w:val="007C1D49"/>
    <w:rsid w:val="007C1DBB"/>
    <w:rsid w:val="007C1EBC"/>
    <w:rsid w:val="007C205F"/>
    <w:rsid w:val="007C20BE"/>
    <w:rsid w:val="007C2147"/>
    <w:rsid w:val="007C2181"/>
    <w:rsid w:val="007C21A4"/>
    <w:rsid w:val="007C22C5"/>
    <w:rsid w:val="007C22CC"/>
    <w:rsid w:val="007C23C8"/>
    <w:rsid w:val="007C2438"/>
    <w:rsid w:val="007C248F"/>
    <w:rsid w:val="007C25E0"/>
    <w:rsid w:val="007C2649"/>
    <w:rsid w:val="007C264C"/>
    <w:rsid w:val="007C26D6"/>
    <w:rsid w:val="007C2875"/>
    <w:rsid w:val="007C2BE1"/>
    <w:rsid w:val="007C2D83"/>
    <w:rsid w:val="007C2E90"/>
    <w:rsid w:val="007C300E"/>
    <w:rsid w:val="007C328D"/>
    <w:rsid w:val="007C32E2"/>
    <w:rsid w:val="007C3314"/>
    <w:rsid w:val="007C3331"/>
    <w:rsid w:val="007C336F"/>
    <w:rsid w:val="007C3380"/>
    <w:rsid w:val="007C33B9"/>
    <w:rsid w:val="007C33DD"/>
    <w:rsid w:val="007C34A6"/>
    <w:rsid w:val="007C3535"/>
    <w:rsid w:val="007C3568"/>
    <w:rsid w:val="007C385F"/>
    <w:rsid w:val="007C389C"/>
    <w:rsid w:val="007C38F5"/>
    <w:rsid w:val="007C3926"/>
    <w:rsid w:val="007C39C3"/>
    <w:rsid w:val="007C39DC"/>
    <w:rsid w:val="007C3A6F"/>
    <w:rsid w:val="007C3A8E"/>
    <w:rsid w:val="007C3D03"/>
    <w:rsid w:val="007C3D81"/>
    <w:rsid w:val="007C3D89"/>
    <w:rsid w:val="007C3E1C"/>
    <w:rsid w:val="007C3F2D"/>
    <w:rsid w:val="007C3FCE"/>
    <w:rsid w:val="007C4028"/>
    <w:rsid w:val="007C4053"/>
    <w:rsid w:val="007C4070"/>
    <w:rsid w:val="007C410D"/>
    <w:rsid w:val="007C41B1"/>
    <w:rsid w:val="007C4309"/>
    <w:rsid w:val="007C4365"/>
    <w:rsid w:val="007C43D1"/>
    <w:rsid w:val="007C4401"/>
    <w:rsid w:val="007C4444"/>
    <w:rsid w:val="007C4481"/>
    <w:rsid w:val="007C4487"/>
    <w:rsid w:val="007C44E9"/>
    <w:rsid w:val="007C453C"/>
    <w:rsid w:val="007C4542"/>
    <w:rsid w:val="007C459D"/>
    <w:rsid w:val="007C45C8"/>
    <w:rsid w:val="007C46BA"/>
    <w:rsid w:val="007C49C1"/>
    <w:rsid w:val="007C4A6F"/>
    <w:rsid w:val="007C4A8D"/>
    <w:rsid w:val="007C4AA6"/>
    <w:rsid w:val="007C4CEC"/>
    <w:rsid w:val="007C4E63"/>
    <w:rsid w:val="007C4E92"/>
    <w:rsid w:val="007C4EA9"/>
    <w:rsid w:val="007C4F59"/>
    <w:rsid w:val="007C4F78"/>
    <w:rsid w:val="007C4FDF"/>
    <w:rsid w:val="007C5193"/>
    <w:rsid w:val="007C51B9"/>
    <w:rsid w:val="007C5234"/>
    <w:rsid w:val="007C52FB"/>
    <w:rsid w:val="007C5365"/>
    <w:rsid w:val="007C53FB"/>
    <w:rsid w:val="007C5446"/>
    <w:rsid w:val="007C5469"/>
    <w:rsid w:val="007C55E1"/>
    <w:rsid w:val="007C55F5"/>
    <w:rsid w:val="007C560A"/>
    <w:rsid w:val="007C56F5"/>
    <w:rsid w:val="007C5722"/>
    <w:rsid w:val="007C572D"/>
    <w:rsid w:val="007C57FA"/>
    <w:rsid w:val="007C5A38"/>
    <w:rsid w:val="007C5A5C"/>
    <w:rsid w:val="007C5BD0"/>
    <w:rsid w:val="007C5EB3"/>
    <w:rsid w:val="007C5EB6"/>
    <w:rsid w:val="007C6178"/>
    <w:rsid w:val="007C619B"/>
    <w:rsid w:val="007C61D9"/>
    <w:rsid w:val="007C6333"/>
    <w:rsid w:val="007C6398"/>
    <w:rsid w:val="007C642E"/>
    <w:rsid w:val="007C6486"/>
    <w:rsid w:val="007C65E2"/>
    <w:rsid w:val="007C66B8"/>
    <w:rsid w:val="007C67D4"/>
    <w:rsid w:val="007C68AA"/>
    <w:rsid w:val="007C6A07"/>
    <w:rsid w:val="007C6A2A"/>
    <w:rsid w:val="007C6B47"/>
    <w:rsid w:val="007C6BDA"/>
    <w:rsid w:val="007C6C70"/>
    <w:rsid w:val="007C6CDA"/>
    <w:rsid w:val="007C6CED"/>
    <w:rsid w:val="007C6DFB"/>
    <w:rsid w:val="007C6EAD"/>
    <w:rsid w:val="007C7101"/>
    <w:rsid w:val="007C7154"/>
    <w:rsid w:val="007C719A"/>
    <w:rsid w:val="007C7231"/>
    <w:rsid w:val="007C72B0"/>
    <w:rsid w:val="007C72B2"/>
    <w:rsid w:val="007C7378"/>
    <w:rsid w:val="007C73EE"/>
    <w:rsid w:val="007C742B"/>
    <w:rsid w:val="007C7473"/>
    <w:rsid w:val="007C74F6"/>
    <w:rsid w:val="007C74FB"/>
    <w:rsid w:val="007C7549"/>
    <w:rsid w:val="007C7566"/>
    <w:rsid w:val="007C757C"/>
    <w:rsid w:val="007C75AA"/>
    <w:rsid w:val="007C75BA"/>
    <w:rsid w:val="007C75D2"/>
    <w:rsid w:val="007C7692"/>
    <w:rsid w:val="007C76E1"/>
    <w:rsid w:val="007C774E"/>
    <w:rsid w:val="007C7833"/>
    <w:rsid w:val="007C789E"/>
    <w:rsid w:val="007C78A0"/>
    <w:rsid w:val="007C78A7"/>
    <w:rsid w:val="007C78B5"/>
    <w:rsid w:val="007C7996"/>
    <w:rsid w:val="007C79B3"/>
    <w:rsid w:val="007C79B8"/>
    <w:rsid w:val="007C7A56"/>
    <w:rsid w:val="007C7A7F"/>
    <w:rsid w:val="007C7AB0"/>
    <w:rsid w:val="007C7C99"/>
    <w:rsid w:val="007C7D15"/>
    <w:rsid w:val="007C7DD1"/>
    <w:rsid w:val="007C7DFD"/>
    <w:rsid w:val="007C7E0F"/>
    <w:rsid w:val="007C7E20"/>
    <w:rsid w:val="007C7E5A"/>
    <w:rsid w:val="007C7E8E"/>
    <w:rsid w:val="007C7F55"/>
    <w:rsid w:val="007D0031"/>
    <w:rsid w:val="007D0097"/>
    <w:rsid w:val="007D015A"/>
    <w:rsid w:val="007D02E6"/>
    <w:rsid w:val="007D03E1"/>
    <w:rsid w:val="007D03E5"/>
    <w:rsid w:val="007D03F0"/>
    <w:rsid w:val="007D03F1"/>
    <w:rsid w:val="007D0428"/>
    <w:rsid w:val="007D0552"/>
    <w:rsid w:val="007D05D1"/>
    <w:rsid w:val="007D0629"/>
    <w:rsid w:val="007D08DD"/>
    <w:rsid w:val="007D0932"/>
    <w:rsid w:val="007D0B1B"/>
    <w:rsid w:val="007D0B61"/>
    <w:rsid w:val="007D0B7D"/>
    <w:rsid w:val="007D0BC9"/>
    <w:rsid w:val="007D0BDE"/>
    <w:rsid w:val="007D0C1E"/>
    <w:rsid w:val="007D0DA7"/>
    <w:rsid w:val="007D10C4"/>
    <w:rsid w:val="007D10DD"/>
    <w:rsid w:val="007D111A"/>
    <w:rsid w:val="007D114A"/>
    <w:rsid w:val="007D11F0"/>
    <w:rsid w:val="007D11F7"/>
    <w:rsid w:val="007D1297"/>
    <w:rsid w:val="007D1324"/>
    <w:rsid w:val="007D1359"/>
    <w:rsid w:val="007D13C2"/>
    <w:rsid w:val="007D1400"/>
    <w:rsid w:val="007D1426"/>
    <w:rsid w:val="007D1483"/>
    <w:rsid w:val="007D166F"/>
    <w:rsid w:val="007D1691"/>
    <w:rsid w:val="007D16CB"/>
    <w:rsid w:val="007D1925"/>
    <w:rsid w:val="007D1BB3"/>
    <w:rsid w:val="007D1D4C"/>
    <w:rsid w:val="007D1E07"/>
    <w:rsid w:val="007D1E80"/>
    <w:rsid w:val="007D1EAE"/>
    <w:rsid w:val="007D1FCF"/>
    <w:rsid w:val="007D2113"/>
    <w:rsid w:val="007D2114"/>
    <w:rsid w:val="007D217C"/>
    <w:rsid w:val="007D21DB"/>
    <w:rsid w:val="007D21EE"/>
    <w:rsid w:val="007D223F"/>
    <w:rsid w:val="007D22B5"/>
    <w:rsid w:val="007D2411"/>
    <w:rsid w:val="007D2567"/>
    <w:rsid w:val="007D265B"/>
    <w:rsid w:val="007D268F"/>
    <w:rsid w:val="007D26BF"/>
    <w:rsid w:val="007D26DF"/>
    <w:rsid w:val="007D27CD"/>
    <w:rsid w:val="007D286C"/>
    <w:rsid w:val="007D28A9"/>
    <w:rsid w:val="007D2936"/>
    <w:rsid w:val="007D2A37"/>
    <w:rsid w:val="007D2AC0"/>
    <w:rsid w:val="007D2B53"/>
    <w:rsid w:val="007D2B89"/>
    <w:rsid w:val="007D2CD7"/>
    <w:rsid w:val="007D2D97"/>
    <w:rsid w:val="007D2E2F"/>
    <w:rsid w:val="007D2F0B"/>
    <w:rsid w:val="007D2F44"/>
    <w:rsid w:val="007D2FA6"/>
    <w:rsid w:val="007D2FCB"/>
    <w:rsid w:val="007D3050"/>
    <w:rsid w:val="007D3057"/>
    <w:rsid w:val="007D30B7"/>
    <w:rsid w:val="007D316E"/>
    <w:rsid w:val="007D3241"/>
    <w:rsid w:val="007D3264"/>
    <w:rsid w:val="007D3284"/>
    <w:rsid w:val="007D32F1"/>
    <w:rsid w:val="007D3376"/>
    <w:rsid w:val="007D338F"/>
    <w:rsid w:val="007D3445"/>
    <w:rsid w:val="007D3529"/>
    <w:rsid w:val="007D36DB"/>
    <w:rsid w:val="007D372B"/>
    <w:rsid w:val="007D3733"/>
    <w:rsid w:val="007D3780"/>
    <w:rsid w:val="007D39BB"/>
    <w:rsid w:val="007D39D6"/>
    <w:rsid w:val="007D3CC4"/>
    <w:rsid w:val="007D3D1F"/>
    <w:rsid w:val="007D3FA9"/>
    <w:rsid w:val="007D3FE5"/>
    <w:rsid w:val="007D40D1"/>
    <w:rsid w:val="007D4191"/>
    <w:rsid w:val="007D43A5"/>
    <w:rsid w:val="007D43EF"/>
    <w:rsid w:val="007D4455"/>
    <w:rsid w:val="007D44E6"/>
    <w:rsid w:val="007D4521"/>
    <w:rsid w:val="007D4546"/>
    <w:rsid w:val="007D4558"/>
    <w:rsid w:val="007D46AA"/>
    <w:rsid w:val="007D46D0"/>
    <w:rsid w:val="007D47D3"/>
    <w:rsid w:val="007D486B"/>
    <w:rsid w:val="007D48AE"/>
    <w:rsid w:val="007D49E7"/>
    <w:rsid w:val="007D4A23"/>
    <w:rsid w:val="007D4ABA"/>
    <w:rsid w:val="007D4C3C"/>
    <w:rsid w:val="007D4D80"/>
    <w:rsid w:val="007D4DAA"/>
    <w:rsid w:val="007D4DE6"/>
    <w:rsid w:val="007D4E7B"/>
    <w:rsid w:val="007D50D3"/>
    <w:rsid w:val="007D51AE"/>
    <w:rsid w:val="007D5373"/>
    <w:rsid w:val="007D5416"/>
    <w:rsid w:val="007D54BE"/>
    <w:rsid w:val="007D54FB"/>
    <w:rsid w:val="007D55CA"/>
    <w:rsid w:val="007D563E"/>
    <w:rsid w:val="007D565B"/>
    <w:rsid w:val="007D56B1"/>
    <w:rsid w:val="007D5890"/>
    <w:rsid w:val="007D597A"/>
    <w:rsid w:val="007D59A0"/>
    <w:rsid w:val="007D59F2"/>
    <w:rsid w:val="007D5A53"/>
    <w:rsid w:val="007D5C44"/>
    <w:rsid w:val="007D5D19"/>
    <w:rsid w:val="007D5D45"/>
    <w:rsid w:val="007D5D8C"/>
    <w:rsid w:val="007D5EDD"/>
    <w:rsid w:val="007D5F20"/>
    <w:rsid w:val="007D5F62"/>
    <w:rsid w:val="007D6123"/>
    <w:rsid w:val="007D6150"/>
    <w:rsid w:val="007D6192"/>
    <w:rsid w:val="007D62A3"/>
    <w:rsid w:val="007D6341"/>
    <w:rsid w:val="007D6365"/>
    <w:rsid w:val="007D6388"/>
    <w:rsid w:val="007D6471"/>
    <w:rsid w:val="007D6573"/>
    <w:rsid w:val="007D66A4"/>
    <w:rsid w:val="007D673E"/>
    <w:rsid w:val="007D67D8"/>
    <w:rsid w:val="007D67EA"/>
    <w:rsid w:val="007D68D5"/>
    <w:rsid w:val="007D68D6"/>
    <w:rsid w:val="007D69FB"/>
    <w:rsid w:val="007D6A00"/>
    <w:rsid w:val="007D6A20"/>
    <w:rsid w:val="007D6B16"/>
    <w:rsid w:val="007D6B1F"/>
    <w:rsid w:val="007D6B74"/>
    <w:rsid w:val="007D6F3F"/>
    <w:rsid w:val="007D6F5D"/>
    <w:rsid w:val="007D7123"/>
    <w:rsid w:val="007D72FD"/>
    <w:rsid w:val="007D7321"/>
    <w:rsid w:val="007D7476"/>
    <w:rsid w:val="007D7577"/>
    <w:rsid w:val="007D75CF"/>
    <w:rsid w:val="007D7684"/>
    <w:rsid w:val="007D774B"/>
    <w:rsid w:val="007D77D0"/>
    <w:rsid w:val="007D7960"/>
    <w:rsid w:val="007D7A89"/>
    <w:rsid w:val="007D7B1F"/>
    <w:rsid w:val="007D7C68"/>
    <w:rsid w:val="007D7C88"/>
    <w:rsid w:val="007D7C91"/>
    <w:rsid w:val="007D7CD3"/>
    <w:rsid w:val="007D7D8E"/>
    <w:rsid w:val="007D7E61"/>
    <w:rsid w:val="007D7F29"/>
    <w:rsid w:val="007D7F4A"/>
    <w:rsid w:val="007E0086"/>
    <w:rsid w:val="007E011C"/>
    <w:rsid w:val="007E0163"/>
    <w:rsid w:val="007E019B"/>
    <w:rsid w:val="007E0212"/>
    <w:rsid w:val="007E03EF"/>
    <w:rsid w:val="007E0400"/>
    <w:rsid w:val="007E05E3"/>
    <w:rsid w:val="007E065E"/>
    <w:rsid w:val="007E06E1"/>
    <w:rsid w:val="007E092D"/>
    <w:rsid w:val="007E0A06"/>
    <w:rsid w:val="007E0A2F"/>
    <w:rsid w:val="007E0B57"/>
    <w:rsid w:val="007E0B9F"/>
    <w:rsid w:val="007E0CAF"/>
    <w:rsid w:val="007E0CDD"/>
    <w:rsid w:val="007E0CFD"/>
    <w:rsid w:val="007E0D8B"/>
    <w:rsid w:val="007E10B6"/>
    <w:rsid w:val="007E10D2"/>
    <w:rsid w:val="007E11B5"/>
    <w:rsid w:val="007E126F"/>
    <w:rsid w:val="007E13A3"/>
    <w:rsid w:val="007E143D"/>
    <w:rsid w:val="007E14AF"/>
    <w:rsid w:val="007E1539"/>
    <w:rsid w:val="007E1586"/>
    <w:rsid w:val="007E15AD"/>
    <w:rsid w:val="007E163B"/>
    <w:rsid w:val="007E1666"/>
    <w:rsid w:val="007E16F6"/>
    <w:rsid w:val="007E1893"/>
    <w:rsid w:val="007E1A04"/>
    <w:rsid w:val="007E1AEE"/>
    <w:rsid w:val="007E1AFB"/>
    <w:rsid w:val="007E1B26"/>
    <w:rsid w:val="007E1BE9"/>
    <w:rsid w:val="007E1C66"/>
    <w:rsid w:val="007E1C96"/>
    <w:rsid w:val="007E1DBC"/>
    <w:rsid w:val="007E1E45"/>
    <w:rsid w:val="007E1E93"/>
    <w:rsid w:val="007E1EAA"/>
    <w:rsid w:val="007E1F57"/>
    <w:rsid w:val="007E1F69"/>
    <w:rsid w:val="007E1FD4"/>
    <w:rsid w:val="007E2003"/>
    <w:rsid w:val="007E20F8"/>
    <w:rsid w:val="007E2165"/>
    <w:rsid w:val="007E21F2"/>
    <w:rsid w:val="007E224C"/>
    <w:rsid w:val="007E22B4"/>
    <w:rsid w:val="007E23AB"/>
    <w:rsid w:val="007E2445"/>
    <w:rsid w:val="007E24D4"/>
    <w:rsid w:val="007E24DC"/>
    <w:rsid w:val="007E251A"/>
    <w:rsid w:val="007E25ED"/>
    <w:rsid w:val="007E26B0"/>
    <w:rsid w:val="007E2744"/>
    <w:rsid w:val="007E2847"/>
    <w:rsid w:val="007E2A02"/>
    <w:rsid w:val="007E2A51"/>
    <w:rsid w:val="007E2B43"/>
    <w:rsid w:val="007E2B53"/>
    <w:rsid w:val="007E2BC0"/>
    <w:rsid w:val="007E2BCB"/>
    <w:rsid w:val="007E2E50"/>
    <w:rsid w:val="007E2F26"/>
    <w:rsid w:val="007E2F35"/>
    <w:rsid w:val="007E3048"/>
    <w:rsid w:val="007E3094"/>
    <w:rsid w:val="007E30E4"/>
    <w:rsid w:val="007E3286"/>
    <w:rsid w:val="007E3366"/>
    <w:rsid w:val="007E3552"/>
    <w:rsid w:val="007E35D4"/>
    <w:rsid w:val="007E36F8"/>
    <w:rsid w:val="007E3725"/>
    <w:rsid w:val="007E37D2"/>
    <w:rsid w:val="007E37DF"/>
    <w:rsid w:val="007E380D"/>
    <w:rsid w:val="007E385B"/>
    <w:rsid w:val="007E38C9"/>
    <w:rsid w:val="007E397D"/>
    <w:rsid w:val="007E39CA"/>
    <w:rsid w:val="007E39E7"/>
    <w:rsid w:val="007E39F5"/>
    <w:rsid w:val="007E3A27"/>
    <w:rsid w:val="007E3A56"/>
    <w:rsid w:val="007E3B92"/>
    <w:rsid w:val="007E3BB3"/>
    <w:rsid w:val="007E3BE0"/>
    <w:rsid w:val="007E3C0C"/>
    <w:rsid w:val="007E3C1E"/>
    <w:rsid w:val="007E3C22"/>
    <w:rsid w:val="007E3DB0"/>
    <w:rsid w:val="007E3E69"/>
    <w:rsid w:val="007E3FDB"/>
    <w:rsid w:val="007E4097"/>
    <w:rsid w:val="007E42EB"/>
    <w:rsid w:val="007E442F"/>
    <w:rsid w:val="007E44F4"/>
    <w:rsid w:val="007E4544"/>
    <w:rsid w:val="007E4599"/>
    <w:rsid w:val="007E485F"/>
    <w:rsid w:val="007E48F0"/>
    <w:rsid w:val="007E48FC"/>
    <w:rsid w:val="007E4A9C"/>
    <w:rsid w:val="007E4B25"/>
    <w:rsid w:val="007E4B40"/>
    <w:rsid w:val="007E4B61"/>
    <w:rsid w:val="007E4BC5"/>
    <w:rsid w:val="007E4C44"/>
    <w:rsid w:val="007E4ED7"/>
    <w:rsid w:val="007E4F26"/>
    <w:rsid w:val="007E4FDC"/>
    <w:rsid w:val="007E503F"/>
    <w:rsid w:val="007E5075"/>
    <w:rsid w:val="007E50EB"/>
    <w:rsid w:val="007E5112"/>
    <w:rsid w:val="007E520C"/>
    <w:rsid w:val="007E5319"/>
    <w:rsid w:val="007E5332"/>
    <w:rsid w:val="007E53CE"/>
    <w:rsid w:val="007E5407"/>
    <w:rsid w:val="007E54BC"/>
    <w:rsid w:val="007E5610"/>
    <w:rsid w:val="007E564A"/>
    <w:rsid w:val="007E565C"/>
    <w:rsid w:val="007E5692"/>
    <w:rsid w:val="007E5739"/>
    <w:rsid w:val="007E57C2"/>
    <w:rsid w:val="007E57E5"/>
    <w:rsid w:val="007E58B2"/>
    <w:rsid w:val="007E5A27"/>
    <w:rsid w:val="007E5A2B"/>
    <w:rsid w:val="007E5A59"/>
    <w:rsid w:val="007E5B20"/>
    <w:rsid w:val="007E5B6E"/>
    <w:rsid w:val="007E5B79"/>
    <w:rsid w:val="007E5C1E"/>
    <w:rsid w:val="007E5C21"/>
    <w:rsid w:val="007E5C24"/>
    <w:rsid w:val="007E6009"/>
    <w:rsid w:val="007E6035"/>
    <w:rsid w:val="007E6064"/>
    <w:rsid w:val="007E60E4"/>
    <w:rsid w:val="007E60EB"/>
    <w:rsid w:val="007E614D"/>
    <w:rsid w:val="007E6269"/>
    <w:rsid w:val="007E62B8"/>
    <w:rsid w:val="007E6317"/>
    <w:rsid w:val="007E633D"/>
    <w:rsid w:val="007E6350"/>
    <w:rsid w:val="007E63D8"/>
    <w:rsid w:val="007E6447"/>
    <w:rsid w:val="007E64B8"/>
    <w:rsid w:val="007E6628"/>
    <w:rsid w:val="007E6698"/>
    <w:rsid w:val="007E66D6"/>
    <w:rsid w:val="007E66F4"/>
    <w:rsid w:val="007E67F9"/>
    <w:rsid w:val="007E6834"/>
    <w:rsid w:val="007E683F"/>
    <w:rsid w:val="007E68E0"/>
    <w:rsid w:val="007E694B"/>
    <w:rsid w:val="007E6A61"/>
    <w:rsid w:val="007E6AE1"/>
    <w:rsid w:val="007E6B48"/>
    <w:rsid w:val="007E6C5D"/>
    <w:rsid w:val="007E6CD6"/>
    <w:rsid w:val="007E6D6B"/>
    <w:rsid w:val="007E6D9A"/>
    <w:rsid w:val="007E6E85"/>
    <w:rsid w:val="007E6FEA"/>
    <w:rsid w:val="007E7157"/>
    <w:rsid w:val="007E72AA"/>
    <w:rsid w:val="007E7663"/>
    <w:rsid w:val="007E7736"/>
    <w:rsid w:val="007E7782"/>
    <w:rsid w:val="007E7872"/>
    <w:rsid w:val="007E7873"/>
    <w:rsid w:val="007E794A"/>
    <w:rsid w:val="007E798D"/>
    <w:rsid w:val="007E7A04"/>
    <w:rsid w:val="007E7A7F"/>
    <w:rsid w:val="007E7C4E"/>
    <w:rsid w:val="007E7C5B"/>
    <w:rsid w:val="007E7CD3"/>
    <w:rsid w:val="007E7D91"/>
    <w:rsid w:val="007E7E0C"/>
    <w:rsid w:val="007E7E27"/>
    <w:rsid w:val="007E7F0F"/>
    <w:rsid w:val="007E7F46"/>
    <w:rsid w:val="007E7F56"/>
    <w:rsid w:val="007E7F66"/>
    <w:rsid w:val="007E7F82"/>
    <w:rsid w:val="007F000C"/>
    <w:rsid w:val="007F011F"/>
    <w:rsid w:val="007F0355"/>
    <w:rsid w:val="007F03DF"/>
    <w:rsid w:val="007F0555"/>
    <w:rsid w:val="007F05C9"/>
    <w:rsid w:val="007F05D7"/>
    <w:rsid w:val="007F06C3"/>
    <w:rsid w:val="007F0724"/>
    <w:rsid w:val="007F0727"/>
    <w:rsid w:val="007F07BC"/>
    <w:rsid w:val="007F0859"/>
    <w:rsid w:val="007F09A6"/>
    <w:rsid w:val="007F0A52"/>
    <w:rsid w:val="007F0B51"/>
    <w:rsid w:val="007F0C2F"/>
    <w:rsid w:val="007F0EBE"/>
    <w:rsid w:val="007F0F1E"/>
    <w:rsid w:val="007F0F5A"/>
    <w:rsid w:val="007F1189"/>
    <w:rsid w:val="007F123C"/>
    <w:rsid w:val="007F12BC"/>
    <w:rsid w:val="007F12EC"/>
    <w:rsid w:val="007F12F1"/>
    <w:rsid w:val="007F12F3"/>
    <w:rsid w:val="007F12F4"/>
    <w:rsid w:val="007F1303"/>
    <w:rsid w:val="007F13A7"/>
    <w:rsid w:val="007F1478"/>
    <w:rsid w:val="007F14BC"/>
    <w:rsid w:val="007F15EE"/>
    <w:rsid w:val="007F168D"/>
    <w:rsid w:val="007F1903"/>
    <w:rsid w:val="007F1919"/>
    <w:rsid w:val="007F1A8D"/>
    <w:rsid w:val="007F1BBB"/>
    <w:rsid w:val="007F1CBD"/>
    <w:rsid w:val="007F1DAC"/>
    <w:rsid w:val="007F1F11"/>
    <w:rsid w:val="007F1F47"/>
    <w:rsid w:val="007F1FBF"/>
    <w:rsid w:val="007F203F"/>
    <w:rsid w:val="007F2067"/>
    <w:rsid w:val="007F20D3"/>
    <w:rsid w:val="007F2111"/>
    <w:rsid w:val="007F2220"/>
    <w:rsid w:val="007F2227"/>
    <w:rsid w:val="007F2293"/>
    <w:rsid w:val="007F2332"/>
    <w:rsid w:val="007F2375"/>
    <w:rsid w:val="007F2536"/>
    <w:rsid w:val="007F2694"/>
    <w:rsid w:val="007F26A0"/>
    <w:rsid w:val="007F2939"/>
    <w:rsid w:val="007F2960"/>
    <w:rsid w:val="007F2974"/>
    <w:rsid w:val="007F29F6"/>
    <w:rsid w:val="007F2A02"/>
    <w:rsid w:val="007F2B00"/>
    <w:rsid w:val="007F2B50"/>
    <w:rsid w:val="007F2C34"/>
    <w:rsid w:val="007F2CEF"/>
    <w:rsid w:val="007F2DEB"/>
    <w:rsid w:val="007F2E67"/>
    <w:rsid w:val="007F2ED5"/>
    <w:rsid w:val="007F2EFA"/>
    <w:rsid w:val="007F304B"/>
    <w:rsid w:val="007F30DF"/>
    <w:rsid w:val="007F31C8"/>
    <w:rsid w:val="007F3215"/>
    <w:rsid w:val="007F32DD"/>
    <w:rsid w:val="007F35C6"/>
    <w:rsid w:val="007F363A"/>
    <w:rsid w:val="007F370A"/>
    <w:rsid w:val="007F374F"/>
    <w:rsid w:val="007F37B6"/>
    <w:rsid w:val="007F3A45"/>
    <w:rsid w:val="007F3A66"/>
    <w:rsid w:val="007F3B1C"/>
    <w:rsid w:val="007F3C05"/>
    <w:rsid w:val="007F3C92"/>
    <w:rsid w:val="007F3D22"/>
    <w:rsid w:val="007F3D91"/>
    <w:rsid w:val="007F3DAA"/>
    <w:rsid w:val="007F3DBB"/>
    <w:rsid w:val="007F3F0A"/>
    <w:rsid w:val="007F3FF4"/>
    <w:rsid w:val="007F40E9"/>
    <w:rsid w:val="007F418E"/>
    <w:rsid w:val="007F4352"/>
    <w:rsid w:val="007F43F5"/>
    <w:rsid w:val="007F444C"/>
    <w:rsid w:val="007F44F3"/>
    <w:rsid w:val="007F44FA"/>
    <w:rsid w:val="007F4530"/>
    <w:rsid w:val="007F4551"/>
    <w:rsid w:val="007F4843"/>
    <w:rsid w:val="007F4972"/>
    <w:rsid w:val="007F4B15"/>
    <w:rsid w:val="007F4BB6"/>
    <w:rsid w:val="007F4C15"/>
    <w:rsid w:val="007F4C7E"/>
    <w:rsid w:val="007F4D10"/>
    <w:rsid w:val="007F4D45"/>
    <w:rsid w:val="007F4D5E"/>
    <w:rsid w:val="007F4DC5"/>
    <w:rsid w:val="007F4F08"/>
    <w:rsid w:val="007F4FE6"/>
    <w:rsid w:val="007F5054"/>
    <w:rsid w:val="007F5064"/>
    <w:rsid w:val="007F5135"/>
    <w:rsid w:val="007F51BC"/>
    <w:rsid w:val="007F51F5"/>
    <w:rsid w:val="007F5282"/>
    <w:rsid w:val="007F52D8"/>
    <w:rsid w:val="007F5312"/>
    <w:rsid w:val="007F53E5"/>
    <w:rsid w:val="007F53F8"/>
    <w:rsid w:val="007F53F9"/>
    <w:rsid w:val="007F5468"/>
    <w:rsid w:val="007F54C8"/>
    <w:rsid w:val="007F5501"/>
    <w:rsid w:val="007F55F1"/>
    <w:rsid w:val="007F5622"/>
    <w:rsid w:val="007F5656"/>
    <w:rsid w:val="007F56EC"/>
    <w:rsid w:val="007F5708"/>
    <w:rsid w:val="007F5766"/>
    <w:rsid w:val="007F57B5"/>
    <w:rsid w:val="007F57D9"/>
    <w:rsid w:val="007F58BD"/>
    <w:rsid w:val="007F58E1"/>
    <w:rsid w:val="007F5A47"/>
    <w:rsid w:val="007F5A4F"/>
    <w:rsid w:val="007F5A95"/>
    <w:rsid w:val="007F5AD9"/>
    <w:rsid w:val="007F5C3F"/>
    <w:rsid w:val="007F5EB6"/>
    <w:rsid w:val="007F5F21"/>
    <w:rsid w:val="007F5F33"/>
    <w:rsid w:val="007F5F51"/>
    <w:rsid w:val="007F5FD8"/>
    <w:rsid w:val="007F5FF5"/>
    <w:rsid w:val="007F604D"/>
    <w:rsid w:val="007F6122"/>
    <w:rsid w:val="007F6216"/>
    <w:rsid w:val="007F62D7"/>
    <w:rsid w:val="007F635A"/>
    <w:rsid w:val="007F6362"/>
    <w:rsid w:val="007F6396"/>
    <w:rsid w:val="007F642D"/>
    <w:rsid w:val="007F6588"/>
    <w:rsid w:val="007F65A6"/>
    <w:rsid w:val="007F66F9"/>
    <w:rsid w:val="007F67E9"/>
    <w:rsid w:val="007F6871"/>
    <w:rsid w:val="007F68C0"/>
    <w:rsid w:val="007F6970"/>
    <w:rsid w:val="007F6B24"/>
    <w:rsid w:val="007F6CCA"/>
    <w:rsid w:val="007F6D1B"/>
    <w:rsid w:val="007F6DD3"/>
    <w:rsid w:val="007F6E94"/>
    <w:rsid w:val="007F6F95"/>
    <w:rsid w:val="007F6FF4"/>
    <w:rsid w:val="007F6FF8"/>
    <w:rsid w:val="007F6FFF"/>
    <w:rsid w:val="007F700F"/>
    <w:rsid w:val="007F7011"/>
    <w:rsid w:val="007F7041"/>
    <w:rsid w:val="007F711C"/>
    <w:rsid w:val="007F71FC"/>
    <w:rsid w:val="007F720B"/>
    <w:rsid w:val="007F721D"/>
    <w:rsid w:val="007F728E"/>
    <w:rsid w:val="007F72CB"/>
    <w:rsid w:val="007F74FA"/>
    <w:rsid w:val="007F7725"/>
    <w:rsid w:val="007F773C"/>
    <w:rsid w:val="007F77F2"/>
    <w:rsid w:val="007F782B"/>
    <w:rsid w:val="007F785B"/>
    <w:rsid w:val="007F78E6"/>
    <w:rsid w:val="007F791F"/>
    <w:rsid w:val="007F7990"/>
    <w:rsid w:val="007F79C6"/>
    <w:rsid w:val="007F7A7D"/>
    <w:rsid w:val="007F7B2F"/>
    <w:rsid w:val="007F7B95"/>
    <w:rsid w:val="007F7C69"/>
    <w:rsid w:val="007F7C7B"/>
    <w:rsid w:val="007F7C9A"/>
    <w:rsid w:val="007F7CB1"/>
    <w:rsid w:val="007F7D55"/>
    <w:rsid w:val="007F7DD9"/>
    <w:rsid w:val="007F7FDB"/>
    <w:rsid w:val="007F7FE7"/>
    <w:rsid w:val="00800035"/>
    <w:rsid w:val="0080008C"/>
    <w:rsid w:val="00800107"/>
    <w:rsid w:val="008001DF"/>
    <w:rsid w:val="00800201"/>
    <w:rsid w:val="0080029B"/>
    <w:rsid w:val="0080039D"/>
    <w:rsid w:val="008003A2"/>
    <w:rsid w:val="008003D5"/>
    <w:rsid w:val="008004BB"/>
    <w:rsid w:val="0080057A"/>
    <w:rsid w:val="008005E8"/>
    <w:rsid w:val="00800655"/>
    <w:rsid w:val="008006AA"/>
    <w:rsid w:val="00800826"/>
    <w:rsid w:val="00800987"/>
    <w:rsid w:val="00800A15"/>
    <w:rsid w:val="00800A3A"/>
    <w:rsid w:val="00800B1E"/>
    <w:rsid w:val="00800BAB"/>
    <w:rsid w:val="00800BB6"/>
    <w:rsid w:val="00800BD6"/>
    <w:rsid w:val="00800C5D"/>
    <w:rsid w:val="00800D57"/>
    <w:rsid w:val="00800DBB"/>
    <w:rsid w:val="00800E82"/>
    <w:rsid w:val="00800EF2"/>
    <w:rsid w:val="00801008"/>
    <w:rsid w:val="00801038"/>
    <w:rsid w:val="008010F1"/>
    <w:rsid w:val="0080114B"/>
    <w:rsid w:val="00801189"/>
    <w:rsid w:val="0080133C"/>
    <w:rsid w:val="008014C4"/>
    <w:rsid w:val="008014DA"/>
    <w:rsid w:val="008015BD"/>
    <w:rsid w:val="00801631"/>
    <w:rsid w:val="00801709"/>
    <w:rsid w:val="00801800"/>
    <w:rsid w:val="00801893"/>
    <w:rsid w:val="008018CB"/>
    <w:rsid w:val="00801955"/>
    <w:rsid w:val="00801967"/>
    <w:rsid w:val="008019F9"/>
    <w:rsid w:val="00801A8E"/>
    <w:rsid w:val="00801AA0"/>
    <w:rsid w:val="00801C33"/>
    <w:rsid w:val="00801CA3"/>
    <w:rsid w:val="00801D19"/>
    <w:rsid w:val="00801D21"/>
    <w:rsid w:val="00801E5A"/>
    <w:rsid w:val="00801ED2"/>
    <w:rsid w:val="00801EFA"/>
    <w:rsid w:val="00801FD5"/>
    <w:rsid w:val="0080201F"/>
    <w:rsid w:val="008021A0"/>
    <w:rsid w:val="008022AF"/>
    <w:rsid w:val="008022FE"/>
    <w:rsid w:val="00802312"/>
    <w:rsid w:val="00802418"/>
    <w:rsid w:val="008024B6"/>
    <w:rsid w:val="008025D9"/>
    <w:rsid w:val="00802627"/>
    <w:rsid w:val="008026D2"/>
    <w:rsid w:val="0080276F"/>
    <w:rsid w:val="00802814"/>
    <w:rsid w:val="00802836"/>
    <w:rsid w:val="0080285B"/>
    <w:rsid w:val="00802A36"/>
    <w:rsid w:val="00802A90"/>
    <w:rsid w:val="00802AD4"/>
    <w:rsid w:val="00802AFA"/>
    <w:rsid w:val="00802C1A"/>
    <w:rsid w:val="00802C78"/>
    <w:rsid w:val="00802D31"/>
    <w:rsid w:val="00802E51"/>
    <w:rsid w:val="00802F3F"/>
    <w:rsid w:val="008030BF"/>
    <w:rsid w:val="008030F3"/>
    <w:rsid w:val="0080318D"/>
    <w:rsid w:val="0080328B"/>
    <w:rsid w:val="0080332A"/>
    <w:rsid w:val="00803338"/>
    <w:rsid w:val="00803525"/>
    <w:rsid w:val="00803619"/>
    <w:rsid w:val="0080362E"/>
    <w:rsid w:val="0080378F"/>
    <w:rsid w:val="008037E1"/>
    <w:rsid w:val="00803817"/>
    <w:rsid w:val="0080382E"/>
    <w:rsid w:val="0080388C"/>
    <w:rsid w:val="008038F0"/>
    <w:rsid w:val="008039B7"/>
    <w:rsid w:val="00803A76"/>
    <w:rsid w:val="00803B43"/>
    <w:rsid w:val="00803C18"/>
    <w:rsid w:val="00803C82"/>
    <w:rsid w:val="00803CF6"/>
    <w:rsid w:val="0080402D"/>
    <w:rsid w:val="00804095"/>
    <w:rsid w:val="008040A2"/>
    <w:rsid w:val="00804118"/>
    <w:rsid w:val="00804168"/>
    <w:rsid w:val="0080417E"/>
    <w:rsid w:val="00804190"/>
    <w:rsid w:val="0080428F"/>
    <w:rsid w:val="00804305"/>
    <w:rsid w:val="008044EA"/>
    <w:rsid w:val="00804562"/>
    <w:rsid w:val="00804583"/>
    <w:rsid w:val="0080458F"/>
    <w:rsid w:val="00804632"/>
    <w:rsid w:val="00804695"/>
    <w:rsid w:val="008046E7"/>
    <w:rsid w:val="008047EE"/>
    <w:rsid w:val="00804875"/>
    <w:rsid w:val="008048B6"/>
    <w:rsid w:val="008048F8"/>
    <w:rsid w:val="008048FF"/>
    <w:rsid w:val="008049CD"/>
    <w:rsid w:val="00804A74"/>
    <w:rsid w:val="00804B2A"/>
    <w:rsid w:val="00804B6C"/>
    <w:rsid w:val="00804C43"/>
    <w:rsid w:val="00804CF6"/>
    <w:rsid w:val="00804CF9"/>
    <w:rsid w:val="00804DDC"/>
    <w:rsid w:val="00804E4B"/>
    <w:rsid w:val="00804EE0"/>
    <w:rsid w:val="00804F39"/>
    <w:rsid w:val="00804F89"/>
    <w:rsid w:val="00804FD2"/>
    <w:rsid w:val="00804FFB"/>
    <w:rsid w:val="00805060"/>
    <w:rsid w:val="00805076"/>
    <w:rsid w:val="00805093"/>
    <w:rsid w:val="008050E4"/>
    <w:rsid w:val="00805131"/>
    <w:rsid w:val="00805185"/>
    <w:rsid w:val="008052BD"/>
    <w:rsid w:val="008052FC"/>
    <w:rsid w:val="00805418"/>
    <w:rsid w:val="008054D9"/>
    <w:rsid w:val="008056E3"/>
    <w:rsid w:val="00805719"/>
    <w:rsid w:val="00805740"/>
    <w:rsid w:val="008058A3"/>
    <w:rsid w:val="00805A39"/>
    <w:rsid w:val="00805AD0"/>
    <w:rsid w:val="00805AFF"/>
    <w:rsid w:val="00805B9C"/>
    <w:rsid w:val="00805BF6"/>
    <w:rsid w:val="00805C98"/>
    <w:rsid w:val="00805E1B"/>
    <w:rsid w:val="00805F01"/>
    <w:rsid w:val="00806028"/>
    <w:rsid w:val="008060B5"/>
    <w:rsid w:val="008062A6"/>
    <w:rsid w:val="008062C2"/>
    <w:rsid w:val="008062CD"/>
    <w:rsid w:val="008063B9"/>
    <w:rsid w:val="0080648B"/>
    <w:rsid w:val="008064B3"/>
    <w:rsid w:val="008065BB"/>
    <w:rsid w:val="008065E4"/>
    <w:rsid w:val="00806638"/>
    <w:rsid w:val="00806647"/>
    <w:rsid w:val="00806668"/>
    <w:rsid w:val="00806688"/>
    <w:rsid w:val="008066E0"/>
    <w:rsid w:val="008066EC"/>
    <w:rsid w:val="008066F8"/>
    <w:rsid w:val="00806752"/>
    <w:rsid w:val="0080682D"/>
    <w:rsid w:val="00806C90"/>
    <w:rsid w:val="00806D28"/>
    <w:rsid w:val="00806D2E"/>
    <w:rsid w:val="00806E12"/>
    <w:rsid w:val="00806F34"/>
    <w:rsid w:val="0080706D"/>
    <w:rsid w:val="00807088"/>
    <w:rsid w:val="00807111"/>
    <w:rsid w:val="00807375"/>
    <w:rsid w:val="00807395"/>
    <w:rsid w:val="008073A7"/>
    <w:rsid w:val="008073DF"/>
    <w:rsid w:val="008073F4"/>
    <w:rsid w:val="00807431"/>
    <w:rsid w:val="00807444"/>
    <w:rsid w:val="00807454"/>
    <w:rsid w:val="00807559"/>
    <w:rsid w:val="008075CD"/>
    <w:rsid w:val="00807698"/>
    <w:rsid w:val="00807712"/>
    <w:rsid w:val="008077B7"/>
    <w:rsid w:val="008078FC"/>
    <w:rsid w:val="0080795A"/>
    <w:rsid w:val="00807973"/>
    <w:rsid w:val="008079DE"/>
    <w:rsid w:val="00807A2E"/>
    <w:rsid w:val="00807A3E"/>
    <w:rsid w:val="00807A85"/>
    <w:rsid w:val="00807AF5"/>
    <w:rsid w:val="00807D02"/>
    <w:rsid w:val="00807D60"/>
    <w:rsid w:val="00807DA7"/>
    <w:rsid w:val="00807DD0"/>
    <w:rsid w:val="00807E85"/>
    <w:rsid w:val="00807F10"/>
    <w:rsid w:val="00807F3E"/>
    <w:rsid w:val="0081002A"/>
    <w:rsid w:val="0081002D"/>
    <w:rsid w:val="00810060"/>
    <w:rsid w:val="00810086"/>
    <w:rsid w:val="0081008E"/>
    <w:rsid w:val="00810191"/>
    <w:rsid w:val="008102CE"/>
    <w:rsid w:val="00810338"/>
    <w:rsid w:val="0081043C"/>
    <w:rsid w:val="008104B2"/>
    <w:rsid w:val="008104FA"/>
    <w:rsid w:val="0081056F"/>
    <w:rsid w:val="008105A2"/>
    <w:rsid w:val="008106B0"/>
    <w:rsid w:val="008107B8"/>
    <w:rsid w:val="008107D9"/>
    <w:rsid w:val="00810878"/>
    <w:rsid w:val="0081096B"/>
    <w:rsid w:val="00810A25"/>
    <w:rsid w:val="00810A6F"/>
    <w:rsid w:val="00810ABB"/>
    <w:rsid w:val="00810AEE"/>
    <w:rsid w:val="00810B22"/>
    <w:rsid w:val="00810BF0"/>
    <w:rsid w:val="00810D85"/>
    <w:rsid w:val="00810E65"/>
    <w:rsid w:val="00810EB0"/>
    <w:rsid w:val="00810EB3"/>
    <w:rsid w:val="0081102D"/>
    <w:rsid w:val="0081126A"/>
    <w:rsid w:val="008112C5"/>
    <w:rsid w:val="00811348"/>
    <w:rsid w:val="00811414"/>
    <w:rsid w:val="00811513"/>
    <w:rsid w:val="0081152F"/>
    <w:rsid w:val="008115CC"/>
    <w:rsid w:val="00811661"/>
    <w:rsid w:val="008117BF"/>
    <w:rsid w:val="008117CA"/>
    <w:rsid w:val="0081185F"/>
    <w:rsid w:val="0081186C"/>
    <w:rsid w:val="0081191B"/>
    <w:rsid w:val="008119A6"/>
    <w:rsid w:val="00811A26"/>
    <w:rsid w:val="00811A41"/>
    <w:rsid w:val="00811AF4"/>
    <w:rsid w:val="00811B53"/>
    <w:rsid w:val="00811B79"/>
    <w:rsid w:val="00811BD9"/>
    <w:rsid w:val="00811E79"/>
    <w:rsid w:val="00811F21"/>
    <w:rsid w:val="00811F37"/>
    <w:rsid w:val="00811FE8"/>
    <w:rsid w:val="00812196"/>
    <w:rsid w:val="008121B1"/>
    <w:rsid w:val="00812251"/>
    <w:rsid w:val="00812282"/>
    <w:rsid w:val="00812294"/>
    <w:rsid w:val="008122A1"/>
    <w:rsid w:val="0081232A"/>
    <w:rsid w:val="00812356"/>
    <w:rsid w:val="008123CC"/>
    <w:rsid w:val="00812407"/>
    <w:rsid w:val="00812571"/>
    <w:rsid w:val="0081258E"/>
    <w:rsid w:val="008125CD"/>
    <w:rsid w:val="008125F4"/>
    <w:rsid w:val="0081266A"/>
    <w:rsid w:val="008127B9"/>
    <w:rsid w:val="0081280A"/>
    <w:rsid w:val="00812898"/>
    <w:rsid w:val="008129F8"/>
    <w:rsid w:val="00812A01"/>
    <w:rsid w:val="00812A3F"/>
    <w:rsid w:val="00812AB3"/>
    <w:rsid w:val="00812B2F"/>
    <w:rsid w:val="00812BAE"/>
    <w:rsid w:val="00812BDA"/>
    <w:rsid w:val="00812CE0"/>
    <w:rsid w:val="00812D38"/>
    <w:rsid w:val="00812DED"/>
    <w:rsid w:val="00812E22"/>
    <w:rsid w:val="00812F99"/>
    <w:rsid w:val="008130C6"/>
    <w:rsid w:val="008130D4"/>
    <w:rsid w:val="008130FB"/>
    <w:rsid w:val="00813121"/>
    <w:rsid w:val="00813263"/>
    <w:rsid w:val="00813314"/>
    <w:rsid w:val="008133D8"/>
    <w:rsid w:val="00813455"/>
    <w:rsid w:val="00813533"/>
    <w:rsid w:val="008135C9"/>
    <w:rsid w:val="00813632"/>
    <w:rsid w:val="008136DD"/>
    <w:rsid w:val="00813740"/>
    <w:rsid w:val="00813997"/>
    <w:rsid w:val="008139A2"/>
    <w:rsid w:val="008139C0"/>
    <w:rsid w:val="008139D7"/>
    <w:rsid w:val="008139FA"/>
    <w:rsid w:val="00813C06"/>
    <w:rsid w:val="00813CDD"/>
    <w:rsid w:val="00813E4A"/>
    <w:rsid w:val="00813E4D"/>
    <w:rsid w:val="00813E54"/>
    <w:rsid w:val="00813F58"/>
    <w:rsid w:val="00813FBE"/>
    <w:rsid w:val="00813FE3"/>
    <w:rsid w:val="00814024"/>
    <w:rsid w:val="0081403D"/>
    <w:rsid w:val="00814128"/>
    <w:rsid w:val="008141FA"/>
    <w:rsid w:val="00814200"/>
    <w:rsid w:val="00814283"/>
    <w:rsid w:val="008142CC"/>
    <w:rsid w:val="008142E4"/>
    <w:rsid w:val="008143AC"/>
    <w:rsid w:val="0081445D"/>
    <w:rsid w:val="0081452E"/>
    <w:rsid w:val="008145E4"/>
    <w:rsid w:val="008145E6"/>
    <w:rsid w:val="0081469C"/>
    <w:rsid w:val="008146BD"/>
    <w:rsid w:val="008146F7"/>
    <w:rsid w:val="0081472E"/>
    <w:rsid w:val="008147B5"/>
    <w:rsid w:val="00814816"/>
    <w:rsid w:val="00814897"/>
    <w:rsid w:val="008148D3"/>
    <w:rsid w:val="008148E0"/>
    <w:rsid w:val="008148E4"/>
    <w:rsid w:val="00814903"/>
    <w:rsid w:val="00814980"/>
    <w:rsid w:val="008149A6"/>
    <w:rsid w:val="00814C3A"/>
    <w:rsid w:val="00814CF2"/>
    <w:rsid w:val="00814D48"/>
    <w:rsid w:val="00814DBC"/>
    <w:rsid w:val="00814DF0"/>
    <w:rsid w:val="00814E59"/>
    <w:rsid w:val="00814EB3"/>
    <w:rsid w:val="00814F2F"/>
    <w:rsid w:val="00815095"/>
    <w:rsid w:val="008150F5"/>
    <w:rsid w:val="00815105"/>
    <w:rsid w:val="0081515E"/>
    <w:rsid w:val="00815271"/>
    <w:rsid w:val="00815309"/>
    <w:rsid w:val="0081532E"/>
    <w:rsid w:val="0081532F"/>
    <w:rsid w:val="008153F5"/>
    <w:rsid w:val="008153F9"/>
    <w:rsid w:val="008154BA"/>
    <w:rsid w:val="0081550C"/>
    <w:rsid w:val="00815632"/>
    <w:rsid w:val="0081570C"/>
    <w:rsid w:val="0081579B"/>
    <w:rsid w:val="008157F1"/>
    <w:rsid w:val="0081593A"/>
    <w:rsid w:val="0081595E"/>
    <w:rsid w:val="00815B92"/>
    <w:rsid w:val="00815CC8"/>
    <w:rsid w:val="00815E80"/>
    <w:rsid w:val="0081619C"/>
    <w:rsid w:val="008161AF"/>
    <w:rsid w:val="00816267"/>
    <w:rsid w:val="00816352"/>
    <w:rsid w:val="0081638E"/>
    <w:rsid w:val="008164BA"/>
    <w:rsid w:val="008164C6"/>
    <w:rsid w:val="008164FA"/>
    <w:rsid w:val="00816580"/>
    <w:rsid w:val="008165CC"/>
    <w:rsid w:val="008165DA"/>
    <w:rsid w:val="008165FF"/>
    <w:rsid w:val="008166CE"/>
    <w:rsid w:val="008166DA"/>
    <w:rsid w:val="008167B2"/>
    <w:rsid w:val="00816859"/>
    <w:rsid w:val="0081686F"/>
    <w:rsid w:val="008168BF"/>
    <w:rsid w:val="0081693C"/>
    <w:rsid w:val="00816A03"/>
    <w:rsid w:val="00816AA3"/>
    <w:rsid w:val="00816AF1"/>
    <w:rsid w:val="00816B43"/>
    <w:rsid w:val="00816B49"/>
    <w:rsid w:val="00816C31"/>
    <w:rsid w:val="00816C33"/>
    <w:rsid w:val="00816C80"/>
    <w:rsid w:val="00816DD2"/>
    <w:rsid w:val="00816E78"/>
    <w:rsid w:val="00816EC2"/>
    <w:rsid w:val="00817386"/>
    <w:rsid w:val="008173FC"/>
    <w:rsid w:val="0081744F"/>
    <w:rsid w:val="00817507"/>
    <w:rsid w:val="00817660"/>
    <w:rsid w:val="0081774C"/>
    <w:rsid w:val="0081794B"/>
    <w:rsid w:val="008179A9"/>
    <w:rsid w:val="008179FF"/>
    <w:rsid w:val="00817AA1"/>
    <w:rsid w:val="00817AC8"/>
    <w:rsid w:val="00817AD5"/>
    <w:rsid w:val="00817AEC"/>
    <w:rsid w:val="00817BAD"/>
    <w:rsid w:val="00817C3E"/>
    <w:rsid w:val="00817CD4"/>
    <w:rsid w:val="00817CD5"/>
    <w:rsid w:val="00817D02"/>
    <w:rsid w:val="00817D24"/>
    <w:rsid w:val="00817F16"/>
    <w:rsid w:val="00817F42"/>
    <w:rsid w:val="00817FA6"/>
    <w:rsid w:val="00817FF9"/>
    <w:rsid w:val="0082015D"/>
    <w:rsid w:val="0082025A"/>
    <w:rsid w:val="00820285"/>
    <w:rsid w:val="0082028E"/>
    <w:rsid w:val="008202C3"/>
    <w:rsid w:val="0082032F"/>
    <w:rsid w:val="00820344"/>
    <w:rsid w:val="0082039A"/>
    <w:rsid w:val="00820443"/>
    <w:rsid w:val="0082046D"/>
    <w:rsid w:val="0082049F"/>
    <w:rsid w:val="00820582"/>
    <w:rsid w:val="0082064F"/>
    <w:rsid w:val="00820665"/>
    <w:rsid w:val="00820674"/>
    <w:rsid w:val="008207D4"/>
    <w:rsid w:val="00820855"/>
    <w:rsid w:val="0082093C"/>
    <w:rsid w:val="00820957"/>
    <w:rsid w:val="00820A1A"/>
    <w:rsid w:val="00820AB4"/>
    <w:rsid w:val="00820AB6"/>
    <w:rsid w:val="00820B3E"/>
    <w:rsid w:val="00820C4D"/>
    <w:rsid w:val="00820CDC"/>
    <w:rsid w:val="00820D6A"/>
    <w:rsid w:val="00820F38"/>
    <w:rsid w:val="00820F41"/>
    <w:rsid w:val="00821276"/>
    <w:rsid w:val="00821343"/>
    <w:rsid w:val="00821490"/>
    <w:rsid w:val="008214E1"/>
    <w:rsid w:val="008214EA"/>
    <w:rsid w:val="00821574"/>
    <w:rsid w:val="008216BE"/>
    <w:rsid w:val="00821889"/>
    <w:rsid w:val="0082189A"/>
    <w:rsid w:val="00821A1B"/>
    <w:rsid w:val="00821A70"/>
    <w:rsid w:val="00821A8A"/>
    <w:rsid w:val="00821AD9"/>
    <w:rsid w:val="00821B58"/>
    <w:rsid w:val="00821B89"/>
    <w:rsid w:val="00821BBB"/>
    <w:rsid w:val="00821C54"/>
    <w:rsid w:val="00821C82"/>
    <w:rsid w:val="00821CEE"/>
    <w:rsid w:val="00821DBD"/>
    <w:rsid w:val="00821DBF"/>
    <w:rsid w:val="00821FBC"/>
    <w:rsid w:val="00822043"/>
    <w:rsid w:val="00822229"/>
    <w:rsid w:val="00822294"/>
    <w:rsid w:val="00822305"/>
    <w:rsid w:val="00822383"/>
    <w:rsid w:val="008224BD"/>
    <w:rsid w:val="008224FB"/>
    <w:rsid w:val="0082263F"/>
    <w:rsid w:val="00822661"/>
    <w:rsid w:val="00822678"/>
    <w:rsid w:val="0082268D"/>
    <w:rsid w:val="00822852"/>
    <w:rsid w:val="0082287B"/>
    <w:rsid w:val="00822A5F"/>
    <w:rsid w:val="00822BB0"/>
    <w:rsid w:val="00822DAE"/>
    <w:rsid w:val="00822E4F"/>
    <w:rsid w:val="00822FBD"/>
    <w:rsid w:val="00822FD9"/>
    <w:rsid w:val="00822FDE"/>
    <w:rsid w:val="008231DF"/>
    <w:rsid w:val="00823287"/>
    <w:rsid w:val="008232C8"/>
    <w:rsid w:val="008232D5"/>
    <w:rsid w:val="00823427"/>
    <w:rsid w:val="0082343C"/>
    <w:rsid w:val="0082346E"/>
    <w:rsid w:val="0082349E"/>
    <w:rsid w:val="008234F5"/>
    <w:rsid w:val="00823548"/>
    <w:rsid w:val="0082355B"/>
    <w:rsid w:val="008235BB"/>
    <w:rsid w:val="008235BC"/>
    <w:rsid w:val="00823617"/>
    <w:rsid w:val="0082367F"/>
    <w:rsid w:val="0082369F"/>
    <w:rsid w:val="008236DD"/>
    <w:rsid w:val="008236E1"/>
    <w:rsid w:val="008237C6"/>
    <w:rsid w:val="00823959"/>
    <w:rsid w:val="008239C9"/>
    <w:rsid w:val="00823A29"/>
    <w:rsid w:val="00823A5C"/>
    <w:rsid w:val="00823B3A"/>
    <w:rsid w:val="00823B79"/>
    <w:rsid w:val="00823DF5"/>
    <w:rsid w:val="00823E5D"/>
    <w:rsid w:val="00823EAE"/>
    <w:rsid w:val="00823FE3"/>
    <w:rsid w:val="0082406A"/>
    <w:rsid w:val="00824174"/>
    <w:rsid w:val="00824275"/>
    <w:rsid w:val="00824292"/>
    <w:rsid w:val="00824316"/>
    <w:rsid w:val="00824339"/>
    <w:rsid w:val="00824458"/>
    <w:rsid w:val="0082445C"/>
    <w:rsid w:val="0082446A"/>
    <w:rsid w:val="00824482"/>
    <w:rsid w:val="00824558"/>
    <w:rsid w:val="0082457B"/>
    <w:rsid w:val="00824612"/>
    <w:rsid w:val="00824688"/>
    <w:rsid w:val="008246ED"/>
    <w:rsid w:val="008247B0"/>
    <w:rsid w:val="008247C1"/>
    <w:rsid w:val="0082480A"/>
    <w:rsid w:val="008248D7"/>
    <w:rsid w:val="008249BF"/>
    <w:rsid w:val="008249D6"/>
    <w:rsid w:val="008249F7"/>
    <w:rsid w:val="00824B17"/>
    <w:rsid w:val="00824B74"/>
    <w:rsid w:val="00824C0E"/>
    <w:rsid w:val="00824C7E"/>
    <w:rsid w:val="00824CB7"/>
    <w:rsid w:val="00824CDC"/>
    <w:rsid w:val="00824D88"/>
    <w:rsid w:val="00824DE0"/>
    <w:rsid w:val="00824E31"/>
    <w:rsid w:val="00824E3D"/>
    <w:rsid w:val="00824EA3"/>
    <w:rsid w:val="00824EF7"/>
    <w:rsid w:val="00824FD5"/>
    <w:rsid w:val="00824FFF"/>
    <w:rsid w:val="00825038"/>
    <w:rsid w:val="008250CE"/>
    <w:rsid w:val="00825108"/>
    <w:rsid w:val="008251BA"/>
    <w:rsid w:val="008251F5"/>
    <w:rsid w:val="00825307"/>
    <w:rsid w:val="00825395"/>
    <w:rsid w:val="0082544D"/>
    <w:rsid w:val="00825462"/>
    <w:rsid w:val="00825477"/>
    <w:rsid w:val="008254F3"/>
    <w:rsid w:val="0082563F"/>
    <w:rsid w:val="008256A5"/>
    <w:rsid w:val="0082570A"/>
    <w:rsid w:val="0082578C"/>
    <w:rsid w:val="0082580D"/>
    <w:rsid w:val="0082588A"/>
    <w:rsid w:val="00825896"/>
    <w:rsid w:val="008258B6"/>
    <w:rsid w:val="00825904"/>
    <w:rsid w:val="0082597C"/>
    <w:rsid w:val="00825B75"/>
    <w:rsid w:val="00825B86"/>
    <w:rsid w:val="00825B9E"/>
    <w:rsid w:val="00825BB1"/>
    <w:rsid w:val="00825BD6"/>
    <w:rsid w:val="00825C1F"/>
    <w:rsid w:val="00825CE3"/>
    <w:rsid w:val="00825D16"/>
    <w:rsid w:val="00825DAD"/>
    <w:rsid w:val="00825E21"/>
    <w:rsid w:val="00825E40"/>
    <w:rsid w:val="00825EB9"/>
    <w:rsid w:val="00825F06"/>
    <w:rsid w:val="00825F9D"/>
    <w:rsid w:val="00825FAB"/>
    <w:rsid w:val="00826046"/>
    <w:rsid w:val="0082609D"/>
    <w:rsid w:val="008260FD"/>
    <w:rsid w:val="00826246"/>
    <w:rsid w:val="008263D9"/>
    <w:rsid w:val="008264E3"/>
    <w:rsid w:val="0082658E"/>
    <w:rsid w:val="0082665F"/>
    <w:rsid w:val="00826686"/>
    <w:rsid w:val="00826756"/>
    <w:rsid w:val="0082682C"/>
    <w:rsid w:val="0082684E"/>
    <w:rsid w:val="008268CC"/>
    <w:rsid w:val="00826A25"/>
    <w:rsid w:val="00826A9C"/>
    <w:rsid w:val="00826B0B"/>
    <w:rsid w:val="00826B88"/>
    <w:rsid w:val="00826B89"/>
    <w:rsid w:val="00826BE4"/>
    <w:rsid w:val="00826C81"/>
    <w:rsid w:val="00826C8F"/>
    <w:rsid w:val="00826D12"/>
    <w:rsid w:val="00826D35"/>
    <w:rsid w:val="00826FD6"/>
    <w:rsid w:val="00827027"/>
    <w:rsid w:val="00827080"/>
    <w:rsid w:val="0082709D"/>
    <w:rsid w:val="008270FB"/>
    <w:rsid w:val="00827342"/>
    <w:rsid w:val="0082735C"/>
    <w:rsid w:val="008273A1"/>
    <w:rsid w:val="008273A2"/>
    <w:rsid w:val="008273B4"/>
    <w:rsid w:val="008273D9"/>
    <w:rsid w:val="008274B7"/>
    <w:rsid w:val="0082756A"/>
    <w:rsid w:val="00827611"/>
    <w:rsid w:val="008276BF"/>
    <w:rsid w:val="00827751"/>
    <w:rsid w:val="00827822"/>
    <w:rsid w:val="008278A8"/>
    <w:rsid w:val="008278DA"/>
    <w:rsid w:val="008279C5"/>
    <w:rsid w:val="00827AE3"/>
    <w:rsid w:val="00827B1B"/>
    <w:rsid w:val="00827B22"/>
    <w:rsid w:val="00827B2E"/>
    <w:rsid w:val="00827BF8"/>
    <w:rsid w:val="00827C2D"/>
    <w:rsid w:val="00827C80"/>
    <w:rsid w:val="00827D03"/>
    <w:rsid w:val="00827DB8"/>
    <w:rsid w:val="00827EA7"/>
    <w:rsid w:val="0083003F"/>
    <w:rsid w:val="00830135"/>
    <w:rsid w:val="00830145"/>
    <w:rsid w:val="008301D7"/>
    <w:rsid w:val="0083022B"/>
    <w:rsid w:val="0083037A"/>
    <w:rsid w:val="00830400"/>
    <w:rsid w:val="0083040D"/>
    <w:rsid w:val="00830541"/>
    <w:rsid w:val="0083054E"/>
    <w:rsid w:val="00830806"/>
    <w:rsid w:val="008308F6"/>
    <w:rsid w:val="0083090A"/>
    <w:rsid w:val="00830963"/>
    <w:rsid w:val="00830A05"/>
    <w:rsid w:val="00830B09"/>
    <w:rsid w:val="00830B98"/>
    <w:rsid w:val="00830BD7"/>
    <w:rsid w:val="00830BDF"/>
    <w:rsid w:val="00830C0F"/>
    <w:rsid w:val="00830C25"/>
    <w:rsid w:val="00830D75"/>
    <w:rsid w:val="00830F72"/>
    <w:rsid w:val="00831068"/>
    <w:rsid w:val="0083109D"/>
    <w:rsid w:val="008310AC"/>
    <w:rsid w:val="008310D2"/>
    <w:rsid w:val="0083122F"/>
    <w:rsid w:val="008312A8"/>
    <w:rsid w:val="00831571"/>
    <w:rsid w:val="008315D0"/>
    <w:rsid w:val="008316EB"/>
    <w:rsid w:val="0083170E"/>
    <w:rsid w:val="0083174F"/>
    <w:rsid w:val="008318B3"/>
    <w:rsid w:val="00831905"/>
    <w:rsid w:val="0083198F"/>
    <w:rsid w:val="00831A9C"/>
    <w:rsid w:val="00831B13"/>
    <w:rsid w:val="00831C9A"/>
    <w:rsid w:val="00831CBA"/>
    <w:rsid w:val="00831D1F"/>
    <w:rsid w:val="00831D42"/>
    <w:rsid w:val="00831ED1"/>
    <w:rsid w:val="00831F1D"/>
    <w:rsid w:val="00831F94"/>
    <w:rsid w:val="0083208F"/>
    <w:rsid w:val="008320A7"/>
    <w:rsid w:val="008321E4"/>
    <w:rsid w:val="00832231"/>
    <w:rsid w:val="0083247E"/>
    <w:rsid w:val="00832509"/>
    <w:rsid w:val="00832532"/>
    <w:rsid w:val="008325F2"/>
    <w:rsid w:val="00832683"/>
    <w:rsid w:val="008326C9"/>
    <w:rsid w:val="00832735"/>
    <w:rsid w:val="00832801"/>
    <w:rsid w:val="00832824"/>
    <w:rsid w:val="00832852"/>
    <w:rsid w:val="00832942"/>
    <w:rsid w:val="0083299E"/>
    <w:rsid w:val="00832A23"/>
    <w:rsid w:val="00832A2B"/>
    <w:rsid w:val="00832A7B"/>
    <w:rsid w:val="00832C18"/>
    <w:rsid w:val="00832C27"/>
    <w:rsid w:val="00832DFD"/>
    <w:rsid w:val="00832E4A"/>
    <w:rsid w:val="00832E5B"/>
    <w:rsid w:val="00832E7D"/>
    <w:rsid w:val="00832ED3"/>
    <w:rsid w:val="00832F46"/>
    <w:rsid w:val="00833066"/>
    <w:rsid w:val="008330C9"/>
    <w:rsid w:val="00833289"/>
    <w:rsid w:val="008332CB"/>
    <w:rsid w:val="008333B0"/>
    <w:rsid w:val="008333C1"/>
    <w:rsid w:val="008333DF"/>
    <w:rsid w:val="0083363B"/>
    <w:rsid w:val="00833736"/>
    <w:rsid w:val="00833747"/>
    <w:rsid w:val="0083379B"/>
    <w:rsid w:val="00833819"/>
    <w:rsid w:val="008338A3"/>
    <w:rsid w:val="008338E0"/>
    <w:rsid w:val="00833922"/>
    <w:rsid w:val="00833951"/>
    <w:rsid w:val="00833A45"/>
    <w:rsid w:val="00833A74"/>
    <w:rsid w:val="00833A75"/>
    <w:rsid w:val="00833CCE"/>
    <w:rsid w:val="00833CFE"/>
    <w:rsid w:val="00833D0E"/>
    <w:rsid w:val="00833D4A"/>
    <w:rsid w:val="00833D55"/>
    <w:rsid w:val="00833F21"/>
    <w:rsid w:val="00833F43"/>
    <w:rsid w:val="00833F76"/>
    <w:rsid w:val="00833F9D"/>
    <w:rsid w:val="00834159"/>
    <w:rsid w:val="0083415F"/>
    <w:rsid w:val="008341BC"/>
    <w:rsid w:val="00834237"/>
    <w:rsid w:val="00834255"/>
    <w:rsid w:val="00834258"/>
    <w:rsid w:val="008344A3"/>
    <w:rsid w:val="00834592"/>
    <w:rsid w:val="00834615"/>
    <w:rsid w:val="00834622"/>
    <w:rsid w:val="00834669"/>
    <w:rsid w:val="008346BA"/>
    <w:rsid w:val="008348FD"/>
    <w:rsid w:val="0083490B"/>
    <w:rsid w:val="0083494F"/>
    <w:rsid w:val="00834993"/>
    <w:rsid w:val="00834AFF"/>
    <w:rsid w:val="00834B01"/>
    <w:rsid w:val="00834B65"/>
    <w:rsid w:val="00834C19"/>
    <w:rsid w:val="00834C4D"/>
    <w:rsid w:val="00834C98"/>
    <w:rsid w:val="00834EBB"/>
    <w:rsid w:val="00834EFF"/>
    <w:rsid w:val="00834F15"/>
    <w:rsid w:val="00834F5E"/>
    <w:rsid w:val="00834FEC"/>
    <w:rsid w:val="00835039"/>
    <w:rsid w:val="008350FB"/>
    <w:rsid w:val="00835192"/>
    <w:rsid w:val="0083521F"/>
    <w:rsid w:val="00835254"/>
    <w:rsid w:val="00835265"/>
    <w:rsid w:val="0083528B"/>
    <w:rsid w:val="00835308"/>
    <w:rsid w:val="00835506"/>
    <w:rsid w:val="00835537"/>
    <w:rsid w:val="00835619"/>
    <w:rsid w:val="00835705"/>
    <w:rsid w:val="00835715"/>
    <w:rsid w:val="008357E2"/>
    <w:rsid w:val="008358B7"/>
    <w:rsid w:val="0083595E"/>
    <w:rsid w:val="00835A5A"/>
    <w:rsid w:val="00835A76"/>
    <w:rsid w:val="00835B49"/>
    <w:rsid w:val="00835BAC"/>
    <w:rsid w:val="00835C1D"/>
    <w:rsid w:val="00835D18"/>
    <w:rsid w:val="00835D65"/>
    <w:rsid w:val="00835D8B"/>
    <w:rsid w:val="00835D96"/>
    <w:rsid w:val="00835E74"/>
    <w:rsid w:val="00835EC9"/>
    <w:rsid w:val="00835F0C"/>
    <w:rsid w:val="00835F38"/>
    <w:rsid w:val="00835FF2"/>
    <w:rsid w:val="00836151"/>
    <w:rsid w:val="00836199"/>
    <w:rsid w:val="00836284"/>
    <w:rsid w:val="008363ED"/>
    <w:rsid w:val="0083641A"/>
    <w:rsid w:val="0083657D"/>
    <w:rsid w:val="00836718"/>
    <w:rsid w:val="00836741"/>
    <w:rsid w:val="00836755"/>
    <w:rsid w:val="00836764"/>
    <w:rsid w:val="0083682C"/>
    <w:rsid w:val="00836A7C"/>
    <w:rsid w:val="00836C1F"/>
    <w:rsid w:val="00836C44"/>
    <w:rsid w:val="00836CD7"/>
    <w:rsid w:val="00836CD9"/>
    <w:rsid w:val="00836D0C"/>
    <w:rsid w:val="00836DE4"/>
    <w:rsid w:val="00836EC0"/>
    <w:rsid w:val="00836ECD"/>
    <w:rsid w:val="00836ECE"/>
    <w:rsid w:val="00836F7E"/>
    <w:rsid w:val="00836FB5"/>
    <w:rsid w:val="008370BC"/>
    <w:rsid w:val="008371A8"/>
    <w:rsid w:val="008372B9"/>
    <w:rsid w:val="008372C5"/>
    <w:rsid w:val="00837355"/>
    <w:rsid w:val="00837695"/>
    <w:rsid w:val="008376B7"/>
    <w:rsid w:val="008377CB"/>
    <w:rsid w:val="00837800"/>
    <w:rsid w:val="00837801"/>
    <w:rsid w:val="00837880"/>
    <w:rsid w:val="008378BF"/>
    <w:rsid w:val="00837955"/>
    <w:rsid w:val="00837963"/>
    <w:rsid w:val="00837A06"/>
    <w:rsid w:val="00837AA9"/>
    <w:rsid w:val="00837B8C"/>
    <w:rsid w:val="00837C9E"/>
    <w:rsid w:val="00837D02"/>
    <w:rsid w:val="00837E8F"/>
    <w:rsid w:val="00837F88"/>
    <w:rsid w:val="00837FCC"/>
    <w:rsid w:val="008401B3"/>
    <w:rsid w:val="00840409"/>
    <w:rsid w:val="0084045F"/>
    <w:rsid w:val="0084049C"/>
    <w:rsid w:val="008404A5"/>
    <w:rsid w:val="00840508"/>
    <w:rsid w:val="0084052F"/>
    <w:rsid w:val="00840603"/>
    <w:rsid w:val="00840689"/>
    <w:rsid w:val="008406B3"/>
    <w:rsid w:val="008406E7"/>
    <w:rsid w:val="0084074C"/>
    <w:rsid w:val="00840870"/>
    <w:rsid w:val="00840900"/>
    <w:rsid w:val="008409DB"/>
    <w:rsid w:val="00840CC8"/>
    <w:rsid w:val="00840D18"/>
    <w:rsid w:val="00840D93"/>
    <w:rsid w:val="00840DB1"/>
    <w:rsid w:val="00840DB6"/>
    <w:rsid w:val="00840DBF"/>
    <w:rsid w:val="00840DF2"/>
    <w:rsid w:val="00840E06"/>
    <w:rsid w:val="00840F4E"/>
    <w:rsid w:val="00840F58"/>
    <w:rsid w:val="00840F9B"/>
    <w:rsid w:val="00840FAB"/>
    <w:rsid w:val="0084105F"/>
    <w:rsid w:val="008411AD"/>
    <w:rsid w:val="00841388"/>
    <w:rsid w:val="00841477"/>
    <w:rsid w:val="008414D1"/>
    <w:rsid w:val="008414D4"/>
    <w:rsid w:val="008414FE"/>
    <w:rsid w:val="008415D0"/>
    <w:rsid w:val="0084162F"/>
    <w:rsid w:val="008416D1"/>
    <w:rsid w:val="00841810"/>
    <w:rsid w:val="00841855"/>
    <w:rsid w:val="00841888"/>
    <w:rsid w:val="008418C8"/>
    <w:rsid w:val="00841917"/>
    <w:rsid w:val="00841A68"/>
    <w:rsid w:val="00841A72"/>
    <w:rsid w:val="00841A84"/>
    <w:rsid w:val="00841B38"/>
    <w:rsid w:val="00841B95"/>
    <w:rsid w:val="00841CAF"/>
    <w:rsid w:val="00841E2A"/>
    <w:rsid w:val="00841EFB"/>
    <w:rsid w:val="00841F27"/>
    <w:rsid w:val="00841F36"/>
    <w:rsid w:val="00841F44"/>
    <w:rsid w:val="00842002"/>
    <w:rsid w:val="008420F0"/>
    <w:rsid w:val="00842108"/>
    <w:rsid w:val="008421AC"/>
    <w:rsid w:val="00842228"/>
    <w:rsid w:val="008422C8"/>
    <w:rsid w:val="00842379"/>
    <w:rsid w:val="008423FF"/>
    <w:rsid w:val="00842489"/>
    <w:rsid w:val="00842608"/>
    <w:rsid w:val="00842695"/>
    <w:rsid w:val="008426D0"/>
    <w:rsid w:val="00842777"/>
    <w:rsid w:val="008427DE"/>
    <w:rsid w:val="00842800"/>
    <w:rsid w:val="008428B0"/>
    <w:rsid w:val="00842946"/>
    <w:rsid w:val="00842954"/>
    <w:rsid w:val="008429D7"/>
    <w:rsid w:val="008429DB"/>
    <w:rsid w:val="00842A34"/>
    <w:rsid w:val="00842A45"/>
    <w:rsid w:val="00842A80"/>
    <w:rsid w:val="00842ABD"/>
    <w:rsid w:val="00842B37"/>
    <w:rsid w:val="00842C7D"/>
    <w:rsid w:val="00842C82"/>
    <w:rsid w:val="00842E79"/>
    <w:rsid w:val="00842EAC"/>
    <w:rsid w:val="0084303E"/>
    <w:rsid w:val="00843103"/>
    <w:rsid w:val="00843108"/>
    <w:rsid w:val="008433DC"/>
    <w:rsid w:val="00843550"/>
    <w:rsid w:val="0084363C"/>
    <w:rsid w:val="00843644"/>
    <w:rsid w:val="008436D7"/>
    <w:rsid w:val="008436E0"/>
    <w:rsid w:val="00843758"/>
    <w:rsid w:val="008438E8"/>
    <w:rsid w:val="00843931"/>
    <w:rsid w:val="00843A08"/>
    <w:rsid w:val="00843AB4"/>
    <w:rsid w:val="00843BB6"/>
    <w:rsid w:val="00843BC5"/>
    <w:rsid w:val="00843C80"/>
    <w:rsid w:val="00843CE2"/>
    <w:rsid w:val="00843D9E"/>
    <w:rsid w:val="00843E03"/>
    <w:rsid w:val="00843E3A"/>
    <w:rsid w:val="00843F82"/>
    <w:rsid w:val="00843FEC"/>
    <w:rsid w:val="0084405F"/>
    <w:rsid w:val="0084408D"/>
    <w:rsid w:val="0084409D"/>
    <w:rsid w:val="008440FE"/>
    <w:rsid w:val="00844188"/>
    <w:rsid w:val="0084419F"/>
    <w:rsid w:val="00844253"/>
    <w:rsid w:val="008442EE"/>
    <w:rsid w:val="008443C5"/>
    <w:rsid w:val="008443C7"/>
    <w:rsid w:val="00844448"/>
    <w:rsid w:val="00844535"/>
    <w:rsid w:val="00844710"/>
    <w:rsid w:val="00844930"/>
    <w:rsid w:val="00844931"/>
    <w:rsid w:val="00844978"/>
    <w:rsid w:val="008449A9"/>
    <w:rsid w:val="008449EB"/>
    <w:rsid w:val="00844AC3"/>
    <w:rsid w:val="00844B73"/>
    <w:rsid w:val="00844C2C"/>
    <w:rsid w:val="00844C35"/>
    <w:rsid w:val="00844CD3"/>
    <w:rsid w:val="00844D17"/>
    <w:rsid w:val="00844D5B"/>
    <w:rsid w:val="00844D88"/>
    <w:rsid w:val="00844DAC"/>
    <w:rsid w:val="00845130"/>
    <w:rsid w:val="0084515E"/>
    <w:rsid w:val="008451A3"/>
    <w:rsid w:val="0084520D"/>
    <w:rsid w:val="0084532C"/>
    <w:rsid w:val="008453F1"/>
    <w:rsid w:val="00845605"/>
    <w:rsid w:val="008456AF"/>
    <w:rsid w:val="008457AB"/>
    <w:rsid w:val="00845827"/>
    <w:rsid w:val="00845828"/>
    <w:rsid w:val="0084582F"/>
    <w:rsid w:val="008458CC"/>
    <w:rsid w:val="008458FB"/>
    <w:rsid w:val="00845A06"/>
    <w:rsid w:val="00845AC9"/>
    <w:rsid w:val="00845D3B"/>
    <w:rsid w:val="00845D49"/>
    <w:rsid w:val="00845DE3"/>
    <w:rsid w:val="00845DEA"/>
    <w:rsid w:val="00845E39"/>
    <w:rsid w:val="00845EE1"/>
    <w:rsid w:val="00845F0E"/>
    <w:rsid w:val="00845F20"/>
    <w:rsid w:val="00845FF7"/>
    <w:rsid w:val="0084603E"/>
    <w:rsid w:val="008460F0"/>
    <w:rsid w:val="00846110"/>
    <w:rsid w:val="00846119"/>
    <w:rsid w:val="0084629F"/>
    <w:rsid w:val="008462CE"/>
    <w:rsid w:val="0084631E"/>
    <w:rsid w:val="00846367"/>
    <w:rsid w:val="0084647D"/>
    <w:rsid w:val="0084669A"/>
    <w:rsid w:val="008466EF"/>
    <w:rsid w:val="0084676D"/>
    <w:rsid w:val="008467DB"/>
    <w:rsid w:val="008468AF"/>
    <w:rsid w:val="00846933"/>
    <w:rsid w:val="00846A01"/>
    <w:rsid w:val="00846A41"/>
    <w:rsid w:val="00846B3A"/>
    <w:rsid w:val="00846BBB"/>
    <w:rsid w:val="00846BC5"/>
    <w:rsid w:val="00846BDC"/>
    <w:rsid w:val="00846E38"/>
    <w:rsid w:val="00846F48"/>
    <w:rsid w:val="00846F9C"/>
    <w:rsid w:val="0084707A"/>
    <w:rsid w:val="008470F0"/>
    <w:rsid w:val="00847141"/>
    <w:rsid w:val="00847157"/>
    <w:rsid w:val="008471B7"/>
    <w:rsid w:val="008471C6"/>
    <w:rsid w:val="00847228"/>
    <w:rsid w:val="00847258"/>
    <w:rsid w:val="008472DC"/>
    <w:rsid w:val="008472EB"/>
    <w:rsid w:val="008473C7"/>
    <w:rsid w:val="0084747E"/>
    <w:rsid w:val="0084748C"/>
    <w:rsid w:val="008474C9"/>
    <w:rsid w:val="008474E3"/>
    <w:rsid w:val="008474F7"/>
    <w:rsid w:val="00847529"/>
    <w:rsid w:val="00847611"/>
    <w:rsid w:val="00847639"/>
    <w:rsid w:val="008478D3"/>
    <w:rsid w:val="008478FA"/>
    <w:rsid w:val="00847BA2"/>
    <w:rsid w:val="00847CB3"/>
    <w:rsid w:val="00847ED5"/>
    <w:rsid w:val="00847FA3"/>
    <w:rsid w:val="00847FAD"/>
    <w:rsid w:val="00847FCA"/>
    <w:rsid w:val="00850072"/>
    <w:rsid w:val="008500C7"/>
    <w:rsid w:val="00850119"/>
    <w:rsid w:val="00850124"/>
    <w:rsid w:val="00850207"/>
    <w:rsid w:val="00850275"/>
    <w:rsid w:val="00850276"/>
    <w:rsid w:val="008503A3"/>
    <w:rsid w:val="00850555"/>
    <w:rsid w:val="00850583"/>
    <w:rsid w:val="008506A3"/>
    <w:rsid w:val="00850807"/>
    <w:rsid w:val="008508C5"/>
    <w:rsid w:val="0085093D"/>
    <w:rsid w:val="008509B1"/>
    <w:rsid w:val="008509E3"/>
    <w:rsid w:val="008509EB"/>
    <w:rsid w:val="00850B7E"/>
    <w:rsid w:val="00850B80"/>
    <w:rsid w:val="00850B84"/>
    <w:rsid w:val="00850D24"/>
    <w:rsid w:val="00850ECD"/>
    <w:rsid w:val="00850F0C"/>
    <w:rsid w:val="00850FF8"/>
    <w:rsid w:val="00851058"/>
    <w:rsid w:val="00851126"/>
    <w:rsid w:val="0085112A"/>
    <w:rsid w:val="008511A2"/>
    <w:rsid w:val="00851249"/>
    <w:rsid w:val="00851340"/>
    <w:rsid w:val="0085158C"/>
    <w:rsid w:val="008515A1"/>
    <w:rsid w:val="008515BD"/>
    <w:rsid w:val="008516B9"/>
    <w:rsid w:val="00851787"/>
    <w:rsid w:val="00851830"/>
    <w:rsid w:val="00851B9C"/>
    <w:rsid w:val="00851C48"/>
    <w:rsid w:val="00851C8C"/>
    <w:rsid w:val="00851EE9"/>
    <w:rsid w:val="00851FAD"/>
    <w:rsid w:val="00852015"/>
    <w:rsid w:val="00852036"/>
    <w:rsid w:val="00852046"/>
    <w:rsid w:val="0085227A"/>
    <w:rsid w:val="00852293"/>
    <w:rsid w:val="008523AD"/>
    <w:rsid w:val="008523C4"/>
    <w:rsid w:val="00852432"/>
    <w:rsid w:val="008524A5"/>
    <w:rsid w:val="00852577"/>
    <w:rsid w:val="00852648"/>
    <w:rsid w:val="0085270F"/>
    <w:rsid w:val="008527ED"/>
    <w:rsid w:val="008529E5"/>
    <w:rsid w:val="00852B29"/>
    <w:rsid w:val="00852B3C"/>
    <w:rsid w:val="00852B42"/>
    <w:rsid w:val="00852B84"/>
    <w:rsid w:val="00852C2F"/>
    <w:rsid w:val="00852C49"/>
    <w:rsid w:val="00852DC1"/>
    <w:rsid w:val="00852DC5"/>
    <w:rsid w:val="00852F2A"/>
    <w:rsid w:val="00852FFB"/>
    <w:rsid w:val="008530F5"/>
    <w:rsid w:val="0085328B"/>
    <w:rsid w:val="008532DA"/>
    <w:rsid w:val="008534D8"/>
    <w:rsid w:val="00853535"/>
    <w:rsid w:val="00853568"/>
    <w:rsid w:val="00853578"/>
    <w:rsid w:val="00853664"/>
    <w:rsid w:val="008536C5"/>
    <w:rsid w:val="0085379F"/>
    <w:rsid w:val="008537D7"/>
    <w:rsid w:val="008537F7"/>
    <w:rsid w:val="00853895"/>
    <w:rsid w:val="00853947"/>
    <w:rsid w:val="008539CC"/>
    <w:rsid w:val="00853B2C"/>
    <w:rsid w:val="00853CD2"/>
    <w:rsid w:val="00853CFD"/>
    <w:rsid w:val="00853D59"/>
    <w:rsid w:val="00853EF0"/>
    <w:rsid w:val="00853F50"/>
    <w:rsid w:val="00854025"/>
    <w:rsid w:val="0085403A"/>
    <w:rsid w:val="00854197"/>
    <w:rsid w:val="008541E2"/>
    <w:rsid w:val="008541FD"/>
    <w:rsid w:val="00854243"/>
    <w:rsid w:val="008542A6"/>
    <w:rsid w:val="008542ED"/>
    <w:rsid w:val="008543D4"/>
    <w:rsid w:val="0085440B"/>
    <w:rsid w:val="008544BD"/>
    <w:rsid w:val="008544F3"/>
    <w:rsid w:val="008546BE"/>
    <w:rsid w:val="00854770"/>
    <w:rsid w:val="0085488D"/>
    <w:rsid w:val="00854899"/>
    <w:rsid w:val="0085489D"/>
    <w:rsid w:val="008548FD"/>
    <w:rsid w:val="0085491C"/>
    <w:rsid w:val="00854956"/>
    <w:rsid w:val="0085497F"/>
    <w:rsid w:val="00854B2B"/>
    <w:rsid w:val="00854B41"/>
    <w:rsid w:val="00854C2E"/>
    <w:rsid w:val="00854C3C"/>
    <w:rsid w:val="00854C5B"/>
    <w:rsid w:val="00854C9D"/>
    <w:rsid w:val="00854CAA"/>
    <w:rsid w:val="00854D9A"/>
    <w:rsid w:val="00854E3C"/>
    <w:rsid w:val="00854E5A"/>
    <w:rsid w:val="00854E66"/>
    <w:rsid w:val="00854E9E"/>
    <w:rsid w:val="00854EA8"/>
    <w:rsid w:val="00854EAE"/>
    <w:rsid w:val="00854FF7"/>
    <w:rsid w:val="00855005"/>
    <w:rsid w:val="0085502D"/>
    <w:rsid w:val="008552DF"/>
    <w:rsid w:val="008553CE"/>
    <w:rsid w:val="008553D2"/>
    <w:rsid w:val="008555E1"/>
    <w:rsid w:val="008555F2"/>
    <w:rsid w:val="00855685"/>
    <w:rsid w:val="008556CA"/>
    <w:rsid w:val="0085572F"/>
    <w:rsid w:val="0085579B"/>
    <w:rsid w:val="00855889"/>
    <w:rsid w:val="008558A5"/>
    <w:rsid w:val="008558B0"/>
    <w:rsid w:val="008558B2"/>
    <w:rsid w:val="008559A4"/>
    <w:rsid w:val="00855B0B"/>
    <w:rsid w:val="00855B76"/>
    <w:rsid w:val="00855B87"/>
    <w:rsid w:val="00855B97"/>
    <w:rsid w:val="00855C37"/>
    <w:rsid w:val="00855C5D"/>
    <w:rsid w:val="00855C89"/>
    <w:rsid w:val="00855CDA"/>
    <w:rsid w:val="00855D8D"/>
    <w:rsid w:val="00856074"/>
    <w:rsid w:val="008560AC"/>
    <w:rsid w:val="00856103"/>
    <w:rsid w:val="0085618C"/>
    <w:rsid w:val="0085619C"/>
    <w:rsid w:val="0085619E"/>
    <w:rsid w:val="008561A2"/>
    <w:rsid w:val="00856204"/>
    <w:rsid w:val="008563FB"/>
    <w:rsid w:val="008565F9"/>
    <w:rsid w:val="00856608"/>
    <w:rsid w:val="008566A3"/>
    <w:rsid w:val="008567AF"/>
    <w:rsid w:val="00856867"/>
    <w:rsid w:val="00856A1D"/>
    <w:rsid w:val="00856A30"/>
    <w:rsid w:val="00856AD9"/>
    <w:rsid w:val="00856B29"/>
    <w:rsid w:val="00856B51"/>
    <w:rsid w:val="00856BD7"/>
    <w:rsid w:val="00856C07"/>
    <w:rsid w:val="00856C97"/>
    <w:rsid w:val="00856D5F"/>
    <w:rsid w:val="00856DD9"/>
    <w:rsid w:val="00856EF3"/>
    <w:rsid w:val="00856F1A"/>
    <w:rsid w:val="00856F2F"/>
    <w:rsid w:val="00856FEE"/>
    <w:rsid w:val="008570B9"/>
    <w:rsid w:val="008570EA"/>
    <w:rsid w:val="0085729E"/>
    <w:rsid w:val="008572EA"/>
    <w:rsid w:val="00857361"/>
    <w:rsid w:val="00857378"/>
    <w:rsid w:val="008573D5"/>
    <w:rsid w:val="00857415"/>
    <w:rsid w:val="00857443"/>
    <w:rsid w:val="0085744B"/>
    <w:rsid w:val="0085744E"/>
    <w:rsid w:val="00857735"/>
    <w:rsid w:val="0085780A"/>
    <w:rsid w:val="00857827"/>
    <w:rsid w:val="0085783D"/>
    <w:rsid w:val="00857855"/>
    <w:rsid w:val="0085787D"/>
    <w:rsid w:val="008578E7"/>
    <w:rsid w:val="008578F8"/>
    <w:rsid w:val="00857922"/>
    <w:rsid w:val="0085792F"/>
    <w:rsid w:val="00857949"/>
    <w:rsid w:val="008579AE"/>
    <w:rsid w:val="00857A63"/>
    <w:rsid w:val="00857B22"/>
    <w:rsid w:val="00857C19"/>
    <w:rsid w:val="00857C5E"/>
    <w:rsid w:val="00857C95"/>
    <w:rsid w:val="00857D2C"/>
    <w:rsid w:val="00857D35"/>
    <w:rsid w:val="00857D71"/>
    <w:rsid w:val="00857E9B"/>
    <w:rsid w:val="00857EB1"/>
    <w:rsid w:val="00857F55"/>
    <w:rsid w:val="00857F61"/>
    <w:rsid w:val="00857F6D"/>
    <w:rsid w:val="00857FA3"/>
    <w:rsid w:val="00860041"/>
    <w:rsid w:val="00860071"/>
    <w:rsid w:val="008600C9"/>
    <w:rsid w:val="008601F9"/>
    <w:rsid w:val="008601FC"/>
    <w:rsid w:val="00860210"/>
    <w:rsid w:val="0086021E"/>
    <w:rsid w:val="0086037D"/>
    <w:rsid w:val="008603EA"/>
    <w:rsid w:val="0086043E"/>
    <w:rsid w:val="008604A3"/>
    <w:rsid w:val="008604F4"/>
    <w:rsid w:val="008604F7"/>
    <w:rsid w:val="00860531"/>
    <w:rsid w:val="00860538"/>
    <w:rsid w:val="00860709"/>
    <w:rsid w:val="0086079E"/>
    <w:rsid w:val="0086087E"/>
    <w:rsid w:val="008608F5"/>
    <w:rsid w:val="00860942"/>
    <w:rsid w:val="00860A3C"/>
    <w:rsid w:val="00860A50"/>
    <w:rsid w:val="00860AC1"/>
    <w:rsid w:val="00860B23"/>
    <w:rsid w:val="00860C3A"/>
    <w:rsid w:val="00860C4C"/>
    <w:rsid w:val="00860CC5"/>
    <w:rsid w:val="00860CD4"/>
    <w:rsid w:val="00860E41"/>
    <w:rsid w:val="00860F20"/>
    <w:rsid w:val="00860F86"/>
    <w:rsid w:val="00860F8F"/>
    <w:rsid w:val="00860F9F"/>
    <w:rsid w:val="00861063"/>
    <w:rsid w:val="008610A2"/>
    <w:rsid w:val="008612C4"/>
    <w:rsid w:val="00861436"/>
    <w:rsid w:val="008615D5"/>
    <w:rsid w:val="00861734"/>
    <w:rsid w:val="008617AE"/>
    <w:rsid w:val="00861815"/>
    <w:rsid w:val="008618CC"/>
    <w:rsid w:val="008618E5"/>
    <w:rsid w:val="008619C8"/>
    <w:rsid w:val="00861A8E"/>
    <w:rsid w:val="00861AEB"/>
    <w:rsid w:val="00861DD3"/>
    <w:rsid w:val="00861E62"/>
    <w:rsid w:val="00861F14"/>
    <w:rsid w:val="00861F41"/>
    <w:rsid w:val="00861F4F"/>
    <w:rsid w:val="00861F50"/>
    <w:rsid w:val="00862184"/>
    <w:rsid w:val="00862314"/>
    <w:rsid w:val="008623AE"/>
    <w:rsid w:val="008623CE"/>
    <w:rsid w:val="008623E4"/>
    <w:rsid w:val="00862400"/>
    <w:rsid w:val="00862468"/>
    <w:rsid w:val="008624AC"/>
    <w:rsid w:val="0086258F"/>
    <w:rsid w:val="008625B6"/>
    <w:rsid w:val="00862880"/>
    <w:rsid w:val="00862909"/>
    <w:rsid w:val="0086292F"/>
    <w:rsid w:val="00862A13"/>
    <w:rsid w:val="00862ACC"/>
    <w:rsid w:val="00862AF8"/>
    <w:rsid w:val="00862B83"/>
    <w:rsid w:val="00862C61"/>
    <w:rsid w:val="00862D09"/>
    <w:rsid w:val="00862D7A"/>
    <w:rsid w:val="00862E18"/>
    <w:rsid w:val="0086310A"/>
    <w:rsid w:val="00863131"/>
    <w:rsid w:val="008631AF"/>
    <w:rsid w:val="008632DA"/>
    <w:rsid w:val="00863334"/>
    <w:rsid w:val="00863351"/>
    <w:rsid w:val="00863442"/>
    <w:rsid w:val="008634F5"/>
    <w:rsid w:val="00863535"/>
    <w:rsid w:val="008635B5"/>
    <w:rsid w:val="008637ED"/>
    <w:rsid w:val="00863832"/>
    <w:rsid w:val="0086384C"/>
    <w:rsid w:val="00863885"/>
    <w:rsid w:val="0086393B"/>
    <w:rsid w:val="00863A0B"/>
    <w:rsid w:val="00863A59"/>
    <w:rsid w:val="00863A97"/>
    <w:rsid w:val="00863AA0"/>
    <w:rsid w:val="00863C18"/>
    <w:rsid w:val="00863C89"/>
    <w:rsid w:val="00863D11"/>
    <w:rsid w:val="00863D64"/>
    <w:rsid w:val="00863E78"/>
    <w:rsid w:val="00863F0D"/>
    <w:rsid w:val="00863F71"/>
    <w:rsid w:val="00864004"/>
    <w:rsid w:val="00864098"/>
    <w:rsid w:val="008640D9"/>
    <w:rsid w:val="008640F7"/>
    <w:rsid w:val="0086415C"/>
    <w:rsid w:val="008641B9"/>
    <w:rsid w:val="008641C0"/>
    <w:rsid w:val="008641DF"/>
    <w:rsid w:val="00864252"/>
    <w:rsid w:val="008642FA"/>
    <w:rsid w:val="0086431E"/>
    <w:rsid w:val="00864414"/>
    <w:rsid w:val="008644AD"/>
    <w:rsid w:val="00864563"/>
    <w:rsid w:val="0086461C"/>
    <w:rsid w:val="008646BF"/>
    <w:rsid w:val="00864833"/>
    <w:rsid w:val="0086487D"/>
    <w:rsid w:val="00864955"/>
    <w:rsid w:val="00864A08"/>
    <w:rsid w:val="00864ABD"/>
    <w:rsid w:val="00864AE9"/>
    <w:rsid w:val="00864CB8"/>
    <w:rsid w:val="00864CBD"/>
    <w:rsid w:val="00864CE4"/>
    <w:rsid w:val="00864D09"/>
    <w:rsid w:val="00864EF8"/>
    <w:rsid w:val="00864FF5"/>
    <w:rsid w:val="00865083"/>
    <w:rsid w:val="008650F1"/>
    <w:rsid w:val="00865122"/>
    <w:rsid w:val="0086514A"/>
    <w:rsid w:val="0086517D"/>
    <w:rsid w:val="008651B0"/>
    <w:rsid w:val="00865256"/>
    <w:rsid w:val="00865299"/>
    <w:rsid w:val="0086529A"/>
    <w:rsid w:val="0086537A"/>
    <w:rsid w:val="00865401"/>
    <w:rsid w:val="00865455"/>
    <w:rsid w:val="00865591"/>
    <w:rsid w:val="008655A5"/>
    <w:rsid w:val="008655B7"/>
    <w:rsid w:val="008656FB"/>
    <w:rsid w:val="00865700"/>
    <w:rsid w:val="0086576B"/>
    <w:rsid w:val="00865803"/>
    <w:rsid w:val="0086580A"/>
    <w:rsid w:val="00865821"/>
    <w:rsid w:val="00865825"/>
    <w:rsid w:val="0086585E"/>
    <w:rsid w:val="008658A5"/>
    <w:rsid w:val="008659D6"/>
    <w:rsid w:val="00865A12"/>
    <w:rsid w:val="00865B66"/>
    <w:rsid w:val="00865C22"/>
    <w:rsid w:val="00865CA9"/>
    <w:rsid w:val="00865D1A"/>
    <w:rsid w:val="00865D6E"/>
    <w:rsid w:val="00865DC1"/>
    <w:rsid w:val="00865F38"/>
    <w:rsid w:val="00865F7D"/>
    <w:rsid w:val="00866006"/>
    <w:rsid w:val="0086603F"/>
    <w:rsid w:val="00866075"/>
    <w:rsid w:val="0086615A"/>
    <w:rsid w:val="0086622A"/>
    <w:rsid w:val="00866232"/>
    <w:rsid w:val="0086628A"/>
    <w:rsid w:val="00866331"/>
    <w:rsid w:val="00866333"/>
    <w:rsid w:val="0086633A"/>
    <w:rsid w:val="00866424"/>
    <w:rsid w:val="008664AF"/>
    <w:rsid w:val="008664B7"/>
    <w:rsid w:val="008665B3"/>
    <w:rsid w:val="00866678"/>
    <w:rsid w:val="008666CC"/>
    <w:rsid w:val="008666F0"/>
    <w:rsid w:val="00866732"/>
    <w:rsid w:val="008667D4"/>
    <w:rsid w:val="0086681C"/>
    <w:rsid w:val="00866850"/>
    <w:rsid w:val="008668BF"/>
    <w:rsid w:val="0086690D"/>
    <w:rsid w:val="0086695F"/>
    <w:rsid w:val="00866960"/>
    <w:rsid w:val="00866995"/>
    <w:rsid w:val="00866A25"/>
    <w:rsid w:val="00866C56"/>
    <w:rsid w:val="00866E9E"/>
    <w:rsid w:val="00866EED"/>
    <w:rsid w:val="00866F38"/>
    <w:rsid w:val="00866F5D"/>
    <w:rsid w:val="00867025"/>
    <w:rsid w:val="0086716C"/>
    <w:rsid w:val="008673C3"/>
    <w:rsid w:val="00867635"/>
    <w:rsid w:val="008676AE"/>
    <w:rsid w:val="008676CF"/>
    <w:rsid w:val="008676D8"/>
    <w:rsid w:val="0086774D"/>
    <w:rsid w:val="00867800"/>
    <w:rsid w:val="00867825"/>
    <w:rsid w:val="00867913"/>
    <w:rsid w:val="008679E8"/>
    <w:rsid w:val="00867A0F"/>
    <w:rsid w:val="00867A66"/>
    <w:rsid w:val="00867C23"/>
    <w:rsid w:val="00867C30"/>
    <w:rsid w:val="00867DD1"/>
    <w:rsid w:val="00867F14"/>
    <w:rsid w:val="00867F6C"/>
    <w:rsid w:val="00867FD5"/>
    <w:rsid w:val="00870064"/>
    <w:rsid w:val="008700D9"/>
    <w:rsid w:val="00870125"/>
    <w:rsid w:val="00870149"/>
    <w:rsid w:val="008701E4"/>
    <w:rsid w:val="008702AE"/>
    <w:rsid w:val="008703B8"/>
    <w:rsid w:val="008704F9"/>
    <w:rsid w:val="0087052F"/>
    <w:rsid w:val="00870783"/>
    <w:rsid w:val="008708CA"/>
    <w:rsid w:val="00870965"/>
    <w:rsid w:val="008709C5"/>
    <w:rsid w:val="00870A78"/>
    <w:rsid w:val="00870ADA"/>
    <w:rsid w:val="00870B10"/>
    <w:rsid w:val="00870B37"/>
    <w:rsid w:val="00870B67"/>
    <w:rsid w:val="00870C91"/>
    <w:rsid w:val="00870D9B"/>
    <w:rsid w:val="00870E1E"/>
    <w:rsid w:val="00870F32"/>
    <w:rsid w:val="00871038"/>
    <w:rsid w:val="00871055"/>
    <w:rsid w:val="0087108D"/>
    <w:rsid w:val="008710B4"/>
    <w:rsid w:val="00871121"/>
    <w:rsid w:val="00871274"/>
    <w:rsid w:val="0087127F"/>
    <w:rsid w:val="0087134D"/>
    <w:rsid w:val="00871487"/>
    <w:rsid w:val="00871653"/>
    <w:rsid w:val="00871693"/>
    <w:rsid w:val="008716EA"/>
    <w:rsid w:val="0087176D"/>
    <w:rsid w:val="008717AF"/>
    <w:rsid w:val="008717B3"/>
    <w:rsid w:val="008718CA"/>
    <w:rsid w:val="00871A70"/>
    <w:rsid w:val="00871C44"/>
    <w:rsid w:val="00871C87"/>
    <w:rsid w:val="00871DFA"/>
    <w:rsid w:val="0087200C"/>
    <w:rsid w:val="008720CB"/>
    <w:rsid w:val="00872106"/>
    <w:rsid w:val="00872121"/>
    <w:rsid w:val="0087214B"/>
    <w:rsid w:val="00872195"/>
    <w:rsid w:val="0087219E"/>
    <w:rsid w:val="00872399"/>
    <w:rsid w:val="00872439"/>
    <w:rsid w:val="008724FC"/>
    <w:rsid w:val="00872521"/>
    <w:rsid w:val="0087277A"/>
    <w:rsid w:val="008728C0"/>
    <w:rsid w:val="008728ED"/>
    <w:rsid w:val="00872919"/>
    <w:rsid w:val="00872A09"/>
    <w:rsid w:val="00872A47"/>
    <w:rsid w:val="00872AF9"/>
    <w:rsid w:val="00872B03"/>
    <w:rsid w:val="00872B62"/>
    <w:rsid w:val="00872B66"/>
    <w:rsid w:val="00872BFF"/>
    <w:rsid w:val="00872C70"/>
    <w:rsid w:val="00872CBC"/>
    <w:rsid w:val="00872D57"/>
    <w:rsid w:val="00872D5D"/>
    <w:rsid w:val="00872D65"/>
    <w:rsid w:val="00872EB1"/>
    <w:rsid w:val="00872FEE"/>
    <w:rsid w:val="008731A1"/>
    <w:rsid w:val="008731F2"/>
    <w:rsid w:val="00873250"/>
    <w:rsid w:val="008732F1"/>
    <w:rsid w:val="0087356B"/>
    <w:rsid w:val="00873599"/>
    <w:rsid w:val="008735E1"/>
    <w:rsid w:val="00873634"/>
    <w:rsid w:val="00873699"/>
    <w:rsid w:val="008736E2"/>
    <w:rsid w:val="0087379C"/>
    <w:rsid w:val="008737A2"/>
    <w:rsid w:val="008737A8"/>
    <w:rsid w:val="008738A4"/>
    <w:rsid w:val="00873907"/>
    <w:rsid w:val="0087395D"/>
    <w:rsid w:val="0087396A"/>
    <w:rsid w:val="0087397E"/>
    <w:rsid w:val="00873A17"/>
    <w:rsid w:val="00873A40"/>
    <w:rsid w:val="00873A93"/>
    <w:rsid w:val="00873AC9"/>
    <w:rsid w:val="00873AD2"/>
    <w:rsid w:val="00873BD1"/>
    <w:rsid w:val="00873BD6"/>
    <w:rsid w:val="00873C09"/>
    <w:rsid w:val="00873CE7"/>
    <w:rsid w:val="00873CEC"/>
    <w:rsid w:val="00873D0F"/>
    <w:rsid w:val="00873D88"/>
    <w:rsid w:val="00873D93"/>
    <w:rsid w:val="00873EB1"/>
    <w:rsid w:val="00873ECC"/>
    <w:rsid w:val="00873F03"/>
    <w:rsid w:val="00874110"/>
    <w:rsid w:val="0087411B"/>
    <w:rsid w:val="008741E0"/>
    <w:rsid w:val="00874393"/>
    <w:rsid w:val="008743E1"/>
    <w:rsid w:val="0087440C"/>
    <w:rsid w:val="008744EE"/>
    <w:rsid w:val="00874565"/>
    <w:rsid w:val="0087459F"/>
    <w:rsid w:val="00874683"/>
    <w:rsid w:val="008747AC"/>
    <w:rsid w:val="008747F6"/>
    <w:rsid w:val="0087485D"/>
    <w:rsid w:val="0087487E"/>
    <w:rsid w:val="008749CC"/>
    <w:rsid w:val="008749D1"/>
    <w:rsid w:val="00874A11"/>
    <w:rsid w:val="00874A16"/>
    <w:rsid w:val="00874A88"/>
    <w:rsid w:val="00874A99"/>
    <w:rsid w:val="00874B12"/>
    <w:rsid w:val="00874C78"/>
    <w:rsid w:val="00874D25"/>
    <w:rsid w:val="00874D77"/>
    <w:rsid w:val="00874E91"/>
    <w:rsid w:val="00874F54"/>
    <w:rsid w:val="00874F95"/>
    <w:rsid w:val="00874FAF"/>
    <w:rsid w:val="0087506D"/>
    <w:rsid w:val="008750DC"/>
    <w:rsid w:val="008750E1"/>
    <w:rsid w:val="008750FE"/>
    <w:rsid w:val="008752BE"/>
    <w:rsid w:val="00875324"/>
    <w:rsid w:val="008753E5"/>
    <w:rsid w:val="00875401"/>
    <w:rsid w:val="0087540F"/>
    <w:rsid w:val="00875414"/>
    <w:rsid w:val="00875432"/>
    <w:rsid w:val="00875494"/>
    <w:rsid w:val="008754B3"/>
    <w:rsid w:val="00875513"/>
    <w:rsid w:val="00875533"/>
    <w:rsid w:val="00875547"/>
    <w:rsid w:val="00875548"/>
    <w:rsid w:val="0087561C"/>
    <w:rsid w:val="008756DA"/>
    <w:rsid w:val="0087574D"/>
    <w:rsid w:val="008758D6"/>
    <w:rsid w:val="008758E7"/>
    <w:rsid w:val="0087598A"/>
    <w:rsid w:val="00875992"/>
    <w:rsid w:val="008759D0"/>
    <w:rsid w:val="00875C99"/>
    <w:rsid w:val="00875CEC"/>
    <w:rsid w:val="00875CFA"/>
    <w:rsid w:val="00875D41"/>
    <w:rsid w:val="00875E06"/>
    <w:rsid w:val="00875EF9"/>
    <w:rsid w:val="00875F51"/>
    <w:rsid w:val="00875FF7"/>
    <w:rsid w:val="00876000"/>
    <w:rsid w:val="0087602B"/>
    <w:rsid w:val="0087605A"/>
    <w:rsid w:val="008760E6"/>
    <w:rsid w:val="00876293"/>
    <w:rsid w:val="008763A0"/>
    <w:rsid w:val="008763A5"/>
    <w:rsid w:val="00876457"/>
    <w:rsid w:val="008764A6"/>
    <w:rsid w:val="00876531"/>
    <w:rsid w:val="00876694"/>
    <w:rsid w:val="008766DE"/>
    <w:rsid w:val="0087678B"/>
    <w:rsid w:val="008767C9"/>
    <w:rsid w:val="0087686F"/>
    <w:rsid w:val="008769EE"/>
    <w:rsid w:val="008769F4"/>
    <w:rsid w:val="00876A25"/>
    <w:rsid w:val="00876BE1"/>
    <w:rsid w:val="00876C49"/>
    <w:rsid w:val="00876C68"/>
    <w:rsid w:val="00876C7D"/>
    <w:rsid w:val="00876CC8"/>
    <w:rsid w:val="00876DC9"/>
    <w:rsid w:val="00876E41"/>
    <w:rsid w:val="00876E7C"/>
    <w:rsid w:val="00876E93"/>
    <w:rsid w:val="00876EAD"/>
    <w:rsid w:val="00876F74"/>
    <w:rsid w:val="00876FC6"/>
    <w:rsid w:val="00877020"/>
    <w:rsid w:val="008771C4"/>
    <w:rsid w:val="00877247"/>
    <w:rsid w:val="00877277"/>
    <w:rsid w:val="00877287"/>
    <w:rsid w:val="00877407"/>
    <w:rsid w:val="008775E3"/>
    <w:rsid w:val="008775F7"/>
    <w:rsid w:val="0087761C"/>
    <w:rsid w:val="0087763A"/>
    <w:rsid w:val="008776C5"/>
    <w:rsid w:val="008776F9"/>
    <w:rsid w:val="00877884"/>
    <w:rsid w:val="0087794E"/>
    <w:rsid w:val="0087795F"/>
    <w:rsid w:val="00877962"/>
    <w:rsid w:val="008779A6"/>
    <w:rsid w:val="008779C9"/>
    <w:rsid w:val="008779DB"/>
    <w:rsid w:val="00877AD2"/>
    <w:rsid w:val="00877CC2"/>
    <w:rsid w:val="00877D84"/>
    <w:rsid w:val="00877EF8"/>
    <w:rsid w:val="00877F65"/>
    <w:rsid w:val="00877F6B"/>
    <w:rsid w:val="00877FF7"/>
    <w:rsid w:val="00880014"/>
    <w:rsid w:val="008800BD"/>
    <w:rsid w:val="008800FB"/>
    <w:rsid w:val="00880182"/>
    <w:rsid w:val="008801AE"/>
    <w:rsid w:val="008802D9"/>
    <w:rsid w:val="008802F2"/>
    <w:rsid w:val="008802FA"/>
    <w:rsid w:val="00880381"/>
    <w:rsid w:val="008803A3"/>
    <w:rsid w:val="00880421"/>
    <w:rsid w:val="008804BC"/>
    <w:rsid w:val="00880589"/>
    <w:rsid w:val="008806BD"/>
    <w:rsid w:val="008807A3"/>
    <w:rsid w:val="0088091B"/>
    <w:rsid w:val="00880920"/>
    <w:rsid w:val="00880AA3"/>
    <w:rsid w:val="00880C2A"/>
    <w:rsid w:val="00880CAC"/>
    <w:rsid w:val="00880D89"/>
    <w:rsid w:val="00880DFE"/>
    <w:rsid w:val="00880F89"/>
    <w:rsid w:val="00880F92"/>
    <w:rsid w:val="00880FD0"/>
    <w:rsid w:val="00880FDE"/>
    <w:rsid w:val="00881036"/>
    <w:rsid w:val="008810CE"/>
    <w:rsid w:val="00881131"/>
    <w:rsid w:val="00881168"/>
    <w:rsid w:val="00881188"/>
    <w:rsid w:val="008811D7"/>
    <w:rsid w:val="008812A6"/>
    <w:rsid w:val="008812C0"/>
    <w:rsid w:val="00881450"/>
    <w:rsid w:val="008814AA"/>
    <w:rsid w:val="008814D4"/>
    <w:rsid w:val="00881695"/>
    <w:rsid w:val="008818A7"/>
    <w:rsid w:val="008818F9"/>
    <w:rsid w:val="0088199D"/>
    <w:rsid w:val="008819AF"/>
    <w:rsid w:val="008819FE"/>
    <w:rsid w:val="00881BCF"/>
    <w:rsid w:val="00881BDA"/>
    <w:rsid w:val="00881C44"/>
    <w:rsid w:val="00881C6F"/>
    <w:rsid w:val="00881C8D"/>
    <w:rsid w:val="00881CC6"/>
    <w:rsid w:val="00881DFD"/>
    <w:rsid w:val="00881F26"/>
    <w:rsid w:val="00882107"/>
    <w:rsid w:val="00882276"/>
    <w:rsid w:val="008823EB"/>
    <w:rsid w:val="00882505"/>
    <w:rsid w:val="008826B4"/>
    <w:rsid w:val="008826D1"/>
    <w:rsid w:val="008828A3"/>
    <w:rsid w:val="008828D5"/>
    <w:rsid w:val="00882963"/>
    <w:rsid w:val="00882968"/>
    <w:rsid w:val="00882982"/>
    <w:rsid w:val="008829BC"/>
    <w:rsid w:val="00882A6C"/>
    <w:rsid w:val="00882BEC"/>
    <w:rsid w:val="00882C05"/>
    <w:rsid w:val="00882C1F"/>
    <w:rsid w:val="00882D75"/>
    <w:rsid w:val="00882D87"/>
    <w:rsid w:val="00882ECF"/>
    <w:rsid w:val="00882FD5"/>
    <w:rsid w:val="0088302C"/>
    <w:rsid w:val="008830FE"/>
    <w:rsid w:val="008831CA"/>
    <w:rsid w:val="008831DE"/>
    <w:rsid w:val="008832FC"/>
    <w:rsid w:val="00883415"/>
    <w:rsid w:val="008834F5"/>
    <w:rsid w:val="00883577"/>
    <w:rsid w:val="00883583"/>
    <w:rsid w:val="008835FB"/>
    <w:rsid w:val="008836D6"/>
    <w:rsid w:val="008836DD"/>
    <w:rsid w:val="008837C6"/>
    <w:rsid w:val="008837DB"/>
    <w:rsid w:val="008837EE"/>
    <w:rsid w:val="00883813"/>
    <w:rsid w:val="00883895"/>
    <w:rsid w:val="0088390F"/>
    <w:rsid w:val="008839F2"/>
    <w:rsid w:val="00883A2E"/>
    <w:rsid w:val="00883A69"/>
    <w:rsid w:val="00883ADB"/>
    <w:rsid w:val="00883B97"/>
    <w:rsid w:val="00883BA4"/>
    <w:rsid w:val="00883BB6"/>
    <w:rsid w:val="00883CAE"/>
    <w:rsid w:val="00883D08"/>
    <w:rsid w:val="00883E83"/>
    <w:rsid w:val="00884023"/>
    <w:rsid w:val="0088416A"/>
    <w:rsid w:val="0088421C"/>
    <w:rsid w:val="0088445B"/>
    <w:rsid w:val="00884484"/>
    <w:rsid w:val="00884492"/>
    <w:rsid w:val="00884493"/>
    <w:rsid w:val="008844AA"/>
    <w:rsid w:val="00884506"/>
    <w:rsid w:val="008845A9"/>
    <w:rsid w:val="00884651"/>
    <w:rsid w:val="0088469A"/>
    <w:rsid w:val="008846B0"/>
    <w:rsid w:val="008849F8"/>
    <w:rsid w:val="00884A8D"/>
    <w:rsid w:val="00884BFA"/>
    <w:rsid w:val="00884CD0"/>
    <w:rsid w:val="00884D08"/>
    <w:rsid w:val="00884D1C"/>
    <w:rsid w:val="00884D9E"/>
    <w:rsid w:val="00884E75"/>
    <w:rsid w:val="00884F4C"/>
    <w:rsid w:val="0088512E"/>
    <w:rsid w:val="00885153"/>
    <w:rsid w:val="00885217"/>
    <w:rsid w:val="00885261"/>
    <w:rsid w:val="0088538D"/>
    <w:rsid w:val="008853D7"/>
    <w:rsid w:val="008853EB"/>
    <w:rsid w:val="008854B8"/>
    <w:rsid w:val="008854E5"/>
    <w:rsid w:val="00885592"/>
    <w:rsid w:val="00885613"/>
    <w:rsid w:val="00885673"/>
    <w:rsid w:val="00885679"/>
    <w:rsid w:val="008856AE"/>
    <w:rsid w:val="008856D0"/>
    <w:rsid w:val="008858C8"/>
    <w:rsid w:val="00885943"/>
    <w:rsid w:val="00885969"/>
    <w:rsid w:val="00885972"/>
    <w:rsid w:val="00885A3B"/>
    <w:rsid w:val="00885A79"/>
    <w:rsid w:val="00885AC0"/>
    <w:rsid w:val="00885AC5"/>
    <w:rsid w:val="00885B18"/>
    <w:rsid w:val="00885B79"/>
    <w:rsid w:val="00885BA6"/>
    <w:rsid w:val="00885BCE"/>
    <w:rsid w:val="00885CE6"/>
    <w:rsid w:val="00885DD1"/>
    <w:rsid w:val="00885DF5"/>
    <w:rsid w:val="00885F5F"/>
    <w:rsid w:val="0088600B"/>
    <w:rsid w:val="00886014"/>
    <w:rsid w:val="0088606E"/>
    <w:rsid w:val="0088608C"/>
    <w:rsid w:val="00886091"/>
    <w:rsid w:val="008860A2"/>
    <w:rsid w:val="008861B4"/>
    <w:rsid w:val="00886260"/>
    <w:rsid w:val="0088627B"/>
    <w:rsid w:val="0088634B"/>
    <w:rsid w:val="0088635B"/>
    <w:rsid w:val="0088637D"/>
    <w:rsid w:val="008864D6"/>
    <w:rsid w:val="00886555"/>
    <w:rsid w:val="00886583"/>
    <w:rsid w:val="0088667A"/>
    <w:rsid w:val="008866C8"/>
    <w:rsid w:val="008866D4"/>
    <w:rsid w:val="0088671B"/>
    <w:rsid w:val="008867A0"/>
    <w:rsid w:val="008867DE"/>
    <w:rsid w:val="00886800"/>
    <w:rsid w:val="00886818"/>
    <w:rsid w:val="008868B4"/>
    <w:rsid w:val="008868F3"/>
    <w:rsid w:val="008869B5"/>
    <w:rsid w:val="00886A87"/>
    <w:rsid w:val="00886C08"/>
    <w:rsid w:val="00886C8B"/>
    <w:rsid w:val="00886D81"/>
    <w:rsid w:val="00886E4D"/>
    <w:rsid w:val="00887011"/>
    <w:rsid w:val="008870DB"/>
    <w:rsid w:val="008870DD"/>
    <w:rsid w:val="008870EF"/>
    <w:rsid w:val="00887228"/>
    <w:rsid w:val="00887250"/>
    <w:rsid w:val="0088725F"/>
    <w:rsid w:val="0088731C"/>
    <w:rsid w:val="0088732D"/>
    <w:rsid w:val="008873F1"/>
    <w:rsid w:val="008874F4"/>
    <w:rsid w:val="008875E5"/>
    <w:rsid w:val="00887691"/>
    <w:rsid w:val="0088777B"/>
    <w:rsid w:val="0088779D"/>
    <w:rsid w:val="008877DD"/>
    <w:rsid w:val="008877E9"/>
    <w:rsid w:val="00887831"/>
    <w:rsid w:val="008878FD"/>
    <w:rsid w:val="00887934"/>
    <w:rsid w:val="00887AC2"/>
    <w:rsid w:val="00887BE1"/>
    <w:rsid w:val="00887BE3"/>
    <w:rsid w:val="00887D5D"/>
    <w:rsid w:val="00887D79"/>
    <w:rsid w:val="00887DEC"/>
    <w:rsid w:val="00887EB4"/>
    <w:rsid w:val="00887ED1"/>
    <w:rsid w:val="00887EDF"/>
    <w:rsid w:val="00887F9F"/>
    <w:rsid w:val="0089014A"/>
    <w:rsid w:val="008901D0"/>
    <w:rsid w:val="008902C0"/>
    <w:rsid w:val="008904D5"/>
    <w:rsid w:val="00890513"/>
    <w:rsid w:val="0089058D"/>
    <w:rsid w:val="008906F4"/>
    <w:rsid w:val="00890745"/>
    <w:rsid w:val="00890798"/>
    <w:rsid w:val="008908FF"/>
    <w:rsid w:val="008909C6"/>
    <w:rsid w:val="00890A92"/>
    <w:rsid w:val="00890ACB"/>
    <w:rsid w:val="00890BBE"/>
    <w:rsid w:val="00890C34"/>
    <w:rsid w:val="00890C65"/>
    <w:rsid w:val="00890D9F"/>
    <w:rsid w:val="00890DE3"/>
    <w:rsid w:val="00890F1F"/>
    <w:rsid w:val="00890F9D"/>
    <w:rsid w:val="00891082"/>
    <w:rsid w:val="00891124"/>
    <w:rsid w:val="008911BC"/>
    <w:rsid w:val="008912F1"/>
    <w:rsid w:val="0089141C"/>
    <w:rsid w:val="0089141E"/>
    <w:rsid w:val="008914A6"/>
    <w:rsid w:val="008914AB"/>
    <w:rsid w:val="0089157F"/>
    <w:rsid w:val="008915F2"/>
    <w:rsid w:val="008917BD"/>
    <w:rsid w:val="008919A4"/>
    <w:rsid w:val="008919E9"/>
    <w:rsid w:val="00891A3A"/>
    <w:rsid w:val="00891AF6"/>
    <w:rsid w:val="00891BC3"/>
    <w:rsid w:val="00891BC7"/>
    <w:rsid w:val="00891C51"/>
    <w:rsid w:val="00891CEA"/>
    <w:rsid w:val="00891D18"/>
    <w:rsid w:val="00891F52"/>
    <w:rsid w:val="00891FB8"/>
    <w:rsid w:val="00891FCB"/>
    <w:rsid w:val="00892024"/>
    <w:rsid w:val="00892048"/>
    <w:rsid w:val="00892061"/>
    <w:rsid w:val="008921BD"/>
    <w:rsid w:val="008921DB"/>
    <w:rsid w:val="008921E5"/>
    <w:rsid w:val="0089220D"/>
    <w:rsid w:val="00892296"/>
    <w:rsid w:val="00892413"/>
    <w:rsid w:val="0089244E"/>
    <w:rsid w:val="008924A0"/>
    <w:rsid w:val="008924EB"/>
    <w:rsid w:val="008924F9"/>
    <w:rsid w:val="008926D9"/>
    <w:rsid w:val="008927D6"/>
    <w:rsid w:val="00892865"/>
    <w:rsid w:val="008928E9"/>
    <w:rsid w:val="00892A6C"/>
    <w:rsid w:val="00892B2B"/>
    <w:rsid w:val="00892C8D"/>
    <w:rsid w:val="00892CB6"/>
    <w:rsid w:val="00892D89"/>
    <w:rsid w:val="00892DA3"/>
    <w:rsid w:val="00892E81"/>
    <w:rsid w:val="00892ECE"/>
    <w:rsid w:val="0089301E"/>
    <w:rsid w:val="00893118"/>
    <w:rsid w:val="00893286"/>
    <w:rsid w:val="008932A0"/>
    <w:rsid w:val="008932E2"/>
    <w:rsid w:val="008932EE"/>
    <w:rsid w:val="0089349C"/>
    <w:rsid w:val="00893673"/>
    <w:rsid w:val="008936F6"/>
    <w:rsid w:val="00893734"/>
    <w:rsid w:val="00893743"/>
    <w:rsid w:val="00893768"/>
    <w:rsid w:val="008937C2"/>
    <w:rsid w:val="008937C8"/>
    <w:rsid w:val="008937CC"/>
    <w:rsid w:val="00893827"/>
    <w:rsid w:val="00893A42"/>
    <w:rsid w:val="00893A87"/>
    <w:rsid w:val="00893A91"/>
    <w:rsid w:val="00893AC7"/>
    <w:rsid w:val="00893B4C"/>
    <w:rsid w:val="00893BCB"/>
    <w:rsid w:val="00893CAC"/>
    <w:rsid w:val="00893D57"/>
    <w:rsid w:val="00893DC9"/>
    <w:rsid w:val="00893DF6"/>
    <w:rsid w:val="00893E86"/>
    <w:rsid w:val="00894253"/>
    <w:rsid w:val="00894268"/>
    <w:rsid w:val="008942B8"/>
    <w:rsid w:val="00894335"/>
    <w:rsid w:val="008943A1"/>
    <w:rsid w:val="008943E1"/>
    <w:rsid w:val="0089447E"/>
    <w:rsid w:val="00894490"/>
    <w:rsid w:val="0089454B"/>
    <w:rsid w:val="008945AF"/>
    <w:rsid w:val="008945FE"/>
    <w:rsid w:val="00894785"/>
    <w:rsid w:val="008947A5"/>
    <w:rsid w:val="00894855"/>
    <w:rsid w:val="00894881"/>
    <w:rsid w:val="008948D9"/>
    <w:rsid w:val="008948E4"/>
    <w:rsid w:val="0089495D"/>
    <w:rsid w:val="00894972"/>
    <w:rsid w:val="0089499F"/>
    <w:rsid w:val="00894A0E"/>
    <w:rsid w:val="00894A4C"/>
    <w:rsid w:val="00894B3D"/>
    <w:rsid w:val="00894D43"/>
    <w:rsid w:val="00894DFE"/>
    <w:rsid w:val="00894ED5"/>
    <w:rsid w:val="00894EE3"/>
    <w:rsid w:val="00894F51"/>
    <w:rsid w:val="00894F80"/>
    <w:rsid w:val="00894FC1"/>
    <w:rsid w:val="00895084"/>
    <w:rsid w:val="00895108"/>
    <w:rsid w:val="0089511F"/>
    <w:rsid w:val="0089515A"/>
    <w:rsid w:val="00895339"/>
    <w:rsid w:val="00895457"/>
    <w:rsid w:val="008954DE"/>
    <w:rsid w:val="008955AB"/>
    <w:rsid w:val="0089561B"/>
    <w:rsid w:val="00895645"/>
    <w:rsid w:val="008956FD"/>
    <w:rsid w:val="0089570B"/>
    <w:rsid w:val="0089571D"/>
    <w:rsid w:val="0089577C"/>
    <w:rsid w:val="008957D5"/>
    <w:rsid w:val="008957DE"/>
    <w:rsid w:val="00895807"/>
    <w:rsid w:val="0089587B"/>
    <w:rsid w:val="008958D6"/>
    <w:rsid w:val="008958F5"/>
    <w:rsid w:val="00895A2C"/>
    <w:rsid w:val="00895A3A"/>
    <w:rsid w:val="00895AC3"/>
    <w:rsid w:val="00895AD4"/>
    <w:rsid w:val="00895AE6"/>
    <w:rsid w:val="00895B16"/>
    <w:rsid w:val="00895B1E"/>
    <w:rsid w:val="00895BA9"/>
    <w:rsid w:val="00895BE5"/>
    <w:rsid w:val="00895CC0"/>
    <w:rsid w:val="00895DBF"/>
    <w:rsid w:val="00895DC8"/>
    <w:rsid w:val="00895E61"/>
    <w:rsid w:val="00895E77"/>
    <w:rsid w:val="00895EDC"/>
    <w:rsid w:val="00895F26"/>
    <w:rsid w:val="008960DD"/>
    <w:rsid w:val="00896105"/>
    <w:rsid w:val="00896186"/>
    <w:rsid w:val="0089620B"/>
    <w:rsid w:val="0089629E"/>
    <w:rsid w:val="008962FE"/>
    <w:rsid w:val="0089636E"/>
    <w:rsid w:val="00896435"/>
    <w:rsid w:val="0089646E"/>
    <w:rsid w:val="00896523"/>
    <w:rsid w:val="0089666B"/>
    <w:rsid w:val="0089672E"/>
    <w:rsid w:val="0089678A"/>
    <w:rsid w:val="008967C4"/>
    <w:rsid w:val="00896AD3"/>
    <w:rsid w:val="00896C8D"/>
    <w:rsid w:val="00896DE1"/>
    <w:rsid w:val="00896DFD"/>
    <w:rsid w:val="00896E4B"/>
    <w:rsid w:val="00896E72"/>
    <w:rsid w:val="00896F4F"/>
    <w:rsid w:val="0089703E"/>
    <w:rsid w:val="00897048"/>
    <w:rsid w:val="0089715D"/>
    <w:rsid w:val="008971B1"/>
    <w:rsid w:val="0089732C"/>
    <w:rsid w:val="008973A4"/>
    <w:rsid w:val="008973BA"/>
    <w:rsid w:val="008973DF"/>
    <w:rsid w:val="00897411"/>
    <w:rsid w:val="00897421"/>
    <w:rsid w:val="0089745C"/>
    <w:rsid w:val="0089754F"/>
    <w:rsid w:val="00897654"/>
    <w:rsid w:val="0089776F"/>
    <w:rsid w:val="0089777B"/>
    <w:rsid w:val="008977D6"/>
    <w:rsid w:val="0089781D"/>
    <w:rsid w:val="00897846"/>
    <w:rsid w:val="00897A76"/>
    <w:rsid w:val="00897B04"/>
    <w:rsid w:val="00897B0D"/>
    <w:rsid w:val="00897B88"/>
    <w:rsid w:val="00897C2B"/>
    <w:rsid w:val="00897C52"/>
    <w:rsid w:val="00897D5F"/>
    <w:rsid w:val="00897DA6"/>
    <w:rsid w:val="00897DCE"/>
    <w:rsid w:val="00897E2C"/>
    <w:rsid w:val="008A0079"/>
    <w:rsid w:val="008A00B3"/>
    <w:rsid w:val="008A0122"/>
    <w:rsid w:val="008A0184"/>
    <w:rsid w:val="008A01D5"/>
    <w:rsid w:val="008A02DE"/>
    <w:rsid w:val="008A03CF"/>
    <w:rsid w:val="008A0496"/>
    <w:rsid w:val="008A049C"/>
    <w:rsid w:val="008A04F5"/>
    <w:rsid w:val="008A0546"/>
    <w:rsid w:val="008A058D"/>
    <w:rsid w:val="008A0610"/>
    <w:rsid w:val="008A0677"/>
    <w:rsid w:val="008A067C"/>
    <w:rsid w:val="008A06A3"/>
    <w:rsid w:val="008A06E5"/>
    <w:rsid w:val="008A0783"/>
    <w:rsid w:val="008A07BF"/>
    <w:rsid w:val="008A0927"/>
    <w:rsid w:val="008A0989"/>
    <w:rsid w:val="008A09DA"/>
    <w:rsid w:val="008A0A5D"/>
    <w:rsid w:val="008A0A97"/>
    <w:rsid w:val="008A0B89"/>
    <w:rsid w:val="008A0C50"/>
    <w:rsid w:val="008A0C9D"/>
    <w:rsid w:val="008A0D2A"/>
    <w:rsid w:val="008A0D52"/>
    <w:rsid w:val="008A0E96"/>
    <w:rsid w:val="008A0EB0"/>
    <w:rsid w:val="008A0F62"/>
    <w:rsid w:val="008A102D"/>
    <w:rsid w:val="008A1072"/>
    <w:rsid w:val="008A113E"/>
    <w:rsid w:val="008A11F1"/>
    <w:rsid w:val="008A1230"/>
    <w:rsid w:val="008A1388"/>
    <w:rsid w:val="008A13F3"/>
    <w:rsid w:val="008A140D"/>
    <w:rsid w:val="008A1626"/>
    <w:rsid w:val="008A1693"/>
    <w:rsid w:val="008A17FF"/>
    <w:rsid w:val="008A18B9"/>
    <w:rsid w:val="008A18BE"/>
    <w:rsid w:val="008A18E4"/>
    <w:rsid w:val="008A18EA"/>
    <w:rsid w:val="008A1929"/>
    <w:rsid w:val="008A1A6A"/>
    <w:rsid w:val="008A1AEC"/>
    <w:rsid w:val="008A1B8D"/>
    <w:rsid w:val="008A1C37"/>
    <w:rsid w:val="008A1C4E"/>
    <w:rsid w:val="008A1C67"/>
    <w:rsid w:val="008A1CC3"/>
    <w:rsid w:val="008A1D2B"/>
    <w:rsid w:val="008A1D9C"/>
    <w:rsid w:val="008A1EA5"/>
    <w:rsid w:val="008A1EFD"/>
    <w:rsid w:val="008A1F53"/>
    <w:rsid w:val="008A2034"/>
    <w:rsid w:val="008A205B"/>
    <w:rsid w:val="008A208E"/>
    <w:rsid w:val="008A213C"/>
    <w:rsid w:val="008A215D"/>
    <w:rsid w:val="008A21DD"/>
    <w:rsid w:val="008A21EB"/>
    <w:rsid w:val="008A2257"/>
    <w:rsid w:val="008A227D"/>
    <w:rsid w:val="008A24E8"/>
    <w:rsid w:val="008A24F0"/>
    <w:rsid w:val="008A254F"/>
    <w:rsid w:val="008A25B1"/>
    <w:rsid w:val="008A2630"/>
    <w:rsid w:val="008A2632"/>
    <w:rsid w:val="008A266A"/>
    <w:rsid w:val="008A26C0"/>
    <w:rsid w:val="008A27A5"/>
    <w:rsid w:val="008A27C7"/>
    <w:rsid w:val="008A27FF"/>
    <w:rsid w:val="008A281C"/>
    <w:rsid w:val="008A28D9"/>
    <w:rsid w:val="008A2983"/>
    <w:rsid w:val="008A29D6"/>
    <w:rsid w:val="008A2AA7"/>
    <w:rsid w:val="008A2B3D"/>
    <w:rsid w:val="008A2E32"/>
    <w:rsid w:val="008A2FCE"/>
    <w:rsid w:val="008A3024"/>
    <w:rsid w:val="008A304B"/>
    <w:rsid w:val="008A3077"/>
    <w:rsid w:val="008A31C7"/>
    <w:rsid w:val="008A3288"/>
    <w:rsid w:val="008A33D3"/>
    <w:rsid w:val="008A35B6"/>
    <w:rsid w:val="008A35D0"/>
    <w:rsid w:val="008A36A3"/>
    <w:rsid w:val="008A374D"/>
    <w:rsid w:val="008A38B7"/>
    <w:rsid w:val="008A393E"/>
    <w:rsid w:val="008A398E"/>
    <w:rsid w:val="008A398F"/>
    <w:rsid w:val="008A3AA7"/>
    <w:rsid w:val="008A3AD5"/>
    <w:rsid w:val="008A3B63"/>
    <w:rsid w:val="008A3BF7"/>
    <w:rsid w:val="008A3D55"/>
    <w:rsid w:val="008A3D79"/>
    <w:rsid w:val="008A3DE2"/>
    <w:rsid w:val="008A3E0D"/>
    <w:rsid w:val="008A3E5B"/>
    <w:rsid w:val="008A408A"/>
    <w:rsid w:val="008A41C6"/>
    <w:rsid w:val="008A425D"/>
    <w:rsid w:val="008A4274"/>
    <w:rsid w:val="008A4289"/>
    <w:rsid w:val="008A441F"/>
    <w:rsid w:val="008A463E"/>
    <w:rsid w:val="008A469B"/>
    <w:rsid w:val="008A4728"/>
    <w:rsid w:val="008A47AE"/>
    <w:rsid w:val="008A4A1B"/>
    <w:rsid w:val="008A4A20"/>
    <w:rsid w:val="008A4A33"/>
    <w:rsid w:val="008A4B3B"/>
    <w:rsid w:val="008A4B96"/>
    <w:rsid w:val="008A4C99"/>
    <w:rsid w:val="008A4CF6"/>
    <w:rsid w:val="008A4CFD"/>
    <w:rsid w:val="008A4DC2"/>
    <w:rsid w:val="008A4FB1"/>
    <w:rsid w:val="008A4FBF"/>
    <w:rsid w:val="008A4FFB"/>
    <w:rsid w:val="008A509F"/>
    <w:rsid w:val="008A51CF"/>
    <w:rsid w:val="008A52A2"/>
    <w:rsid w:val="008A53B5"/>
    <w:rsid w:val="008A53E9"/>
    <w:rsid w:val="008A53ED"/>
    <w:rsid w:val="008A5495"/>
    <w:rsid w:val="008A54BF"/>
    <w:rsid w:val="008A552C"/>
    <w:rsid w:val="008A5595"/>
    <w:rsid w:val="008A55A3"/>
    <w:rsid w:val="008A5646"/>
    <w:rsid w:val="008A568F"/>
    <w:rsid w:val="008A5833"/>
    <w:rsid w:val="008A5869"/>
    <w:rsid w:val="008A5909"/>
    <w:rsid w:val="008A5ADB"/>
    <w:rsid w:val="008A5B67"/>
    <w:rsid w:val="008A5BF6"/>
    <w:rsid w:val="008A5DCA"/>
    <w:rsid w:val="008A5E21"/>
    <w:rsid w:val="008A5EF5"/>
    <w:rsid w:val="008A5F8E"/>
    <w:rsid w:val="008A5FE3"/>
    <w:rsid w:val="008A6018"/>
    <w:rsid w:val="008A610C"/>
    <w:rsid w:val="008A6147"/>
    <w:rsid w:val="008A61EA"/>
    <w:rsid w:val="008A622C"/>
    <w:rsid w:val="008A62F7"/>
    <w:rsid w:val="008A63D7"/>
    <w:rsid w:val="008A642A"/>
    <w:rsid w:val="008A6499"/>
    <w:rsid w:val="008A64F1"/>
    <w:rsid w:val="008A651D"/>
    <w:rsid w:val="008A6662"/>
    <w:rsid w:val="008A668E"/>
    <w:rsid w:val="008A6759"/>
    <w:rsid w:val="008A6793"/>
    <w:rsid w:val="008A67FB"/>
    <w:rsid w:val="008A692C"/>
    <w:rsid w:val="008A6969"/>
    <w:rsid w:val="008A6992"/>
    <w:rsid w:val="008A69ED"/>
    <w:rsid w:val="008A6A0F"/>
    <w:rsid w:val="008A6B2F"/>
    <w:rsid w:val="008A6D44"/>
    <w:rsid w:val="008A6D64"/>
    <w:rsid w:val="008A6E58"/>
    <w:rsid w:val="008A72BF"/>
    <w:rsid w:val="008A73D2"/>
    <w:rsid w:val="008A74FB"/>
    <w:rsid w:val="008A753E"/>
    <w:rsid w:val="008A78C5"/>
    <w:rsid w:val="008A7AA7"/>
    <w:rsid w:val="008A7AE4"/>
    <w:rsid w:val="008A7BF2"/>
    <w:rsid w:val="008A7C75"/>
    <w:rsid w:val="008A7CAB"/>
    <w:rsid w:val="008A7D0C"/>
    <w:rsid w:val="008A7D1C"/>
    <w:rsid w:val="008A7F7A"/>
    <w:rsid w:val="008B0026"/>
    <w:rsid w:val="008B009F"/>
    <w:rsid w:val="008B00FE"/>
    <w:rsid w:val="008B0133"/>
    <w:rsid w:val="008B0292"/>
    <w:rsid w:val="008B02D1"/>
    <w:rsid w:val="008B037D"/>
    <w:rsid w:val="008B03C9"/>
    <w:rsid w:val="008B0534"/>
    <w:rsid w:val="008B0608"/>
    <w:rsid w:val="008B06AE"/>
    <w:rsid w:val="008B0701"/>
    <w:rsid w:val="008B0718"/>
    <w:rsid w:val="008B071D"/>
    <w:rsid w:val="008B0902"/>
    <w:rsid w:val="008B0A20"/>
    <w:rsid w:val="008B0A33"/>
    <w:rsid w:val="008B0B09"/>
    <w:rsid w:val="008B0C96"/>
    <w:rsid w:val="008B0EB2"/>
    <w:rsid w:val="008B0F7E"/>
    <w:rsid w:val="008B1084"/>
    <w:rsid w:val="008B1085"/>
    <w:rsid w:val="008B1093"/>
    <w:rsid w:val="008B1199"/>
    <w:rsid w:val="008B11B0"/>
    <w:rsid w:val="008B11B2"/>
    <w:rsid w:val="008B11D9"/>
    <w:rsid w:val="008B1221"/>
    <w:rsid w:val="008B1311"/>
    <w:rsid w:val="008B1371"/>
    <w:rsid w:val="008B1408"/>
    <w:rsid w:val="008B1498"/>
    <w:rsid w:val="008B152B"/>
    <w:rsid w:val="008B1576"/>
    <w:rsid w:val="008B15DE"/>
    <w:rsid w:val="008B15E7"/>
    <w:rsid w:val="008B166C"/>
    <w:rsid w:val="008B16B5"/>
    <w:rsid w:val="008B16E2"/>
    <w:rsid w:val="008B1779"/>
    <w:rsid w:val="008B17ED"/>
    <w:rsid w:val="008B1815"/>
    <w:rsid w:val="008B181F"/>
    <w:rsid w:val="008B1960"/>
    <w:rsid w:val="008B19C4"/>
    <w:rsid w:val="008B19F5"/>
    <w:rsid w:val="008B1BF8"/>
    <w:rsid w:val="008B1C99"/>
    <w:rsid w:val="008B1CC1"/>
    <w:rsid w:val="008B1D3A"/>
    <w:rsid w:val="008B1DEC"/>
    <w:rsid w:val="008B1E1A"/>
    <w:rsid w:val="008B1E7E"/>
    <w:rsid w:val="008B1E82"/>
    <w:rsid w:val="008B1F05"/>
    <w:rsid w:val="008B2234"/>
    <w:rsid w:val="008B2382"/>
    <w:rsid w:val="008B23A0"/>
    <w:rsid w:val="008B2457"/>
    <w:rsid w:val="008B2548"/>
    <w:rsid w:val="008B26A7"/>
    <w:rsid w:val="008B26E4"/>
    <w:rsid w:val="008B2730"/>
    <w:rsid w:val="008B2A28"/>
    <w:rsid w:val="008B2A75"/>
    <w:rsid w:val="008B2B3C"/>
    <w:rsid w:val="008B2BD4"/>
    <w:rsid w:val="008B2C2D"/>
    <w:rsid w:val="008B2CE0"/>
    <w:rsid w:val="008B2DCB"/>
    <w:rsid w:val="008B2E22"/>
    <w:rsid w:val="008B2E7A"/>
    <w:rsid w:val="008B2E8A"/>
    <w:rsid w:val="008B2FD9"/>
    <w:rsid w:val="008B2FE2"/>
    <w:rsid w:val="008B30F0"/>
    <w:rsid w:val="008B312D"/>
    <w:rsid w:val="008B31DC"/>
    <w:rsid w:val="008B33D5"/>
    <w:rsid w:val="008B3413"/>
    <w:rsid w:val="008B3666"/>
    <w:rsid w:val="008B3672"/>
    <w:rsid w:val="008B36AC"/>
    <w:rsid w:val="008B379D"/>
    <w:rsid w:val="008B3850"/>
    <w:rsid w:val="008B39DD"/>
    <w:rsid w:val="008B3A88"/>
    <w:rsid w:val="008B3AD4"/>
    <w:rsid w:val="008B3B0C"/>
    <w:rsid w:val="008B3B5D"/>
    <w:rsid w:val="008B3C33"/>
    <w:rsid w:val="008B3CE5"/>
    <w:rsid w:val="008B3DD8"/>
    <w:rsid w:val="008B3E31"/>
    <w:rsid w:val="008B3E5B"/>
    <w:rsid w:val="008B3FFC"/>
    <w:rsid w:val="008B409C"/>
    <w:rsid w:val="008B4123"/>
    <w:rsid w:val="008B423C"/>
    <w:rsid w:val="008B432C"/>
    <w:rsid w:val="008B4342"/>
    <w:rsid w:val="008B468E"/>
    <w:rsid w:val="008B47C4"/>
    <w:rsid w:val="008B49DF"/>
    <w:rsid w:val="008B4A1A"/>
    <w:rsid w:val="008B4BFC"/>
    <w:rsid w:val="008B4D3F"/>
    <w:rsid w:val="008B4D6E"/>
    <w:rsid w:val="008B4D9E"/>
    <w:rsid w:val="008B4EF2"/>
    <w:rsid w:val="008B4FAC"/>
    <w:rsid w:val="008B500D"/>
    <w:rsid w:val="008B50B9"/>
    <w:rsid w:val="008B51B4"/>
    <w:rsid w:val="008B5256"/>
    <w:rsid w:val="008B5344"/>
    <w:rsid w:val="008B53A5"/>
    <w:rsid w:val="008B53D4"/>
    <w:rsid w:val="008B558A"/>
    <w:rsid w:val="008B56C2"/>
    <w:rsid w:val="008B58A8"/>
    <w:rsid w:val="008B5999"/>
    <w:rsid w:val="008B59F9"/>
    <w:rsid w:val="008B5B67"/>
    <w:rsid w:val="008B5B7E"/>
    <w:rsid w:val="008B5C24"/>
    <w:rsid w:val="008B5D28"/>
    <w:rsid w:val="008B5D7A"/>
    <w:rsid w:val="008B5D7E"/>
    <w:rsid w:val="008B5D9A"/>
    <w:rsid w:val="008B5DC6"/>
    <w:rsid w:val="008B5E1B"/>
    <w:rsid w:val="008B5E3B"/>
    <w:rsid w:val="008B5F63"/>
    <w:rsid w:val="008B5F8C"/>
    <w:rsid w:val="008B5F95"/>
    <w:rsid w:val="008B6006"/>
    <w:rsid w:val="008B608F"/>
    <w:rsid w:val="008B61A1"/>
    <w:rsid w:val="008B6201"/>
    <w:rsid w:val="008B6253"/>
    <w:rsid w:val="008B62F2"/>
    <w:rsid w:val="008B636E"/>
    <w:rsid w:val="008B6400"/>
    <w:rsid w:val="008B648E"/>
    <w:rsid w:val="008B64EC"/>
    <w:rsid w:val="008B65E3"/>
    <w:rsid w:val="008B6606"/>
    <w:rsid w:val="008B66E3"/>
    <w:rsid w:val="008B66E6"/>
    <w:rsid w:val="008B670C"/>
    <w:rsid w:val="008B6806"/>
    <w:rsid w:val="008B6816"/>
    <w:rsid w:val="008B6885"/>
    <w:rsid w:val="008B6951"/>
    <w:rsid w:val="008B696B"/>
    <w:rsid w:val="008B6A0B"/>
    <w:rsid w:val="008B6B31"/>
    <w:rsid w:val="008B6BB7"/>
    <w:rsid w:val="008B6BB8"/>
    <w:rsid w:val="008B6CB6"/>
    <w:rsid w:val="008B6CC9"/>
    <w:rsid w:val="008B6DC6"/>
    <w:rsid w:val="008B6DDA"/>
    <w:rsid w:val="008B6E12"/>
    <w:rsid w:val="008B7100"/>
    <w:rsid w:val="008B7104"/>
    <w:rsid w:val="008B711E"/>
    <w:rsid w:val="008B723A"/>
    <w:rsid w:val="008B724A"/>
    <w:rsid w:val="008B7385"/>
    <w:rsid w:val="008B73BE"/>
    <w:rsid w:val="008B7446"/>
    <w:rsid w:val="008B7456"/>
    <w:rsid w:val="008B746E"/>
    <w:rsid w:val="008B74DB"/>
    <w:rsid w:val="008B74DD"/>
    <w:rsid w:val="008B7538"/>
    <w:rsid w:val="008B75D4"/>
    <w:rsid w:val="008B762F"/>
    <w:rsid w:val="008B76B4"/>
    <w:rsid w:val="008B775C"/>
    <w:rsid w:val="008B77A4"/>
    <w:rsid w:val="008B7807"/>
    <w:rsid w:val="008B7810"/>
    <w:rsid w:val="008B7848"/>
    <w:rsid w:val="008B78F6"/>
    <w:rsid w:val="008B79CA"/>
    <w:rsid w:val="008B79EF"/>
    <w:rsid w:val="008B7A79"/>
    <w:rsid w:val="008B7AA5"/>
    <w:rsid w:val="008B7BE1"/>
    <w:rsid w:val="008B7CEA"/>
    <w:rsid w:val="008B7CF1"/>
    <w:rsid w:val="008B7DD9"/>
    <w:rsid w:val="008B7ECA"/>
    <w:rsid w:val="008B7F9B"/>
    <w:rsid w:val="008B7FD1"/>
    <w:rsid w:val="008C005E"/>
    <w:rsid w:val="008C0078"/>
    <w:rsid w:val="008C01EE"/>
    <w:rsid w:val="008C025E"/>
    <w:rsid w:val="008C02AC"/>
    <w:rsid w:val="008C03C6"/>
    <w:rsid w:val="008C0464"/>
    <w:rsid w:val="008C046C"/>
    <w:rsid w:val="008C04B2"/>
    <w:rsid w:val="008C051A"/>
    <w:rsid w:val="008C056C"/>
    <w:rsid w:val="008C0601"/>
    <w:rsid w:val="008C069F"/>
    <w:rsid w:val="008C0728"/>
    <w:rsid w:val="008C072F"/>
    <w:rsid w:val="008C0757"/>
    <w:rsid w:val="008C0788"/>
    <w:rsid w:val="008C0843"/>
    <w:rsid w:val="008C085B"/>
    <w:rsid w:val="008C0902"/>
    <w:rsid w:val="008C0953"/>
    <w:rsid w:val="008C09A1"/>
    <w:rsid w:val="008C0C08"/>
    <w:rsid w:val="008C0C4F"/>
    <w:rsid w:val="008C0CB6"/>
    <w:rsid w:val="008C0D35"/>
    <w:rsid w:val="008C0D79"/>
    <w:rsid w:val="008C0D96"/>
    <w:rsid w:val="008C0E43"/>
    <w:rsid w:val="008C0EA9"/>
    <w:rsid w:val="008C0FC8"/>
    <w:rsid w:val="008C0FDE"/>
    <w:rsid w:val="008C0FEC"/>
    <w:rsid w:val="008C1014"/>
    <w:rsid w:val="008C10C6"/>
    <w:rsid w:val="008C1225"/>
    <w:rsid w:val="008C12CE"/>
    <w:rsid w:val="008C12CF"/>
    <w:rsid w:val="008C1301"/>
    <w:rsid w:val="008C1313"/>
    <w:rsid w:val="008C13EB"/>
    <w:rsid w:val="008C142F"/>
    <w:rsid w:val="008C14D2"/>
    <w:rsid w:val="008C1704"/>
    <w:rsid w:val="008C17D6"/>
    <w:rsid w:val="008C1824"/>
    <w:rsid w:val="008C18B9"/>
    <w:rsid w:val="008C18D0"/>
    <w:rsid w:val="008C1997"/>
    <w:rsid w:val="008C1A85"/>
    <w:rsid w:val="008C1A92"/>
    <w:rsid w:val="008C1AF1"/>
    <w:rsid w:val="008C1B7B"/>
    <w:rsid w:val="008C1C28"/>
    <w:rsid w:val="008C1C45"/>
    <w:rsid w:val="008C1CE3"/>
    <w:rsid w:val="008C1DA0"/>
    <w:rsid w:val="008C1E05"/>
    <w:rsid w:val="008C1E11"/>
    <w:rsid w:val="008C1E48"/>
    <w:rsid w:val="008C1E6E"/>
    <w:rsid w:val="008C1EAF"/>
    <w:rsid w:val="008C1EC7"/>
    <w:rsid w:val="008C204B"/>
    <w:rsid w:val="008C2252"/>
    <w:rsid w:val="008C2254"/>
    <w:rsid w:val="008C232A"/>
    <w:rsid w:val="008C2395"/>
    <w:rsid w:val="008C23BD"/>
    <w:rsid w:val="008C2498"/>
    <w:rsid w:val="008C24D3"/>
    <w:rsid w:val="008C250F"/>
    <w:rsid w:val="008C25A3"/>
    <w:rsid w:val="008C2662"/>
    <w:rsid w:val="008C270E"/>
    <w:rsid w:val="008C271D"/>
    <w:rsid w:val="008C27CE"/>
    <w:rsid w:val="008C2824"/>
    <w:rsid w:val="008C2861"/>
    <w:rsid w:val="008C286C"/>
    <w:rsid w:val="008C28F8"/>
    <w:rsid w:val="008C2954"/>
    <w:rsid w:val="008C29AD"/>
    <w:rsid w:val="008C2ADF"/>
    <w:rsid w:val="008C2B23"/>
    <w:rsid w:val="008C2C39"/>
    <w:rsid w:val="008C2C40"/>
    <w:rsid w:val="008C2D68"/>
    <w:rsid w:val="008C2E2E"/>
    <w:rsid w:val="008C2FBE"/>
    <w:rsid w:val="008C30E7"/>
    <w:rsid w:val="008C31A1"/>
    <w:rsid w:val="008C31C4"/>
    <w:rsid w:val="008C31E6"/>
    <w:rsid w:val="008C31F2"/>
    <w:rsid w:val="008C32A9"/>
    <w:rsid w:val="008C33DB"/>
    <w:rsid w:val="008C343B"/>
    <w:rsid w:val="008C34BB"/>
    <w:rsid w:val="008C3596"/>
    <w:rsid w:val="008C367D"/>
    <w:rsid w:val="008C36D0"/>
    <w:rsid w:val="008C3811"/>
    <w:rsid w:val="008C3857"/>
    <w:rsid w:val="008C38B9"/>
    <w:rsid w:val="008C38C2"/>
    <w:rsid w:val="008C3917"/>
    <w:rsid w:val="008C3A2A"/>
    <w:rsid w:val="008C3BEF"/>
    <w:rsid w:val="008C3C3C"/>
    <w:rsid w:val="008C3D95"/>
    <w:rsid w:val="008C3E30"/>
    <w:rsid w:val="008C3EE1"/>
    <w:rsid w:val="008C3EE4"/>
    <w:rsid w:val="008C3F0D"/>
    <w:rsid w:val="008C3F22"/>
    <w:rsid w:val="008C3FA6"/>
    <w:rsid w:val="008C3FD7"/>
    <w:rsid w:val="008C4059"/>
    <w:rsid w:val="008C41E5"/>
    <w:rsid w:val="008C424F"/>
    <w:rsid w:val="008C43FB"/>
    <w:rsid w:val="008C4449"/>
    <w:rsid w:val="008C44BB"/>
    <w:rsid w:val="008C4569"/>
    <w:rsid w:val="008C45E2"/>
    <w:rsid w:val="008C47CA"/>
    <w:rsid w:val="008C48D9"/>
    <w:rsid w:val="008C49ED"/>
    <w:rsid w:val="008C4B0A"/>
    <w:rsid w:val="008C4B42"/>
    <w:rsid w:val="008C4CC3"/>
    <w:rsid w:val="008C4E33"/>
    <w:rsid w:val="008C4EB4"/>
    <w:rsid w:val="008C509F"/>
    <w:rsid w:val="008C5120"/>
    <w:rsid w:val="008C53A8"/>
    <w:rsid w:val="008C549F"/>
    <w:rsid w:val="008C54FC"/>
    <w:rsid w:val="008C5705"/>
    <w:rsid w:val="008C570B"/>
    <w:rsid w:val="008C5955"/>
    <w:rsid w:val="008C59F6"/>
    <w:rsid w:val="008C5ADD"/>
    <w:rsid w:val="008C5C1C"/>
    <w:rsid w:val="008C5D67"/>
    <w:rsid w:val="008C5E16"/>
    <w:rsid w:val="008C5E8D"/>
    <w:rsid w:val="008C5F55"/>
    <w:rsid w:val="008C5F56"/>
    <w:rsid w:val="008C6059"/>
    <w:rsid w:val="008C6106"/>
    <w:rsid w:val="008C612B"/>
    <w:rsid w:val="008C61DB"/>
    <w:rsid w:val="008C634D"/>
    <w:rsid w:val="008C63BC"/>
    <w:rsid w:val="008C63F4"/>
    <w:rsid w:val="008C64BA"/>
    <w:rsid w:val="008C6529"/>
    <w:rsid w:val="008C6540"/>
    <w:rsid w:val="008C65E6"/>
    <w:rsid w:val="008C6608"/>
    <w:rsid w:val="008C66C4"/>
    <w:rsid w:val="008C68BF"/>
    <w:rsid w:val="008C6951"/>
    <w:rsid w:val="008C69CE"/>
    <w:rsid w:val="008C6AC2"/>
    <w:rsid w:val="008C6B59"/>
    <w:rsid w:val="008C6B83"/>
    <w:rsid w:val="008C6BB0"/>
    <w:rsid w:val="008C6BFA"/>
    <w:rsid w:val="008C6CEC"/>
    <w:rsid w:val="008C6D30"/>
    <w:rsid w:val="008C6D89"/>
    <w:rsid w:val="008C6E09"/>
    <w:rsid w:val="008C6E3B"/>
    <w:rsid w:val="008C6FA0"/>
    <w:rsid w:val="008C700F"/>
    <w:rsid w:val="008C712A"/>
    <w:rsid w:val="008C71CA"/>
    <w:rsid w:val="008C72E4"/>
    <w:rsid w:val="008C7310"/>
    <w:rsid w:val="008C738A"/>
    <w:rsid w:val="008C7399"/>
    <w:rsid w:val="008C7430"/>
    <w:rsid w:val="008C7495"/>
    <w:rsid w:val="008C7565"/>
    <w:rsid w:val="008C7588"/>
    <w:rsid w:val="008C7633"/>
    <w:rsid w:val="008C765D"/>
    <w:rsid w:val="008C76C1"/>
    <w:rsid w:val="008C7701"/>
    <w:rsid w:val="008C7706"/>
    <w:rsid w:val="008C7766"/>
    <w:rsid w:val="008C778D"/>
    <w:rsid w:val="008C77B4"/>
    <w:rsid w:val="008C77DC"/>
    <w:rsid w:val="008C7809"/>
    <w:rsid w:val="008C78C7"/>
    <w:rsid w:val="008C7A0B"/>
    <w:rsid w:val="008C7A22"/>
    <w:rsid w:val="008C7A48"/>
    <w:rsid w:val="008C7A67"/>
    <w:rsid w:val="008C7A71"/>
    <w:rsid w:val="008C7AF1"/>
    <w:rsid w:val="008C7B4B"/>
    <w:rsid w:val="008C7BC2"/>
    <w:rsid w:val="008C7BE6"/>
    <w:rsid w:val="008C7C1D"/>
    <w:rsid w:val="008C7CBC"/>
    <w:rsid w:val="008C7D30"/>
    <w:rsid w:val="008C7DCE"/>
    <w:rsid w:val="008C7DE4"/>
    <w:rsid w:val="008C7E1C"/>
    <w:rsid w:val="008C7E5B"/>
    <w:rsid w:val="008C7F07"/>
    <w:rsid w:val="008C7FE5"/>
    <w:rsid w:val="008D0054"/>
    <w:rsid w:val="008D006A"/>
    <w:rsid w:val="008D00CD"/>
    <w:rsid w:val="008D011F"/>
    <w:rsid w:val="008D0190"/>
    <w:rsid w:val="008D0208"/>
    <w:rsid w:val="008D04B7"/>
    <w:rsid w:val="008D058C"/>
    <w:rsid w:val="008D05A1"/>
    <w:rsid w:val="008D0791"/>
    <w:rsid w:val="008D0793"/>
    <w:rsid w:val="008D080C"/>
    <w:rsid w:val="008D0821"/>
    <w:rsid w:val="008D085F"/>
    <w:rsid w:val="008D090C"/>
    <w:rsid w:val="008D0917"/>
    <w:rsid w:val="008D094C"/>
    <w:rsid w:val="008D0A3B"/>
    <w:rsid w:val="008D0A41"/>
    <w:rsid w:val="008D0B0F"/>
    <w:rsid w:val="008D0B1F"/>
    <w:rsid w:val="008D0BDC"/>
    <w:rsid w:val="008D0C50"/>
    <w:rsid w:val="008D0C62"/>
    <w:rsid w:val="008D0E1B"/>
    <w:rsid w:val="008D0E6E"/>
    <w:rsid w:val="008D0EEA"/>
    <w:rsid w:val="008D0F0B"/>
    <w:rsid w:val="008D1033"/>
    <w:rsid w:val="008D1236"/>
    <w:rsid w:val="008D1366"/>
    <w:rsid w:val="008D1368"/>
    <w:rsid w:val="008D136C"/>
    <w:rsid w:val="008D13E9"/>
    <w:rsid w:val="008D14EE"/>
    <w:rsid w:val="008D177E"/>
    <w:rsid w:val="008D17BC"/>
    <w:rsid w:val="008D17D1"/>
    <w:rsid w:val="008D18A9"/>
    <w:rsid w:val="008D1AF8"/>
    <w:rsid w:val="008D1B4C"/>
    <w:rsid w:val="008D1C07"/>
    <w:rsid w:val="008D1C96"/>
    <w:rsid w:val="008D1D21"/>
    <w:rsid w:val="008D1E2B"/>
    <w:rsid w:val="008D1E5C"/>
    <w:rsid w:val="008D1E78"/>
    <w:rsid w:val="008D1EDC"/>
    <w:rsid w:val="008D1F64"/>
    <w:rsid w:val="008D1F7F"/>
    <w:rsid w:val="008D203D"/>
    <w:rsid w:val="008D2087"/>
    <w:rsid w:val="008D2138"/>
    <w:rsid w:val="008D21EE"/>
    <w:rsid w:val="008D226A"/>
    <w:rsid w:val="008D22EE"/>
    <w:rsid w:val="008D231F"/>
    <w:rsid w:val="008D2321"/>
    <w:rsid w:val="008D23F3"/>
    <w:rsid w:val="008D25AF"/>
    <w:rsid w:val="008D2728"/>
    <w:rsid w:val="008D2808"/>
    <w:rsid w:val="008D28A8"/>
    <w:rsid w:val="008D28AA"/>
    <w:rsid w:val="008D290A"/>
    <w:rsid w:val="008D2981"/>
    <w:rsid w:val="008D2A26"/>
    <w:rsid w:val="008D2A5B"/>
    <w:rsid w:val="008D2A65"/>
    <w:rsid w:val="008D2AEC"/>
    <w:rsid w:val="008D2AF4"/>
    <w:rsid w:val="008D2C11"/>
    <w:rsid w:val="008D2C2E"/>
    <w:rsid w:val="008D2C3A"/>
    <w:rsid w:val="008D2CCA"/>
    <w:rsid w:val="008D2D7A"/>
    <w:rsid w:val="008D2DCB"/>
    <w:rsid w:val="008D2DD0"/>
    <w:rsid w:val="008D2ECA"/>
    <w:rsid w:val="008D2FF4"/>
    <w:rsid w:val="008D3050"/>
    <w:rsid w:val="008D30B0"/>
    <w:rsid w:val="008D30E9"/>
    <w:rsid w:val="008D31F3"/>
    <w:rsid w:val="008D323D"/>
    <w:rsid w:val="008D3267"/>
    <w:rsid w:val="008D32F4"/>
    <w:rsid w:val="008D340F"/>
    <w:rsid w:val="008D34E1"/>
    <w:rsid w:val="008D367C"/>
    <w:rsid w:val="008D36F1"/>
    <w:rsid w:val="008D3726"/>
    <w:rsid w:val="008D37AA"/>
    <w:rsid w:val="008D3B40"/>
    <w:rsid w:val="008D3B89"/>
    <w:rsid w:val="008D3C8D"/>
    <w:rsid w:val="008D3D4C"/>
    <w:rsid w:val="008D3DC4"/>
    <w:rsid w:val="008D3E57"/>
    <w:rsid w:val="008D3ECD"/>
    <w:rsid w:val="008D3F88"/>
    <w:rsid w:val="008D3FA3"/>
    <w:rsid w:val="008D3FAF"/>
    <w:rsid w:val="008D414B"/>
    <w:rsid w:val="008D4234"/>
    <w:rsid w:val="008D42EF"/>
    <w:rsid w:val="008D42F5"/>
    <w:rsid w:val="008D433A"/>
    <w:rsid w:val="008D433E"/>
    <w:rsid w:val="008D439F"/>
    <w:rsid w:val="008D4412"/>
    <w:rsid w:val="008D449B"/>
    <w:rsid w:val="008D4796"/>
    <w:rsid w:val="008D47AA"/>
    <w:rsid w:val="008D48FE"/>
    <w:rsid w:val="008D4978"/>
    <w:rsid w:val="008D4984"/>
    <w:rsid w:val="008D4989"/>
    <w:rsid w:val="008D49EE"/>
    <w:rsid w:val="008D4A41"/>
    <w:rsid w:val="008D4A42"/>
    <w:rsid w:val="008D4A79"/>
    <w:rsid w:val="008D4B51"/>
    <w:rsid w:val="008D4CB0"/>
    <w:rsid w:val="008D4DFC"/>
    <w:rsid w:val="008D4E6C"/>
    <w:rsid w:val="008D4E88"/>
    <w:rsid w:val="008D5039"/>
    <w:rsid w:val="008D513E"/>
    <w:rsid w:val="008D519D"/>
    <w:rsid w:val="008D51A8"/>
    <w:rsid w:val="008D52F9"/>
    <w:rsid w:val="008D5366"/>
    <w:rsid w:val="008D536E"/>
    <w:rsid w:val="008D5428"/>
    <w:rsid w:val="008D5476"/>
    <w:rsid w:val="008D5538"/>
    <w:rsid w:val="008D5622"/>
    <w:rsid w:val="008D5687"/>
    <w:rsid w:val="008D577F"/>
    <w:rsid w:val="008D582E"/>
    <w:rsid w:val="008D599E"/>
    <w:rsid w:val="008D5AA1"/>
    <w:rsid w:val="008D5B24"/>
    <w:rsid w:val="008D5B95"/>
    <w:rsid w:val="008D5BEC"/>
    <w:rsid w:val="008D5BED"/>
    <w:rsid w:val="008D5C16"/>
    <w:rsid w:val="008D5CE8"/>
    <w:rsid w:val="008D5DCB"/>
    <w:rsid w:val="008D5E17"/>
    <w:rsid w:val="008D5EFA"/>
    <w:rsid w:val="008D6042"/>
    <w:rsid w:val="008D6123"/>
    <w:rsid w:val="008D6161"/>
    <w:rsid w:val="008D618F"/>
    <w:rsid w:val="008D61A3"/>
    <w:rsid w:val="008D61AC"/>
    <w:rsid w:val="008D61ED"/>
    <w:rsid w:val="008D622D"/>
    <w:rsid w:val="008D62F2"/>
    <w:rsid w:val="008D6397"/>
    <w:rsid w:val="008D63D3"/>
    <w:rsid w:val="008D6415"/>
    <w:rsid w:val="008D657A"/>
    <w:rsid w:val="008D660C"/>
    <w:rsid w:val="008D695E"/>
    <w:rsid w:val="008D69DD"/>
    <w:rsid w:val="008D69EE"/>
    <w:rsid w:val="008D6A9B"/>
    <w:rsid w:val="008D6AC9"/>
    <w:rsid w:val="008D6AE6"/>
    <w:rsid w:val="008D6B9B"/>
    <w:rsid w:val="008D6C5E"/>
    <w:rsid w:val="008D6D0C"/>
    <w:rsid w:val="008D6D28"/>
    <w:rsid w:val="008D6E20"/>
    <w:rsid w:val="008D6E5A"/>
    <w:rsid w:val="008D6FBC"/>
    <w:rsid w:val="008D7018"/>
    <w:rsid w:val="008D711A"/>
    <w:rsid w:val="008D71E0"/>
    <w:rsid w:val="008D7270"/>
    <w:rsid w:val="008D7307"/>
    <w:rsid w:val="008D7346"/>
    <w:rsid w:val="008D735F"/>
    <w:rsid w:val="008D73C9"/>
    <w:rsid w:val="008D761F"/>
    <w:rsid w:val="008D7653"/>
    <w:rsid w:val="008D76ED"/>
    <w:rsid w:val="008D77E8"/>
    <w:rsid w:val="008D78E9"/>
    <w:rsid w:val="008D796D"/>
    <w:rsid w:val="008D7A1D"/>
    <w:rsid w:val="008D7AA3"/>
    <w:rsid w:val="008D7ACC"/>
    <w:rsid w:val="008D7B5A"/>
    <w:rsid w:val="008D7BD9"/>
    <w:rsid w:val="008D7D38"/>
    <w:rsid w:val="008D7D9E"/>
    <w:rsid w:val="008D7DA1"/>
    <w:rsid w:val="008D7EF3"/>
    <w:rsid w:val="008D7FB7"/>
    <w:rsid w:val="008E015A"/>
    <w:rsid w:val="008E01FE"/>
    <w:rsid w:val="008E024B"/>
    <w:rsid w:val="008E04DF"/>
    <w:rsid w:val="008E04E1"/>
    <w:rsid w:val="008E05ED"/>
    <w:rsid w:val="008E06C3"/>
    <w:rsid w:val="008E06DB"/>
    <w:rsid w:val="008E06E4"/>
    <w:rsid w:val="008E07D9"/>
    <w:rsid w:val="008E0807"/>
    <w:rsid w:val="008E0848"/>
    <w:rsid w:val="008E096A"/>
    <w:rsid w:val="008E09CE"/>
    <w:rsid w:val="008E0A8A"/>
    <w:rsid w:val="008E0ABB"/>
    <w:rsid w:val="008E0B2A"/>
    <w:rsid w:val="008E0B68"/>
    <w:rsid w:val="008E0B96"/>
    <w:rsid w:val="008E0BEB"/>
    <w:rsid w:val="008E0C82"/>
    <w:rsid w:val="008E0C97"/>
    <w:rsid w:val="008E0CD1"/>
    <w:rsid w:val="008E0DE9"/>
    <w:rsid w:val="008E0EB1"/>
    <w:rsid w:val="008E0EF4"/>
    <w:rsid w:val="008E133D"/>
    <w:rsid w:val="008E1361"/>
    <w:rsid w:val="008E153B"/>
    <w:rsid w:val="008E1593"/>
    <w:rsid w:val="008E165E"/>
    <w:rsid w:val="008E16BF"/>
    <w:rsid w:val="008E1824"/>
    <w:rsid w:val="008E1859"/>
    <w:rsid w:val="008E186F"/>
    <w:rsid w:val="008E1943"/>
    <w:rsid w:val="008E197B"/>
    <w:rsid w:val="008E19C2"/>
    <w:rsid w:val="008E19CE"/>
    <w:rsid w:val="008E1ADB"/>
    <w:rsid w:val="008E1BE9"/>
    <w:rsid w:val="008E1DB0"/>
    <w:rsid w:val="008E1DF3"/>
    <w:rsid w:val="008E1E27"/>
    <w:rsid w:val="008E1E68"/>
    <w:rsid w:val="008E207C"/>
    <w:rsid w:val="008E2143"/>
    <w:rsid w:val="008E218A"/>
    <w:rsid w:val="008E21A3"/>
    <w:rsid w:val="008E22FE"/>
    <w:rsid w:val="008E24E7"/>
    <w:rsid w:val="008E24F3"/>
    <w:rsid w:val="008E24FB"/>
    <w:rsid w:val="008E2616"/>
    <w:rsid w:val="008E261E"/>
    <w:rsid w:val="008E2665"/>
    <w:rsid w:val="008E27F1"/>
    <w:rsid w:val="008E27F6"/>
    <w:rsid w:val="008E27FD"/>
    <w:rsid w:val="008E281D"/>
    <w:rsid w:val="008E28C7"/>
    <w:rsid w:val="008E2928"/>
    <w:rsid w:val="008E294D"/>
    <w:rsid w:val="008E2984"/>
    <w:rsid w:val="008E2A6E"/>
    <w:rsid w:val="008E2BF8"/>
    <w:rsid w:val="008E2C67"/>
    <w:rsid w:val="008E2CC6"/>
    <w:rsid w:val="008E2CD5"/>
    <w:rsid w:val="008E2D35"/>
    <w:rsid w:val="008E2DAA"/>
    <w:rsid w:val="008E2DC8"/>
    <w:rsid w:val="008E2EE2"/>
    <w:rsid w:val="008E2F0A"/>
    <w:rsid w:val="008E2FD3"/>
    <w:rsid w:val="008E3049"/>
    <w:rsid w:val="008E3301"/>
    <w:rsid w:val="008E3377"/>
    <w:rsid w:val="008E33C6"/>
    <w:rsid w:val="008E3458"/>
    <w:rsid w:val="008E348E"/>
    <w:rsid w:val="008E357C"/>
    <w:rsid w:val="008E359A"/>
    <w:rsid w:val="008E35A3"/>
    <w:rsid w:val="008E35AF"/>
    <w:rsid w:val="008E3872"/>
    <w:rsid w:val="008E3A6F"/>
    <w:rsid w:val="008E3A96"/>
    <w:rsid w:val="008E3AAF"/>
    <w:rsid w:val="008E3ACB"/>
    <w:rsid w:val="008E3BD1"/>
    <w:rsid w:val="008E3BE9"/>
    <w:rsid w:val="008E3C0D"/>
    <w:rsid w:val="008E3DBA"/>
    <w:rsid w:val="008E3E30"/>
    <w:rsid w:val="008E3E98"/>
    <w:rsid w:val="008E3E9B"/>
    <w:rsid w:val="008E3EA6"/>
    <w:rsid w:val="008E3FFF"/>
    <w:rsid w:val="008E4068"/>
    <w:rsid w:val="008E4152"/>
    <w:rsid w:val="008E43E5"/>
    <w:rsid w:val="008E44D1"/>
    <w:rsid w:val="008E4562"/>
    <w:rsid w:val="008E45D5"/>
    <w:rsid w:val="008E467D"/>
    <w:rsid w:val="008E47CF"/>
    <w:rsid w:val="008E4873"/>
    <w:rsid w:val="008E488A"/>
    <w:rsid w:val="008E4900"/>
    <w:rsid w:val="008E4918"/>
    <w:rsid w:val="008E4A42"/>
    <w:rsid w:val="008E4AB0"/>
    <w:rsid w:val="008E4ACA"/>
    <w:rsid w:val="008E4C76"/>
    <w:rsid w:val="008E4CC0"/>
    <w:rsid w:val="008E4D3C"/>
    <w:rsid w:val="008E4D72"/>
    <w:rsid w:val="008E4DBA"/>
    <w:rsid w:val="008E4E59"/>
    <w:rsid w:val="008E4E73"/>
    <w:rsid w:val="008E4F04"/>
    <w:rsid w:val="008E5057"/>
    <w:rsid w:val="008E5066"/>
    <w:rsid w:val="008E50AC"/>
    <w:rsid w:val="008E514A"/>
    <w:rsid w:val="008E5178"/>
    <w:rsid w:val="008E5220"/>
    <w:rsid w:val="008E525E"/>
    <w:rsid w:val="008E52F7"/>
    <w:rsid w:val="008E53CC"/>
    <w:rsid w:val="008E56CE"/>
    <w:rsid w:val="008E580F"/>
    <w:rsid w:val="008E5836"/>
    <w:rsid w:val="008E5881"/>
    <w:rsid w:val="008E588B"/>
    <w:rsid w:val="008E5B17"/>
    <w:rsid w:val="008E5B6D"/>
    <w:rsid w:val="008E5B8F"/>
    <w:rsid w:val="008E5B93"/>
    <w:rsid w:val="008E5BA2"/>
    <w:rsid w:val="008E5C3D"/>
    <w:rsid w:val="008E5D20"/>
    <w:rsid w:val="008E5D6B"/>
    <w:rsid w:val="008E5DDC"/>
    <w:rsid w:val="008E5F3E"/>
    <w:rsid w:val="008E5F53"/>
    <w:rsid w:val="008E5FDE"/>
    <w:rsid w:val="008E6054"/>
    <w:rsid w:val="008E60E5"/>
    <w:rsid w:val="008E618D"/>
    <w:rsid w:val="008E61AB"/>
    <w:rsid w:val="008E6224"/>
    <w:rsid w:val="008E623E"/>
    <w:rsid w:val="008E626A"/>
    <w:rsid w:val="008E62C5"/>
    <w:rsid w:val="008E62D2"/>
    <w:rsid w:val="008E6313"/>
    <w:rsid w:val="008E631B"/>
    <w:rsid w:val="008E647F"/>
    <w:rsid w:val="008E650F"/>
    <w:rsid w:val="008E6554"/>
    <w:rsid w:val="008E662D"/>
    <w:rsid w:val="008E6640"/>
    <w:rsid w:val="008E666E"/>
    <w:rsid w:val="008E670D"/>
    <w:rsid w:val="008E678B"/>
    <w:rsid w:val="008E686F"/>
    <w:rsid w:val="008E68E6"/>
    <w:rsid w:val="008E6922"/>
    <w:rsid w:val="008E6955"/>
    <w:rsid w:val="008E697A"/>
    <w:rsid w:val="008E6A3E"/>
    <w:rsid w:val="008E6A98"/>
    <w:rsid w:val="008E6B4C"/>
    <w:rsid w:val="008E6BB0"/>
    <w:rsid w:val="008E6C4F"/>
    <w:rsid w:val="008E6C85"/>
    <w:rsid w:val="008E6D71"/>
    <w:rsid w:val="008E6DDC"/>
    <w:rsid w:val="008E6E36"/>
    <w:rsid w:val="008E6F3C"/>
    <w:rsid w:val="008E6F81"/>
    <w:rsid w:val="008E6FC6"/>
    <w:rsid w:val="008E7017"/>
    <w:rsid w:val="008E7274"/>
    <w:rsid w:val="008E72F3"/>
    <w:rsid w:val="008E7301"/>
    <w:rsid w:val="008E7389"/>
    <w:rsid w:val="008E73A2"/>
    <w:rsid w:val="008E73E0"/>
    <w:rsid w:val="008E74A0"/>
    <w:rsid w:val="008E755D"/>
    <w:rsid w:val="008E7598"/>
    <w:rsid w:val="008E7744"/>
    <w:rsid w:val="008E7765"/>
    <w:rsid w:val="008E77E9"/>
    <w:rsid w:val="008E7827"/>
    <w:rsid w:val="008E79A5"/>
    <w:rsid w:val="008E79F0"/>
    <w:rsid w:val="008E7A98"/>
    <w:rsid w:val="008E7A9E"/>
    <w:rsid w:val="008E7AB3"/>
    <w:rsid w:val="008E7ABE"/>
    <w:rsid w:val="008E7B62"/>
    <w:rsid w:val="008E7B70"/>
    <w:rsid w:val="008E7BA6"/>
    <w:rsid w:val="008E7C16"/>
    <w:rsid w:val="008E7C8F"/>
    <w:rsid w:val="008E7CDB"/>
    <w:rsid w:val="008E7D34"/>
    <w:rsid w:val="008E7D40"/>
    <w:rsid w:val="008E7D83"/>
    <w:rsid w:val="008E7E43"/>
    <w:rsid w:val="008E7E82"/>
    <w:rsid w:val="008E7E85"/>
    <w:rsid w:val="008E7E9E"/>
    <w:rsid w:val="008E7EA9"/>
    <w:rsid w:val="008E7F81"/>
    <w:rsid w:val="008F0021"/>
    <w:rsid w:val="008F0045"/>
    <w:rsid w:val="008F0057"/>
    <w:rsid w:val="008F022C"/>
    <w:rsid w:val="008F02D4"/>
    <w:rsid w:val="008F0366"/>
    <w:rsid w:val="008F036E"/>
    <w:rsid w:val="008F03C8"/>
    <w:rsid w:val="008F03D7"/>
    <w:rsid w:val="008F0425"/>
    <w:rsid w:val="008F0562"/>
    <w:rsid w:val="008F05B5"/>
    <w:rsid w:val="008F078C"/>
    <w:rsid w:val="008F09C0"/>
    <w:rsid w:val="008F0A25"/>
    <w:rsid w:val="008F0A70"/>
    <w:rsid w:val="008F0ACD"/>
    <w:rsid w:val="008F0B81"/>
    <w:rsid w:val="008F0C4A"/>
    <w:rsid w:val="008F0D53"/>
    <w:rsid w:val="008F0DB2"/>
    <w:rsid w:val="008F0E16"/>
    <w:rsid w:val="008F0E1A"/>
    <w:rsid w:val="008F0FB2"/>
    <w:rsid w:val="008F1010"/>
    <w:rsid w:val="008F10F1"/>
    <w:rsid w:val="008F1187"/>
    <w:rsid w:val="008F1208"/>
    <w:rsid w:val="008F122F"/>
    <w:rsid w:val="008F127C"/>
    <w:rsid w:val="008F12E7"/>
    <w:rsid w:val="008F1362"/>
    <w:rsid w:val="008F146A"/>
    <w:rsid w:val="008F15E5"/>
    <w:rsid w:val="008F164F"/>
    <w:rsid w:val="008F16FA"/>
    <w:rsid w:val="008F1727"/>
    <w:rsid w:val="008F18D8"/>
    <w:rsid w:val="008F1AB4"/>
    <w:rsid w:val="008F1B17"/>
    <w:rsid w:val="008F1EB0"/>
    <w:rsid w:val="008F1EC9"/>
    <w:rsid w:val="008F1F11"/>
    <w:rsid w:val="008F1FBC"/>
    <w:rsid w:val="008F2025"/>
    <w:rsid w:val="008F21A0"/>
    <w:rsid w:val="008F22AF"/>
    <w:rsid w:val="008F22BA"/>
    <w:rsid w:val="008F22F8"/>
    <w:rsid w:val="008F236F"/>
    <w:rsid w:val="008F238A"/>
    <w:rsid w:val="008F23D2"/>
    <w:rsid w:val="008F24D4"/>
    <w:rsid w:val="008F2526"/>
    <w:rsid w:val="008F2561"/>
    <w:rsid w:val="008F260B"/>
    <w:rsid w:val="008F2624"/>
    <w:rsid w:val="008F269C"/>
    <w:rsid w:val="008F2741"/>
    <w:rsid w:val="008F2757"/>
    <w:rsid w:val="008F277D"/>
    <w:rsid w:val="008F27B4"/>
    <w:rsid w:val="008F27BF"/>
    <w:rsid w:val="008F2ABE"/>
    <w:rsid w:val="008F2C08"/>
    <w:rsid w:val="008F2DDC"/>
    <w:rsid w:val="008F2FD9"/>
    <w:rsid w:val="008F305B"/>
    <w:rsid w:val="008F30A7"/>
    <w:rsid w:val="008F3150"/>
    <w:rsid w:val="008F342D"/>
    <w:rsid w:val="008F35B2"/>
    <w:rsid w:val="008F366D"/>
    <w:rsid w:val="008F3691"/>
    <w:rsid w:val="008F36A8"/>
    <w:rsid w:val="008F36EF"/>
    <w:rsid w:val="008F37E0"/>
    <w:rsid w:val="008F3846"/>
    <w:rsid w:val="008F389C"/>
    <w:rsid w:val="008F3920"/>
    <w:rsid w:val="008F3986"/>
    <w:rsid w:val="008F39FC"/>
    <w:rsid w:val="008F3A44"/>
    <w:rsid w:val="008F3B96"/>
    <w:rsid w:val="008F3C1D"/>
    <w:rsid w:val="008F3CD4"/>
    <w:rsid w:val="008F3CDB"/>
    <w:rsid w:val="008F3CF7"/>
    <w:rsid w:val="008F3D80"/>
    <w:rsid w:val="008F3D82"/>
    <w:rsid w:val="008F3E1F"/>
    <w:rsid w:val="008F3EEF"/>
    <w:rsid w:val="008F3EF2"/>
    <w:rsid w:val="008F3F78"/>
    <w:rsid w:val="008F40AB"/>
    <w:rsid w:val="008F4272"/>
    <w:rsid w:val="008F42D5"/>
    <w:rsid w:val="008F44EA"/>
    <w:rsid w:val="008F457A"/>
    <w:rsid w:val="008F4648"/>
    <w:rsid w:val="008F466A"/>
    <w:rsid w:val="008F4718"/>
    <w:rsid w:val="008F4799"/>
    <w:rsid w:val="008F47A2"/>
    <w:rsid w:val="008F47EC"/>
    <w:rsid w:val="008F481C"/>
    <w:rsid w:val="008F48C4"/>
    <w:rsid w:val="008F4921"/>
    <w:rsid w:val="008F49C6"/>
    <w:rsid w:val="008F4B22"/>
    <w:rsid w:val="008F4B62"/>
    <w:rsid w:val="008F4B70"/>
    <w:rsid w:val="008F4BDA"/>
    <w:rsid w:val="008F4BF2"/>
    <w:rsid w:val="008F4C5E"/>
    <w:rsid w:val="008F4D99"/>
    <w:rsid w:val="008F4E13"/>
    <w:rsid w:val="008F4E1C"/>
    <w:rsid w:val="008F4E1F"/>
    <w:rsid w:val="008F4F4F"/>
    <w:rsid w:val="008F5104"/>
    <w:rsid w:val="008F5165"/>
    <w:rsid w:val="008F527B"/>
    <w:rsid w:val="008F5289"/>
    <w:rsid w:val="008F531F"/>
    <w:rsid w:val="008F5349"/>
    <w:rsid w:val="008F5353"/>
    <w:rsid w:val="008F5479"/>
    <w:rsid w:val="008F5483"/>
    <w:rsid w:val="008F54AD"/>
    <w:rsid w:val="008F569F"/>
    <w:rsid w:val="008F57EC"/>
    <w:rsid w:val="008F590B"/>
    <w:rsid w:val="008F5954"/>
    <w:rsid w:val="008F5A3A"/>
    <w:rsid w:val="008F5A3F"/>
    <w:rsid w:val="008F5AEB"/>
    <w:rsid w:val="008F5B92"/>
    <w:rsid w:val="008F5BF5"/>
    <w:rsid w:val="008F5C0C"/>
    <w:rsid w:val="008F5C2C"/>
    <w:rsid w:val="008F5F00"/>
    <w:rsid w:val="008F61BE"/>
    <w:rsid w:val="008F6203"/>
    <w:rsid w:val="008F630E"/>
    <w:rsid w:val="008F630F"/>
    <w:rsid w:val="008F6356"/>
    <w:rsid w:val="008F64ED"/>
    <w:rsid w:val="008F6513"/>
    <w:rsid w:val="008F652A"/>
    <w:rsid w:val="008F652E"/>
    <w:rsid w:val="008F65E0"/>
    <w:rsid w:val="008F6642"/>
    <w:rsid w:val="008F6691"/>
    <w:rsid w:val="008F66DA"/>
    <w:rsid w:val="008F6722"/>
    <w:rsid w:val="008F673C"/>
    <w:rsid w:val="008F6B02"/>
    <w:rsid w:val="008F6B73"/>
    <w:rsid w:val="008F6CFB"/>
    <w:rsid w:val="008F6D63"/>
    <w:rsid w:val="008F6EA5"/>
    <w:rsid w:val="008F6F23"/>
    <w:rsid w:val="008F70AC"/>
    <w:rsid w:val="008F70D4"/>
    <w:rsid w:val="008F717A"/>
    <w:rsid w:val="008F72BC"/>
    <w:rsid w:val="008F7313"/>
    <w:rsid w:val="008F7343"/>
    <w:rsid w:val="008F741A"/>
    <w:rsid w:val="008F7488"/>
    <w:rsid w:val="008F7557"/>
    <w:rsid w:val="008F764C"/>
    <w:rsid w:val="008F76BA"/>
    <w:rsid w:val="008F77A3"/>
    <w:rsid w:val="008F77CD"/>
    <w:rsid w:val="008F7937"/>
    <w:rsid w:val="008F79A1"/>
    <w:rsid w:val="008F7C39"/>
    <w:rsid w:val="008F7CD8"/>
    <w:rsid w:val="008F7DAC"/>
    <w:rsid w:val="008F7E87"/>
    <w:rsid w:val="008F7F15"/>
    <w:rsid w:val="008F7FE0"/>
    <w:rsid w:val="008F7FF5"/>
    <w:rsid w:val="0090001A"/>
    <w:rsid w:val="00900056"/>
    <w:rsid w:val="0090007A"/>
    <w:rsid w:val="0090018C"/>
    <w:rsid w:val="009001FA"/>
    <w:rsid w:val="0090026E"/>
    <w:rsid w:val="009002E2"/>
    <w:rsid w:val="0090030F"/>
    <w:rsid w:val="009003D2"/>
    <w:rsid w:val="009004BE"/>
    <w:rsid w:val="00900616"/>
    <w:rsid w:val="0090062A"/>
    <w:rsid w:val="0090064C"/>
    <w:rsid w:val="0090065B"/>
    <w:rsid w:val="009006BA"/>
    <w:rsid w:val="009007D7"/>
    <w:rsid w:val="009008BE"/>
    <w:rsid w:val="009008E1"/>
    <w:rsid w:val="00900909"/>
    <w:rsid w:val="009009C9"/>
    <w:rsid w:val="00900D5B"/>
    <w:rsid w:val="00900DCA"/>
    <w:rsid w:val="00900E4D"/>
    <w:rsid w:val="00900E88"/>
    <w:rsid w:val="00900E89"/>
    <w:rsid w:val="00900FA8"/>
    <w:rsid w:val="00901058"/>
    <w:rsid w:val="00901111"/>
    <w:rsid w:val="0090111A"/>
    <w:rsid w:val="00901131"/>
    <w:rsid w:val="0090127F"/>
    <w:rsid w:val="009013DF"/>
    <w:rsid w:val="0090146E"/>
    <w:rsid w:val="0090150B"/>
    <w:rsid w:val="009015A4"/>
    <w:rsid w:val="0090160A"/>
    <w:rsid w:val="00901695"/>
    <w:rsid w:val="009016A9"/>
    <w:rsid w:val="00901721"/>
    <w:rsid w:val="0090180C"/>
    <w:rsid w:val="00901A2C"/>
    <w:rsid w:val="00901B00"/>
    <w:rsid w:val="00901B53"/>
    <w:rsid w:val="00901C93"/>
    <w:rsid w:val="00901D30"/>
    <w:rsid w:val="00901D52"/>
    <w:rsid w:val="00901E89"/>
    <w:rsid w:val="00901F52"/>
    <w:rsid w:val="00901FFD"/>
    <w:rsid w:val="0090201E"/>
    <w:rsid w:val="00902187"/>
    <w:rsid w:val="00902197"/>
    <w:rsid w:val="0090233A"/>
    <w:rsid w:val="00902372"/>
    <w:rsid w:val="00902387"/>
    <w:rsid w:val="0090238E"/>
    <w:rsid w:val="00902402"/>
    <w:rsid w:val="0090242E"/>
    <w:rsid w:val="009026FC"/>
    <w:rsid w:val="0090286D"/>
    <w:rsid w:val="0090292D"/>
    <w:rsid w:val="0090295E"/>
    <w:rsid w:val="00902983"/>
    <w:rsid w:val="009029FF"/>
    <w:rsid w:val="00902A05"/>
    <w:rsid w:val="00902BA8"/>
    <w:rsid w:val="00902BD1"/>
    <w:rsid w:val="00902BE4"/>
    <w:rsid w:val="00902C01"/>
    <w:rsid w:val="00902C55"/>
    <w:rsid w:val="00902C77"/>
    <w:rsid w:val="00902CEF"/>
    <w:rsid w:val="00902CF2"/>
    <w:rsid w:val="00902DE3"/>
    <w:rsid w:val="00902EB3"/>
    <w:rsid w:val="00902F20"/>
    <w:rsid w:val="00903018"/>
    <w:rsid w:val="00903024"/>
    <w:rsid w:val="0090304E"/>
    <w:rsid w:val="009030FA"/>
    <w:rsid w:val="009031F0"/>
    <w:rsid w:val="0090322F"/>
    <w:rsid w:val="0090329C"/>
    <w:rsid w:val="009032DC"/>
    <w:rsid w:val="00903353"/>
    <w:rsid w:val="00903382"/>
    <w:rsid w:val="009034BD"/>
    <w:rsid w:val="009034D6"/>
    <w:rsid w:val="00903518"/>
    <w:rsid w:val="00903598"/>
    <w:rsid w:val="0090375F"/>
    <w:rsid w:val="0090376B"/>
    <w:rsid w:val="00903779"/>
    <w:rsid w:val="009037C1"/>
    <w:rsid w:val="009037F5"/>
    <w:rsid w:val="00903807"/>
    <w:rsid w:val="00903823"/>
    <w:rsid w:val="009039D5"/>
    <w:rsid w:val="00903A35"/>
    <w:rsid w:val="00903AA5"/>
    <w:rsid w:val="00903AD7"/>
    <w:rsid w:val="00903C24"/>
    <w:rsid w:val="00903D5A"/>
    <w:rsid w:val="00903EC7"/>
    <w:rsid w:val="00903F35"/>
    <w:rsid w:val="00903F9B"/>
    <w:rsid w:val="00903FC7"/>
    <w:rsid w:val="00903FF5"/>
    <w:rsid w:val="00904049"/>
    <w:rsid w:val="0090423D"/>
    <w:rsid w:val="00904256"/>
    <w:rsid w:val="0090427C"/>
    <w:rsid w:val="00904339"/>
    <w:rsid w:val="009043C1"/>
    <w:rsid w:val="0090440E"/>
    <w:rsid w:val="0090448A"/>
    <w:rsid w:val="009044DE"/>
    <w:rsid w:val="00904551"/>
    <w:rsid w:val="009045C7"/>
    <w:rsid w:val="009045E1"/>
    <w:rsid w:val="00904639"/>
    <w:rsid w:val="0090464D"/>
    <w:rsid w:val="00904767"/>
    <w:rsid w:val="009047D5"/>
    <w:rsid w:val="00904828"/>
    <w:rsid w:val="00904831"/>
    <w:rsid w:val="00904855"/>
    <w:rsid w:val="00904886"/>
    <w:rsid w:val="009048E8"/>
    <w:rsid w:val="0090495C"/>
    <w:rsid w:val="0090496D"/>
    <w:rsid w:val="00904A52"/>
    <w:rsid w:val="00904A93"/>
    <w:rsid w:val="00904AF6"/>
    <w:rsid w:val="00904C6B"/>
    <w:rsid w:val="00904CAE"/>
    <w:rsid w:val="00904CD7"/>
    <w:rsid w:val="00904CFB"/>
    <w:rsid w:val="00904D71"/>
    <w:rsid w:val="00904EE5"/>
    <w:rsid w:val="00904F6D"/>
    <w:rsid w:val="00905209"/>
    <w:rsid w:val="00905274"/>
    <w:rsid w:val="009053AE"/>
    <w:rsid w:val="009053B6"/>
    <w:rsid w:val="00905428"/>
    <w:rsid w:val="0090544E"/>
    <w:rsid w:val="009054B0"/>
    <w:rsid w:val="009054B5"/>
    <w:rsid w:val="009054D8"/>
    <w:rsid w:val="009055EA"/>
    <w:rsid w:val="00905637"/>
    <w:rsid w:val="0090563A"/>
    <w:rsid w:val="00905653"/>
    <w:rsid w:val="0090567A"/>
    <w:rsid w:val="0090583E"/>
    <w:rsid w:val="00905911"/>
    <w:rsid w:val="009059AD"/>
    <w:rsid w:val="00905A25"/>
    <w:rsid w:val="00905AA2"/>
    <w:rsid w:val="00905BCA"/>
    <w:rsid w:val="00905CC9"/>
    <w:rsid w:val="00905D70"/>
    <w:rsid w:val="00905DA7"/>
    <w:rsid w:val="00905DE1"/>
    <w:rsid w:val="00905DF3"/>
    <w:rsid w:val="00905E44"/>
    <w:rsid w:val="00905E75"/>
    <w:rsid w:val="00905EB3"/>
    <w:rsid w:val="00905F2E"/>
    <w:rsid w:val="00905F5D"/>
    <w:rsid w:val="0090602E"/>
    <w:rsid w:val="009062CC"/>
    <w:rsid w:val="00906441"/>
    <w:rsid w:val="00906446"/>
    <w:rsid w:val="009064BD"/>
    <w:rsid w:val="00906626"/>
    <w:rsid w:val="00906644"/>
    <w:rsid w:val="0090668B"/>
    <w:rsid w:val="009066C9"/>
    <w:rsid w:val="00906778"/>
    <w:rsid w:val="00906878"/>
    <w:rsid w:val="009068C4"/>
    <w:rsid w:val="009068EA"/>
    <w:rsid w:val="00906A8F"/>
    <w:rsid w:val="00906B21"/>
    <w:rsid w:val="00906BBF"/>
    <w:rsid w:val="00906CA1"/>
    <w:rsid w:val="00906D01"/>
    <w:rsid w:val="00906DE1"/>
    <w:rsid w:val="00906DFA"/>
    <w:rsid w:val="00906E65"/>
    <w:rsid w:val="00906E9F"/>
    <w:rsid w:val="00906EB2"/>
    <w:rsid w:val="00906F7F"/>
    <w:rsid w:val="00906FB1"/>
    <w:rsid w:val="00906FCF"/>
    <w:rsid w:val="00907019"/>
    <w:rsid w:val="00907155"/>
    <w:rsid w:val="00907193"/>
    <w:rsid w:val="00907274"/>
    <w:rsid w:val="009072A5"/>
    <w:rsid w:val="0090736C"/>
    <w:rsid w:val="00907375"/>
    <w:rsid w:val="00907383"/>
    <w:rsid w:val="0090776A"/>
    <w:rsid w:val="009077DC"/>
    <w:rsid w:val="009079C9"/>
    <w:rsid w:val="00907A00"/>
    <w:rsid w:val="00907A37"/>
    <w:rsid w:val="00907AA1"/>
    <w:rsid w:val="00907AEE"/>
    <w:rsid w:val="00907B47"/>
    <w:rsid w:val="00907D16"/>
    <w:rsid w:val="00907D84"/>
    <w:rsid w:val="00907DBE"/>
    <w:rsid w:val="00907E94"/>
    <w:rsid w:val="00910151"/>
    <w:rsid w:val="009101B7"/>
    <w:rsid w:val="009101CF"/>
    <w:rsid w:val="00910243"/>
    <w:rsid w:val="0091025D"/>
    <w:rsid w:val="009102C1"/>
    <w:rsid w:val="00910366"/>
    <w:rsid w:val="009103CB"/>
    <w:rsid w:val="00910405"/>
    <w:rsid w:val="009105BF"/>
    <w:rsid w:val="009105C7"/>
    <w:rsid w:val="00910650"/>
    <w:rsid w:val="0091083A"/>
    <w:rsid w:val="009108CF"/>
    <w:rsid w:val="00910932"/>
    <w:rsid w:val="00910A2D"/>
    <w:rsid w:val="00910AE4"/>
    <w:rsid w:val="00910BDB"/>
    <w:rsid w:val="00910BF8"/>
    <w:rsid w:val="00910CE2"/>
    <w:rsid w:val="00910D2F"/>
    <w:rsid w:val="00910D48"/>
    <w:rsid w:val="00910EBB"/>
    <w:rsid w:val="00911035"/>
    <w:rsid w:val="009110A6"/>
    <w:rsid w:val="00911119"/>
    <w:rsid w:val="00911160"/>
    <w:rsid w:val="0091119B"/>
    <w:rsid w:val="009111F0"/>
    <w:rsid w:val="0091120F"/>
    <w:rsid w:val="00911379"/>
    <w:rsid w:val="0091137B"/>
    <w:rsid w:val="00911408"/>
    <w:rsid w:val="00911440"/>
    <w:rsid w:val="009114E2"/>
    <w:rsid w:val="0091151F"/>
    <w:rsid w:val="00911528"/>
    <w:rsid w:val="00911693"/>
    <w:rsid w:val="00911758"/>
    <w:rsid w:val="009118BE"/>
    <w:rsid w:val="0091194C"/>
    <w:rsid w:val="00911983"/>
    <w:rsid w:val="009119B1"/>
    <w:rsid w:val="00911A77"/>
    <w:rsid w:val="00911BA7"/>
    <w:rsid w:val="00911BD4"/>
    <w:rsid w:val="00911BFA"/>
    <w:rsid w:val="00911C17"/>
    <w:rsid w:val="00911DA4"/>
    <w:rsid w:val="00911E0A"/>
    <w:rsid w:val="00911E85"/>
    <w:rsid w:val="0091204A"/>
    <w:rsid w:val="0091204F"/>
    <w:rsid w:val="00912184"/>
    <w:rsid w:val="0091223E"/>
    <w:rsid w:val="009122AA"/>
    <w:rsid w:val="0091236C"/>
    <w:rsid w:val="009123E4"/>
    <w:rsid w:val="00912488"/>
    <w:rsid w:val="00912491"/>
    <w:rsid w:val="009124C8"/>
    <w:rsid w:val="00912518"/>
    <w:rsid w:val="00912545"/>
    <w:rsid w:val="0091261D"/>
    <w:rsid w:val="0091265C"/>
    <w:rsid w:val="00912688"/>
    <w:rsid w:val="009126C2"/>
    <w:rsid w:val="009128D5"/>
    <w:rsid w:val="009128F3"/>
    <w:rsid w:val="00912980"/>
    <w:rsid w:val="00912B64"/>
    <w:rsid w:val="00912CF9"/>
    <w:rsid w:val="00912D5F"/>
    <w:rsid w:val="00912ED1"/>
    <w:rsid w:val="00912F01"/>
    <w:rsid w:val="00912F04"/>
    <w:rsid w:val="00912F59"/>
    <w:rsid w:val="00913086"/>
    <w:rsid w:val="009130A7"/>
    <w:rsid w:val="009130AA"/>
    <w:rsid w:val="0091312F"/>
    <w:rsid w:val="0091332B"/>
    <w:rsid w:val="009133A9"/>
    <w:rsid w:val="009133B0"/>
    <w:rsid w:val="009133E5"/>
    <w:rsid w:val="009136BC"/>
    <w:rsid w:val="00913702"/>
    <w:rsid w:val="0091379D"/>
    <w:rsid w:val="009137FD"/>
    <w:rsid w:val="009139DF"/>
    <w:rsid w:val="00913D9F"/>
    <w:rsid w:val="00913E2E"/>
    <w:rsid w:val="00913ECC"/>
    <w:rsid w:val="009140FA"/>
    <w:rsid w:val="009141AD"/>
    <w:rsid w:val="009141DC"/>
    <w:rsid w:val="009141E2"/>
    <w:rsid w:val="00914284"/>
    <w:rsid w:val="009142C5"/>
    <w:rsid w:val="00914422"/>
    <w:rsid w:val="0091445A"/>
    <w:rsid w:val="009144D5"/>
    <w:rsid w:val="009144FD"/>
    <w:rsid w:val="0091456B"/>
    <w:rsid w:val="009146E3"/>
    <w:rsid w:val="00914795"/>
    <w:rsid w:val="00914958"/>
    <w:rsid w:val="00914A35"/>
    <w:rsid w:val="00914D09"/>
    <w:rsid w:val="00914D1C"/>
    <w:rsid w:val="00914D32"/>
    <w:rsid w:val="00914D80"/>
    <w:rsid w:val="00914D94"/>
    <w:rsid w:val="00914DD4"/>
    <w:rsid w:val="00914E21"/>
    <w:rsid w:val="00914EA0"/>
    <w:rsid w:val="00914ED3"/>
    <w:rsid w:val="00914F32"/>
    <w:rsid w:val="00914FEF"/>
    <w:rsid w:val="009150BA"/>
    <w:rsid w:val="00915481"/>
    <w:rsid w:val="009154A4"/>
    <w:rsid w:val="0091556D"/>
    <w:rsid w:val="00915668"/>
    <w:rsid w:val="009156A8"/>
    <w:rsid w:val="009157E6"/>
    <w:rsid w:val="009157E7"/>
    <w:rsid w:val="00915847"/>
    <w:rsid w:val="00915989"/>
    <w:rsid w:val="009159F3"/>
    <w:rsid w:val="00915AB3"/>
    <w:rsid w:val="00915BB8"/>
    <w:rsid w:val="00915DC1"/>
    <w:rsid w:val="00915E75"/>
    <w:rsid w:val="00915E86"/>
    <w:rsid w:val="00915EAC"/>
    <w:rsid w:val="00915F1E"/>
    <w:rsid w:val="00915F98"/>
    <w:rsid w:val="00915FA3"/>
    <w:rsid w:val="00915FD5"/>
    <w:rsid w:val="0091601B"/>
    <w:rsid w:val="00916188"/>
    <w:rsid w:val="00916313"/>
    <w:rsid w:val="0091632F"/>
    <w:rsid w:val="009163A7"/>
    <w:rsid w:val="009163D8"/>
    <w:rsid w:val="0091642E"/>
    <w:rsid w:val="00916467"/>
    <w:rsid w:val="009164AA"/>
    <w:rsid w:val="0091653A"/>
    <w:rsid w:val="0091657C"/>
    <w:rsid w:val="0091667D"/>
    <w:rsid w:val="00916735"/>
    <w:rsid w:val="009167F8"/>
    <w:rsid w:val="0091684E"/>
    <w:rsid w:val="00916871"/>
    <w:rsid w:val="009168B4"/>
    <w:rsid w:val="00916A70"/>
    <w:rsid w:val="00916ACE"/>
    <w:rsid w:val="00916B10"/>
    <w:rsid w:val="00916B78"/>
    <w:rsid w:val="00916BE2"/>
    <w:rsid w:val="00916BED"/>
    <w:rsid w:val="00916C50"/>
    <w:rsid w:val="00916D42"/>
    <w:rsid w:val="00916D71"/>
    <w:rsid w:val="00916D84"/>
    <w:rsid w:val="00916DBE"/>
    <w:rsid w:val="00916E00"/>
    <w:rsid w:val="00916E2F"/>
    <w:rsid w:val="00916E51"/>
    <w:rsid w:val="00916E8E"/>
    <w:rsid w:val="00916F4D"/>
    <w:rsid w:val="00916FB0"/>
    <w:rsid w:val="00916FF6"/>
    <w:rsid w:val="0091718C"/>
    <w:rsid w:val="00917205"/>
    <w:rsid w:val="009173D3"/>
    <w:rsid w:val="00917412"/>
    <w:rsid w:val="00917455"/>
    <w:rsid w:val="009174BB"/>
    <w:rsid w:val="0091756A"/>
    <w:rsid w:val="009175B0"/>
    <w:rsid w:val="009176EB"/>
    <w:rsid w:val="0091774B"/>
    <w:rsid w:val="009178C3"/>
    <w:rsid w:val="00917945"/>
    <w:rsid w:val="0091795F"/>
    <w:rsid w:val="0091799C"/>
    <w:rsid w:val="00917A0E"/>
    <w:rsid w:val="00917B8D"/>
    <w:rsid w:val="00917B92"/>
    <w:rsid w:val="00917BC9"/>
    <w:rsid w:val="00917C41"/>
    <w:rsid w:val="00917D19"/>
    <w:rsid w:val="00917D91"/>
    <w:rsid w:val="00917DED"/>
    <w:rsid w:val="00917E7D"/>
    <w:rsid w:val="00917F82"/>
    <w:rsid w:val="0092007F"/>
    <w:rsid w:val="0092008B"/>
    <w:rsid w:val="009200FE"/>
    <w:rsid w:val="0092013B"/>
    <w:rsid w:val="00920165"/>
    <w:rsid w:val="009201C9"/>
    <w:rsid w:val="009202F2"/>
    <w:rsid w:val="00920303"/>
    <w:rsid w:val="0092044E"/>
    <w:rsid w:val="00920481"/>
    <w:rsid w:val="00920515"/>
    <w:rsid w:val="0092054F"/>
    <w:rsid w:val="009205F2"/>
    <w:rsid w:val="00920711"/>
    <w:rsid w:val="0092082A"/>
    <w:rsid w:val="00920886"/>
    <w:rsid w:val="0092088D"/>
    <w:rsid w:val="009209AC"/>
    <w:rsid w:val="00920A0F"/>
    <w:rsid w:val="00920A27"/>
    <w:rsid w:val="00920ACB"/>
    <w:rsid w:val="00920B01"/>
    <w:rsid w:val="00920B05"/>
    <w:rsid w:val="00920BD3"/>
    <w:rsid w:val="00920BFA"/>
    <w:rsid w:val="00920C72"/>
    <w:rsid w:val="00920D3C"/>
    <w:rsid w:val="00920D89"/>
    <w:rsid w:val="00920F70"/>
    <w:rsid w:val="00920FCD"/>
    <w:rsid w:val="00920FE3"/>
    <w:rsid w:val="00921031"/>
    <w:rsid w:val="0092116A"/>
    <w:rsid w:val="00921388"/>
    <w:rsid w:val="009213E4"/>
    <w:rsid w:val="00921420"/>
    <w:rsid w:val="00921430"/>
    <w:rsid w:val="009214CA"/>
    <w:rsid w:val="0092163D"/>
    <w:rsid w:val="0092169A"/>
    <w:rsid w:val="009216C3"/>
    <w:rsid w:val="009217A8"/>
    <w:rsid w:val="009217F8"/>
    <w:rsid w:val="009218E4"/>
    <w:rsid w:val="0092192D"/>
    <w:rsid w:val="00921A70"/>
    <w:rsid w:val="00921BCB"/>
    <w:rsid w:val="00921C37"/>
    <w:rsid w:val="00921CDD"/>
    <w:rsid w:val="00921DF7"/>
    <w:rsid w:val="00921E21"/>
    <w:rsid w:val="00921E28"/>
    <w:rsid w:val="00921E36"/>
    <w:rsid w:val="00921E79"/>
    <w:rsid w:val="009221AC"/>
    <w:rsid w:val="009221CF"/>
    <w:rsid w:val="00922228"/>
    <w:rsid w:val="009222ED"/>
    <w:rsid w:val="009222FF"/>
    <w:rsid w:val="00922378"/>
    <w:rsid w:val="0092238F"/>
    <w:rsid w:val="009223E5"/>
    <w:rsid w:val="00922461"/>
    <w:rsid w:val="0092250F"/>
    <w:rsid w:val="00922610"/>
    <w:rsid w:val="00922749"/>
    <w:rsid w:val="009227B8"/>
    <w:rsid w:val="009228D6"/>
    <w:rsid w:val="009228EB"/>
    <w:rsid w:val="00922A56"/>
    <w:rsid w:val="00922B8D"/>
    <w:rsid w:val="00922B99"/>
    <w:rsid w:val="00922C93"/>
    <w:rsid w:val="00922D17"/>
    <w:rsid w:val="00922D50"/>
    <w:rsid w:val="00922D5C"/>
    <w:rsid w:val="00922DA0"/>
    <w:rsid w:val="00922FE4"/>
    <w:rsid w:val="009230A4"/>
    <w:rsid w:val="009230DF"/>
    <w:rsid w:val="009231D1"/>
    <w:rsid w:val="009232A2"/>
    <w:rsid w:val="009232E5"/>
    <w:rsid w:val="00923356"/>
    <w:rsid w:val="00923383"/>
    <w:rsid w:val="0092343F"/>
    <w:rsid w:val="009234F4"/>
    <w:rsid w:val="009234FB"/>
    <w:rsid w:val="009235A2"/>
    <w:rsid w:val="00923639"/>
    <w:rsid w:val="00923755"/>
    <w:rsid w:val="009237A2"/>
    <w:rsid w:val="009237AD"/>
    <w:rsid w:val="009237BB"/>
    <w:rsid w:val="00923998"/>
    <w:rsid w:val="00923A45"/>
    <w:rsid w:val="00923A91"/>
    <w:rsid w:val="00923CB3"/>
    <w:rsid w:val="00923CCE"/>
    <w:rsid w:val="00923DBC"/>
    <w:rsid w:val="00923E3E"/>
    <w:rsid w:val="00923E94"/>
    <w:rsid w:val="00923EA4"/>
    <w:rsid w:val="00923EE7"/>
    <w:rsid w:val="00923F20"/>
    <w:rsid w:val="00924029"/>
    <w:rsid w:val="00924189"/>
    <w:rsid w:val="0092419A"/>
    <w:rsid w:val="009241E8"/>
    <w:rsid w:val="0092423C"/>
    <w:rsid w:val="00924273"/>
    <w:rsid w:val="00924294"/>
    <w:rsid w:val="00924388"/>
    <w:rsid w:val="00924390"/>
    <w:rsid w:val="00924425"/>
    <w:rsid w:val="0092443B"/>
    <w:rsid w:val="00924464"/>
    <w:rsid w:val="00924474"/>
    <w:rsid w:val="009244EC"/>
    <w:rsid w:val="009245DB"/>
    <w:rsid w:val="00924607"/>
    <w:rsid w:val="009246A5"/>
    <w:rsid w:val="009246C0"/>
    <w:rsid w:val="0092470D"/>
    <w:rsid w:val="0092470E"/>
    <w:rsid w:val="0092475C"/>
    <w:rsid w:val="0092475E"/>
    <w:rsid w:val="00924766"/>
    <w:rsid w:val="0092480B"/>
    <w:rsid w:val="0092485A"/>
    <w:rsid w:val="009248B1"/>
    <w:rsid w:val="009248BF"/>
    <w:rsid w:val="009248FD"/>
    <w:rsid w:val="009249DE"/>
    <w:rsid w:val="00924A9E"/>
    <w:rsid w:val="00924B31"/>
    <w:rsid w:val="00924D0B"/>
    <w:rsid w:val="00924F32"/>
    <w:rsid w:val="00924F33"/>
    <w:rsid w:val="00924F61"/>
    <w:rsid w:val="00924F7D"/>
    <w:rsid w:val="00924FAB"/>
    <w:rsid w:val="00924FB4"/>
    <w:rsid w:val="00924FCD"/>
    <w:rsid w:val="0092502A"/>
    <w:rsid w:val="0092515F"/>
    <w:rsid w:val="00925187"/>
    <w:rsid w:val="0092518F"/>
    <w:rsid w:val="009251F1"/>
    <w:rsid w:val="00925321"/>
    <w:rsid w:val="00925347"/>
    <w:rsid w:val="0092558D"/>
    <w:rsid w:val="00925652"/>
    <w:rsid w:val="00925655"/>
    <w:rsid w:val="0092565C"/>
    <w:rsid w:val="00925663"/>
    <w:rsid w:val="00925697"/>
    <w:rsid w:val="009257D6"/>
    <w:rsid w:val="00925803"/>
    <w:rsid w:val="00925A1F"/>
    <w:rsid w:val="00925A86"/>
    <w:rsid w:val="00925B38"/>
    <w:rsid w:val="00925BDB"/>
    <w:rsid w:val="00925BF1"/>
    <w:rsid w:val="00925C2F"/>
    <w:rsid w:val="00925CB0"/>
    <w:rsid w:val="00925DA5"/>
    <w:rsid w:val="00925DB7"/>
    <w:rsid w:val="00925DD5"/>
    <w:rsid w:val="00925DF4"/>
    <w:rsid w:val="00925E4F"/>
    <w:rsid w:val="00925E82"/>
    <w:rsid w:val="00925EA4"/>
    <w:rsid w:val="00925EDB"/>
    <w:rsid w:val="00925F49"/>
    <w:rsid w:val="00925F96"/>
    <w:rsid w:val="00926003"/>
    <w:rsid w:val="00926048"/>
    <w:rsid w:val="009260B1"/>
    <w:rsid w:val="0092612B"/>
    <w:rsid w:val="0092614C"/>
    <w:rsid w:val="00926163"/>
    <w:rsid w:val="00926164"/>
    <w:rsid w:val="009261F5"/>
    <w:rsid w:val="0092626D"/>
    <w:rsid w:val="0092628A"/>
    <w:rsid w:val="00926297"/>
    <w:rsid w:val="009262F3"/>
    <w:rsid w:val="00926377"/>
    <w:rsid w:val="0092641F"/>
    <w:rsid w:val="00926477"/>
    <w:rsid w:val="0092659E"/>
    <w:rsid w:val="009265EE"/>
    <w:rsid w:val="009265EF"/>
    <w:rsid w:val="00926640"/>
    <w:rsid w:val="00926723"/>
    <w:rsid w:val="009267D3"/>
    <w:rsid w:val="009267F5"/>
    <w:rsid w:val="00926807"/>
    <w:rsid w:val="009268CB"/>
    <w:rsid w:val="00926AE8"/>
    <w:rsid w:val="00926B55"/>
    <w:rsid w:val="00926BF6"/>
    <w:rsid w:val="00926D4B"/>
    <w:rsid w:val="00926E93"/>
    <w:rsid w:val="00926FDD"/>
    <w:rsid w:val="0092709C"/>
    <w:rsid w:val="0092710D"/>
    <w:rsid w:val="0092717F"/>
    <w:rsid w:val="00927208"/>
    <w:rsid w:val="00927242"/>
    <w:rsid w:val="00927267"/>
    <w:rsid w:val="00927493"/>
    <w:rsid w:val="009275F8"/>
    <w:rsid w:val="009276BE"/>
    <w:rsid w:val="00927734"/>
    <w:rsid w:val="00927744"/>
    <w:rsid w:val="00927875"/>
    <w:rsid w:val="009278C3"/>
    <w:rsid w:val="00927977"/>
    <w:rsid w:val="009279F2"/>
    <w:rsid w:val="00927A75"/>
    <w:rsid w:val="00927ABF"/>
    <w:rsid w:val="00927B05"/>
    <w:rsid w:val="00927BA3"/>
    <w:rsid w:val="00927C72"/>
    <w:rsid w:val="00927CD2"/>
    <w:rsid w:val="00927DCA"/>
    <w:rsid w:val="00927E98"/>
    <w:rsid w:val="00927F73"/>
    <w:rsid w:val="0093008E"/>
    <w:rsid w:val="009300B3"/>
    <w:rsid w:val="00930338"/>
    <w:rsid w:val="009303EB"/>
    <w:rsid w:val="009304E0"/>
    <w:rsid w:val="009305A7"/>
    <w:rsid w:val="00930640"/>
    <w:rsid w:val="0093065B"/>
    <w:rsid w:val="009306DC"/>
    <w:rsid w:val="009306E3"/>
    <w:rsid w:val="00930743"/>
    <w:rsid w:val="009307CE"/>
    <w:rsid w:val="0093086B"/>
    <w:rsid w:val="00930AC9"/>
    <w:rsid w:val="00930AF8"/>
    <w:rsid w:val="00930B15"/>
    <w:rsid w:val="00930B6A"/>
    <w:rsid w:val="00930B75"/>
    <w:rsid w:val="00930B8A"/>
    <w:rsid w:val="00930C4A"/>
    <w:rsid w:val="00930C54"/>
    <w:rsid w:val="00930CB1"/>
    <w:rsid w:val="00930E5E"/>
    <w:rsid w:val="00930EDA"/>
    <w:rsid w:val="00930EFC"/>
    <w:rsid w:val="00930F4E"/>
    <w:rsid w:val="00931030"/>
    <w:rsid w:val="009310DA"/>
    <w:rsid w:val="00931155"/>
    <w:rsid w:val="009311E3"/>
    <w:rsid w:val="0093122C"/>
    <w:rsid w:val="00931286"/>
    <w:rsid w:val="009312B5"/>
    <w:rsid w:val="009312F1"/>
    <w:rsid w:val="00931311"/>
    <w:rsid w:val="00931352"/>
    <w:rsid w:val="00931474"/>
    <w:rsid w:val="00931477"/>
    <w:rsid w:val="009314BD"/>
    <w:rsid w:val="009314C5"/>
    <w:rsid w:val="009315D7"/>
    <w:rsid w:val="009315DE"/>
    <w:rsid w:val="0093178C"/>
    <w:rsid w:val="00931828"/>
    <w:rsid w:val="00931846"/>
    <w:rsid w:val="0093186E"/>
    <w:rsid w:val="0093189B"/>
    <w:rsid w:val="0093192E"/>
    <w:rsid w:val="009319BB"/>
    <w:rsid w:val="009319FA"/>
    <w:rsid w:val="00931A2A"/>
    <w:rsid w:val="00931A4C"/>
    <w:rsid w:val="00931C2B"/>
    <w:rsid w:val="00931C4B"/>
    <w:rsid w:val="00931C8F"/>
    <w:rsid w:val="00931D42"/>
    <w:rsid w:val="00931DEE"/>
    <w:rsid w:val="00931E3A"/>
    <w:rsid w:val="00931E3E"/>
    <w:rsid w:val="00931E50"/>
    <w:rsid w:val="00931E86"/>
    <w:rsid w:val="00931EE0"/>
    <w:rsid w:val="00931F33"/>
    <w:rsid w:val="00931F47"/>
    <w:rsid w:val="00931F5A"/>
    <w:rsid w:val="009321E4"/>
    <w:rsid w:val="009321FA"/>
    <w:rsid w:val="00932377"/>
    <w:rsid w:val="009323B4"/>
    <w:rsid w:val="00932450"/>
    <w:rsid w:val="009324B1"/>
    <w:rsid w:val="009324EF"/>
    <w:rsid w:val="00932516"/>
    <w:rsid w:val="0093255A"/>
    <w:rsid w:val="009325B8"/>
    <w:rsid w:val="009325D0"/>
    <w:rsid w:val="00932650"/>
    <w:rsid w:val="00932740"/>
    <w:rsid w:val="00932761"/>
    <w:rsid w:val="0093279E"/>
    <w:rsid w:val="0093286C"/>
    <w:rsid w:val="00932A0E"/>
    <w:rsid w:val="00932A58"/>
    <w:rsid w:val="00932A8A"/>
    <w:rsid w:val="00932A8B"/>
    <w:rsid w:val="00932A92"/>
    <w:rsid w:val="00932B7F"/>
    <w:rsid w:val="00932C31"/>
    <w:rsid w:val="00932C60"/>
    <w:rsid w:val="00932CE9"/>
    <w:rsid w:val="00932D6B"/>
    <w:rsid w:val="00932D8E"/>
    <w:rsid w:val="00932DA0"/>
    <w:rsid w:val="00932E4C"/>
    <w:rsid w:val="00932EE5"/>
    <w:rsid w:val="00932EFA"/>
    <w:rsid w:val="00932F16"/>
    <w:rsid w:val="00932F5F"/>
    <w:rsid w:val="00933017"/>
    <w:rsid w:val="009330EE"/>
    <w:rsid w:val="009331A0"/>
    <w:rsid w:val="00933221"/>
    <w:rsid w:val="0093339C"/>
    <w:rsid w:val="00933429"/>
    <w:rsid w:val="00933430"/>
    <w:rsid w:val="00933589"/>
    <w:rsid w:val="0093358C"/>
    <w:rsid w:val="009335FF"/>
    <w:rsid w:val="00933943"/>
    <w:rsid w:val="00933A4A"/>
    <w:rsid w:val="00933A59"/>
    <w:rsid w:val="00933A94"/>
    <w:rsid w:val="00933A9A"/>
    <w:rsid w:val="00933AE1"/>
    <w:rsid w:val="00933B11"/>
    <w:rsid w:val="00933B15"/>
    <w:rsid w:val="00933DCE"/>
    <w:rsid w:val="00933ECB"/>
    <w:rsid w:val="00933FB7"/>
    <w:rsid w:val="00933FE6"/>
    <w:rsid w:val="009340AA"/>
    <w:rsid w:val="009340AD"/>
    <w:rsid w:val="009340BF"/>
    <w:rsid w:val="00934117"/>
    <w:rsid w:val="00934178"/>
    <w:rsid w:val="009342BC"/>
    <w:rsid w:val="009343BD"/>
    <w:rsid w:val="009343DF"/>
    <w:rsid w:val="00934403"/>
    <w:rsid w:val="00934431"/>
    <w:rsid w:val="00934486"/>
    <w:rsid w:val="00934521"/>
    <w:rsid w:val="00934698"/>
    <w:rsid w:val="0093469B"/>
    <w:rsid w:val="0093477D"/>
    <w:rsid w:val="009347FD"/>
    <w:rsid w:val="009347FF"/>
    <w:rsid w:val="00934857"/>
    <w:rsid w:val="009348D0"/>
    <w:rsid w:val="00934967"/>
    <w:rsid w:val="0093497F"/>
    <w:rsid w:val="00934A12"/>
    <w:rsid w:val="00934A39"/>
    <w:rsid w:val="00934A92"/>
    <w:rsid w:val="00934AAC"/>
    <w:rsid w:val="00934AE8"/>
    <w:rsid w:val="00934B41"/>
    <w:rsid w:val="00934B8C"/>
    <w:rsid w:val="00934BD7"/>
    <w:rsid w:val="00934BDD"/>
    <w:rsid w:val="00934C58"/>
    <w:rsid w:val="00934C7B"/>
    <w:rsid w:val="00934C83"/>
    <w:rsid w:val="00934D48"/>
    <w:rsid w:val="00934E27"/>
    <w:rsid w:val="00934F1E"/>
    <w:rsid w:val="00935011"/>
    <w:rsid w:val="0093507E"/>
    <w:rsid w:val="009350B7"/>
    <w:rsid w:val="00935104"/>
    <w:rsid w:val="0093518D"/>
    <w:rsid w:val="00935200"/>
    <w:rsid w:val="009352C1"/>
    <w:rsid w:val="00935312"/>
    <w:rsid w:val="00935693"/>
    <w:rsid w:val="00935723"/>
    <w:rsid w:val="00935750"/>
    <w:rsid w:val="009357CA"/>
    <w:rsid w:val="009357E1"/>
    <w:rsid w:val="0093588D"/>
    <w:rsid w:val="00935896"/>
    <w:rsid w:val="00935952"/>
    <w:rsid w:val="009359A4"/>
    <w:rsid w:val="00935A16"/>
    <w:rsid w:val="00935B3C"/>
    <w:rsid w:val="00935B91"/>
    <w:rsid w:val="00935B9F"/>
    <w:rsid w:val="00935C9B"/>
    <w:rsid w:val="00935DBF"/>
    <w:rsid w:val="00935E2A"/>
    <w:rsid w:val="00935EFE"/>
    <w:rsid w:val="00935F00"/>
    <w:rsid w:val="00935FD7"/>
    <w:rsid w:val="00935FD9"/>
    <w:rsid w:val="00936062"/>
    <w:rsid w:val="009360A2"/>
    <w:rsid w:val="009360A8"/>
    <w:rsid w:val="009360A9"/>
    <w:rsid w:val="009361DF"/>
    <w:rsid w:val="0093621F"/>
    <w:rsid w:val="0093626B"/>
    <w:rsid w:val="009362F9"/>
    <w:rsid w:val="009363F6"/>
    <w:rsid w:val="00936470"/>
    <w:rsid w:val="0093649C"/>
    <w:rsid w:val="0093649D"/>
    <w:rsid w:val="009364FE"/>
    <w:rsid w:val="009365A4"/>
    <w:rsid w:val="009365D5"/>
    <w:rsid w:val="009365EC"/>
    <w:rsid w:val="0093666C"/>
    <w:rsid w:val="009368B0"/>
    <w:rsid w:val="009369D5"/>
    <w:rsid w:val="00936B71"/>
    <w:rsid w:val="00936C25"/>
    <w:rsid w:val="00936CCC"/>
    <w:rsid w:val="00936D3B"/>
    <w:rsid w:val="00936E03"/>
    <w:rsid w:val="00936EF5"/>
    <w:rsid w:val="00936F18"/>
    <w:rsid w:val="00936F1D"/>
    <w:rsid w:val="0093708D"/>
    <w:rsid w:val="0093726B"/>
    <w:rsid w:val="009374B6"/>
    <w:rsid w:val="009374BA"/>
    <w:rsid w:val="00937503"/>
    <w:rsid w:val="009378AA"/>
    <w:rsid w:val="00937AAC"/>
    <w:rsid w:val="00937AC4"/>
    <w:rsid w:val="00937CB9"/>
    <w:rsid w:val="00937CBE"/>
    <w:rsid w:val="00937CD4"/>
    <w:rsid w:val="00937D51"/>
    <w:rsid w:val="00937E59"/>
    <w:rsid w:val="00937FAA"/>
    <w:rsid w:val="009400D7"/>
    <w:rsid w:val="009402BE"/>
    <w:rsid w:val="00940423"/>
    <w:rsid w:val="0094067E"/>
    <w:rsid w:val="009406CF"/>
    <w:rsid w:val="00940762"/>
    <w:rsid w:val="009407CA"/>
    <w:rsid w:val="00940805"/>
    <w:rsid w:val="0094081D"/>
    <w:rsid w:val="00940830"/>
    <w:rsid w:val="009408B8"/>
    <w:rsid w:val="00940ABE"/>
    <w:rsid w:val="00940AED"/>
    <w:rsid w:val="00940AF4"/>
    <w:rsid w:val="00940AF9"/>
    <w:rsid w:val="00940B2D"/>
    <w:rsid w:val="00940B67"/>
    <w:rsid w:val="00940C01"/>
    <w:rsid w:val="00940C71"/>
    <w:rsid w:val="00940D72"/>
    <w:rsid w:val="00940DE1"/>
    <w:rsid w:val="00940E8F"/>
    <w:rsid w:val="00940F1A"/>
    <w:rsid w:val="00940F79"/>
    <w:rsid w:val="00941029"/>
    <w:rsid w:val="0094119A"/>
    <w:rsid w:val="00941203"/>
    <w:rsid w:val="009412B0"/>
    <w:rsid w:val="009412D4"/>
    <w:rsid w:val="00941312"/>
    <w:rsid w:val="00941353"/>
    <w:rsid w:val="00941408"/>
    <w:rsid w:val="009414F3"/>
    <w:rsid w:val="00941656"/>
    <w:rsid w:val="009417C6"/>
    <w:rsid w:val="00941839"/>
    <w:rsid w:val="00941A29"/>
    <w:rsid w:val="00941A52"/>
    <w:rsid w:val="00941A7F"/>
    <w:rsid w:val="00941B02"/>
    <w:rsid w:val="00941B27"/>
    <w:rsid w:val="00941BBB"/>
    <w:rsid w:val="00941BE7"/>
    <w:rsid w:val="00941C94"/>
    <w:rsid w:val="00941E40"/>
    <w:rsid w:val="00941ECB"/>
    <w:rsid w:val="00941ECE"/>
    <w:rsid w:val="00941F10"/>
    <w:rsid w:val="009420B0"/>
    <w:rsid w:val="0094218E"/>
    <w:rsid w:val="009421D9"/>
    <w:rsid w:val="0094237E"/>
    <w:rsid w:val="00942678"/>
    <w:rsid w:val="0094268A"/>
    <w:rsid w:val="0094277C"/>
    <w:rsid w:val="0094279F"/>
    <w:rsid w:val="0094281C"/>
    <w:rsid w:val="00942852"/>
    <w:rsid w:val="00942A62"/>
    <w:rsid w:val="00942B55"/>
    <w:rsid w:val="00942BA8"/>
    <w:rsid w:val="00942C61"/>
    <w:rsid w:val="00942C63"/>
    <w:rsid w:val="00942D71"/>
    <w:rsid w:val="00942E32"/>
    <w:rsid w:val="00942E43"/>
    <w:rsid w:val="00942E47"/>
    <w:rsid w:val="00942F06"/>
    <w:rsid w:val="00942F13"/>
    <w:rsid w:val="00942FD2"/>
    <w:rsid w:val="00943022"/>
    <w:rsid w:val="009430E0"/>
    <w:rsid w:val="009431F1"/>
    <w:rsid w:val="00943355"/>
    <w:rsid w:val="0094338E"/>
    <w:rsid w:val="0094339A"/>
    <w:rsid w:val="009433B9"/>
    <w:rsid w:val="00943499"/>
    <w:rsid w:val="009434F0"/>
    <w:rsid w:val="0094354D"/>
    <w:rsid w:val="0094355A"/>
    <w:rsid w:val="009436D2"/>
    <w:rsid w:val="00943739"/>
    <w:rsid w:val="0094378E"/>
    <w:rsid w:val="0094386D"/>
    <w:rsid w:val="009439C0"/>
    <w:rsid w:val="009439D9"/>
    <w:rsid w:val="009439EA"/>
    <w:rsid w:val="00943ABF"/>
    <w:rsid w:val="00943C6B"/>
    <w:rsid w:val="00943C83"/>
    <w:rsid w:val="00943D63"/>
    <w:rsid w:val="00943D80"/>
    <w:rsid w:val="00943DAF"/>
    <w:rsid w:val="00943E9E"/>
    <w:rsid w:val="00943F40"/>
    <w:rsid w:val="00943FAE"/>
    <w:rsid w:val="00943FD0"/>
    <w:rsid w:val="00944087"/>
    <w:rsid w:val="00944244"/>
    <w:rsid w:val="009442CD"/>
    <w:rsid w:val="009442D4"/>
    <w:rsid w:val="00944367"/>
    <w:rsid w:val="009443A1"/>
    <w:rsid w:val="009444BB"/>
    <w:rsid w:val="0094456F"/>
    <w:rsid w:val="009445D2"/>
    <w:rsid w:val="00944683"/>
    <w:rsid w:val="009446BE"/>
    <w:rsid w:val="0094472E"/>
    <w:rsid w:val="00944790"/>
    <w:rsid w:val="009449E5"/>
    <w:rsid w:val="00944BD3"/>
    <w:rsid w:val="00944BDC"/>
    <w:rsid w:val="00944C45"/>
    <w:rsid w:val="00944CAB"/>
    <w:rsid w:val="00944CB8"/>
    <w:rsid w:val="00944E5C"/>
    <w:rsid w:val="00944E5F"/>
    <w:rsid w:val="00944E60"/>
    <w:rsid w:val="00944E74"/>
    <w:rsid w:val="00944ECA"/>
    <w:rsid w:val="00944F01"/>
    <w:rsid w:val="00944FD8"/>
    <w:rsid w:val="0094503C"/>
    <w:rsid w:val="0094504A"/>
    <w:rsid w:val="00945172"/>
    <w:rsid w:val="00945181"/>
    <w:rsid w:val="009451E1"/>
    <w:rsid w:val="0094522E"/>
    <w:rsid w:val="00945432"/>
    <w:rsid w:val="009454D9"/>
    <w:rsid w:val="009454E1"/>
    <w:rsid w:val="00945502"/>
    <w:rsid w:val="00945511"/>
    <w:rsid w:val="0094551E"/>
    <w:rsid w:val="009455F4"/>
    <w:rsid w:val="00945667"/>
    <w:rsid w:val="009456C1"/>
    <w:rsid w:val="0094575B"/>
    <w:rsid w:val="009457D0"/>
    <w:rsid w:val="009457D6"/>
    <w:rsid w:val="00945852"/>
    <w:rsid w:val="00945883"/>
    <w:rsid w:val="00945957"/>
    <w:rsid w:val="00945A86"/>
    <w:rsid w:val="00945AE6"/>
    <w:rsid w:val="00945CC3"/>
    <w:rsid w:val="00945D01"/>
    <w:rsid w:val="00945D6D"/>
    <w:rsid w:val="00945FA5"/>
    <w:rsid w:val="00946014"/>
    <w:rsid w:val="009460F8"/>
    <w:rsid w:val="00946238"/>
    <w:rsid w:val="009462DF"/>
    <w:rsid w:val="009463CD"/>
    <w:rsid w:val="00946450"/>
    <w:rsid w:val="00946535"/>
    <w:rsid w:val="00946591"/>
    <w:rsid w:val="009465E1"/>
    <w:rsid w:val="00946615"/>
    <w:rsid w:val="00946881"/>
    <w:rsid w:val="00946883"/>
    <w:rsid w:val="00946904"/>
    <w:rsid w:val="0094691E"/>
    <w:rsid w:val="00946969"/>
    <w:rsid w:val="00946975"/>
    <w:rsid w:val="009469B1"/>
    <w:rsid w:val="00946A29"/>
    <w:rsid w:val="00946AA5"/>
    <w:rsid w:val="00946BD5"/>
    <w:rsid w:val="00946D68"/>
    <w:rsid w:val="00946F58"/>
    <w:rsid w:val="0094707F"/>
    <w:rsid w:val="009470C9"/>
    <w:rsid w:val="00947166"/>
    <w:rsid w:val="009471BB"/>
    <w:rsid w:val="00947259"/>
    <w:rsid w:val="00947375"/>
    <w:rsid w:val="009473B7"/>
    <w:rsid w:val="009474AE"/>
    <w:rsid w:val="0094767C"/>
    <w:rsid w:val="009476A1"/>
    <w:rsid w:val="009477AB"/>
    <w:rsid w:val="009478F1"/>
    <w:rsid w:val="009478F9"/>
    <w:rsid w:val="009479C0"/>
    <w:rsid w:val="00947ABC"/>
    <w:rsid w:val="00947AE9"/>
    <w:rsid w:val="00947B58"/>
    <w:rsid w:val="00947C56"/>
    <w:rsid w:val="00947C6E"/>
    <w:rsid w:val="00947DAB"/>
    <w:rsid w:val="00947F7D"/>
    <w:rsid w:val="00947FCD"/>
    <w:rsid w:val="0095000E"/>
    <w:rsid w:val="0095012E"/>
    <w:rsid w:val="00950167"/>
    <w:rsid w:val="00950362"/>
    <w:rsid w:val="009503B0"/>
    <w:rsid w:val="00950521"/>
    <w:rsid w:val="0095060C"/>
    <w:rsid w:val="00950716"/>
    <w:rsid w:val="00950746"/>
    <w:rsid w:val="0095081C"/>
    <w:rsid w:val="009509AF"/>
    <w:rsid w:val="00950B12"/>
    <w:rsid w:val="00950C2C"/>
    <w:rsid w:val="00950C3C"/>
    <w:rsid w:val="00950C5D"/>
    <w:rsid w:val="00950CEA"/>
    <w:rsid w:val="00951012"/>
    <w:rsid w:val="009510D8"/>
    <w:rsid w:val="0095113A"/>
    <w:rsid w:val="009511CA"/>
    <w:rsid w:val="00951205"/>
    <w:rsid w:val="00951220"/>
    <w:rsid w:val="00951328"/>
    <w:rsid w:val="009513A7"/>
    <w:rsid w:val="009513D3"/>
    <w:rsid w:val="009514C0"/>
    <w:rsid w:val="00951631"/>
    <w:rsid w:val="00951668"/>
    <w:rsid w:val="0095169F"/>
    <w:rsid w:val="009518A9"/>
    <w:rsid w:val="00951934"/>
    <w:rsid w:val="00951970"/>
    <w:rsid w:val="00951A89"/>
    <w:rsid w:val="00951A90"/>
    <w:rsid w:val="00951B80"/>
    <w:rsid w:val="00951BB8"/>
    <w:rsid w:val="00951BEA"/>
    <w:rsid w:val="00951C13"/>
    <w:rsid w:val="00951C39"/>
    <w:rsid w:val="00951D41"/>
    <w:rsid w:val="00951D76"/>
    <w:rsid w:val="00951D82"/>
    <w:rsid w:val="00951E18"/>
    <w:rsid w:val="00951EA2"/>
    <w:rsid w:val="00951EDA"/>
    <w:rsid w:val="00951F35"/>
    <w:rsid w:val="00951F68"/>
    <w:rsid w:val="0095207B"/>
    <w:rsid w:val="00952296"/>
    <w:rsid w:val="00952366"/>
    <w:rsid w:val="00952436"/>
    <w:rsid w:val="00952457"/>
    <w:rsid w:val="009524A4"/>
    <w:rsid w:val="00952564"/>
    <w:rsid w:val="0095259B"/>
    <w:rsid w:val="0095260A"/>
    <w:rsid w:val="009526AF"/>
    <w:rsid w:val="00952741"/>
    <w:rsid w:val="009527F7"/>
    <w:rsid w:val="00952802"/>
    <w:rsid w:val="0095286B"/>
    <w:rsid w:val="00952960"/>
    <w:rsid w:val="009529A3"/>
    <w:rsid w:val="009529AD"/>
    <w:rsid w:val="009529F5"/>
    <w:rsid w:val="00952CE5"/>
    <w:rsid w:val="00952D46"/>
    <w:rsid w:val="00952DCB"/>
    <w:rsid w:val="00952E24"/>
    <w:rsid w:val="00952E79"/>
    <w:rsid w:val="00953022"/>
    <w:rsid w:val="0095307C"/>
    <w:rsid w:val="0095311F"/>
    <w:rsid w:val="00953282"/>
    <w:rsid w:val="0095328C"/>
    <w:rsid w:val="0095334E"/>
    <w:rsid w:val="00953419"/>
    <w:rsid w:val="00953471"/>
    <w:rsid w:val="009536E0"/>
    <w:rsid w:val="009536F9"/>
    <w:rsid w:val="0095386F"/>
    <w:rsid w:val="00953883"/>
    <w:rsid w:val="009538E7"/>
    <w:rsid w:val="00953A3F"/>
    <w:rsid w:val="00953AA7"/>
    <w:rsid w:val="00953B1E"/>
    <w:rsid w:val="00953BF5"/>
    <w:rsid w:val="00953CFF"/>
    <w:rsid w:val="00953D04"/>
    <w:rsid w:val="00953D61"/>
    <w:rsid w:val="00953DB6"/>
    <w:rsid w:val="00953EBB"/>
    <w:rsid w:val="00953F07"/>
    <w:rsid w:val="00954118"/>
    <w:rsid w:val="00954133"/>
    <w:rsid w:val="0095430E"/>
    <w:rsid w:val="0095439F"/>
    <w:rsid w:val="0095442C"/>
    <w:rsid w:val="009545E1"/>
    <w:rsid w:val="00954602"/>
    <w:rsid w:val="00954658"/>
    <w:rsid w:val="0095466E"/>
    <w:rsid w:val="009546A5"/>
    <w:rsid w:val="00954862"/>
    <w:rsid w:val="0095489F"/>
    <w:rsid w:val="009548C4"/>
    <w:rsid w:val="009549F5"/>
    <w:rsid w:val="00954A06"/>
    <w:rsid w:val="00954B73"/>
    <w:rsid w:val="00954B9B"/>
    <w:rsid w:val="00954BA7"/>
    <w:rsid w:val="00954BC6"/>
    <w:rsid w:val="00954C33"/>
    <w:rsid w:val="00954C8C"/>
    <w:rsid w:val="00954CB2"/>
    <w:rsid w:val="00954F21"/>
    <w:rsid w:val="00954FA3"/>
    <w:rsid w:val="0095500B"/>
    <w:rsid w:val="00955037"/>
    <w:rsid w:val="009550E9"/>
    <w:rsid w:val="00955164"/>
    <w:rsid w:val="0095517B"/>
    <w:rsid w:val="00955196"/>
    <w:rsid w:val="00955258"/>
    <w:rsid w:val="0095541D"/>
    <w:rsid w:val="009555CD"/>
    <w:rsid w:val="00955601"/>
    <w:rsid w:val="00955631"/>
    <w:rsid w:val="00955640"/>
    <w:rsid w:val="009556E3"/>
    <w:rsid w:val="0095584B"/>
    <w:rsid w:val="00955897"/>
    <w:rsid w:val="00955A35"/>
    <w:rsid w:val="00955BA0"/>
    <w:rsid w:val="00955C30"/>
    <w:rsid w:val="00955C99"/>
    <w:rsid w:val="00955D21"/>
    <w:rsid w:val="00955F93"/>
    <w:rsid w:val="0095606B"/>
    <w:rsid w:val="00956083"/>
    <w:rsid w:val="009560D7"/>
    <w:rsid w:val="009560E2"/>
    <w:rsid w:val="00956157"/>
    <w:rsid w:val="009561DD"/>
    <w:rsid w:val="0095627F"/>
    <w:rsid w:val="0095636B"/>
    <w:rsid w:val="009563C6"/>
    <w:rsid w:val="009564D3"/>
    <w:rsid w:val="009564E6"/>
    <w:rsid w:val="009564EC"/>
    <w:rsid w:val="0095669A"/>
    <w:rsid w:val="009566CF"/>
    <w:rsid w:val="0095674E"/>
    <w:rsid w:val="00956763"/>
    <w:rsid w:val="009567C8"/>
    <w:rsid w:val="009567D1"/>
    <w:rsid w:val="009567F6"/>
    <w:rsid w:val="00956801"/>
    <w:rsid w:val="00956811"/>
    <w:rsid w:val="0095689D"/>
    <w:rsid w:val="00956955"/>
    <w:rsid w:val="00956A07"/>
    <w:rsid w:val="00956A36"/>
    <w:rsid w:val="00956A3A"/>
    <w:rsid w:val="00956AB7"/>
    <w:rsid w:val="00956AB9"/>
    <w:rsid w:val="00956ACE"/>
    <w:rsid w:val="00956C46"/>
    <w:rsid w:val="00956EA8"/>
    <w:rsid w:val="00956ED3"/>
    <w:rsid w:val="00956EDE"/>
    <w:rsid w:val="00956FBD"/>
    <w:rsid w:val="0095709E"/>
    <w:rsid w:val="009570E9"/>
    <w:rsid w:val="009571D1"/>
    <w:rsid w:val="009572A0"/>
    <w:rsid w:val="00957615"/>
    <w:rsid w:val="009577A9"/>
    <w:rsid w:val="009577AF"/>
    <w:rsid w:val="00957887"/>
    <w:rsid w:val="0095789F"/>
    <w:rsid w:val="009578C8"/>
    <w:rsid w:val="009578EF"/>
    <w:rsid w:val="0095790C"/>
    <w:rsid w:val="00957964"/>
    <w:rsid w:val="009579A8"/>
    <w:rsid w:val="00957A3E"/>
    <w:rsid w:val="00957A4C"/>
    <w:rsid w:val="00957BCB"/>
    <w:rsid w:val="00957BD2"/>
    <w:rsid w:val="00957BE2"/>
    <w:rsid w:val="00957BFA"/>
    <w:rsid w:val="00957C3D"/>
    <w:rsid w:val="00957C51"/>
    <w:rsid w:val="00957C54"/>
    <w:rsid w:val="00957D24"/>
    <w:rsid w:val="00957EE6"/>
    <w:rsid w:val="00957EF5"/>
    <w:rsid w:val="00957EFD"/>
    <w:rsid w:val="00957F02"/>
    <w:rsid w:val="00957F24"/>
    <w:rsid w:val="00960070"/>
    <w:rsid w:val="00960089"/>
    <w:rsid w:val="00960175"/>
    <w:rsid w:val="009601EE"/>
    <w:rsid w:val="009601F9"/>
    <w:rsid w:val="009603C4"/>
    <w:rsid w:val="009603E1"/>
    <w:rsid w:val="0096043F"/>
    <w:rsid w:val="009604AD"/>
    <w:rsid w:val="009604DC"/>
    <w:rsid w:val="00960537"/>
    <w:rsid w:val="00960584"/>
    <w:rsid w:val="009605A2"/>
    <w:rsid w:val="009606DC"/>
    <w:rsid w:val="00960745"/>
    <w:rsid w:val="00960858"/>
    <w:rsid w:val="0096099C"/>
    <w:rsid w:val="009609BE"/>
    <w:rsid w:val="00960A24"/>
    <w:rsid w:val="00960A6E"/>
    <w:rsid w:val="00960AE0"/>
    <w:rsid w:val="00960CB2"/>
    <w:rsid w:val="00960CFE"/>
    <w:rsid w:val="00960D98"/>
    <w:rsid w:val="00960DCF"/>
    <w:rsid w:val="00960DF0"/>
    <w:rsid w:val="00960E8C"/>
    <w:rsid w:val="00960ECE"/>
    <w:rsid w:val="00960ED3"/>
    <w:rsid w:val="00960F2A"/>
    <w:rsid w:val="00960FED"/>
    <w:rsid w:val="00961170"/>
    <w:rsid w:val="009611B0"/>
    <w:rsid w:val="009611CF"/>
    <w:rsid w:val="00961229"/>
    <w:rsid w:val="009612C3"/>
    <w:rsid w:val="009612D6"/>
    <w:rsid w:val="00961473"/>
    <w:rsid w:val="009614A8"/>
    <w:rsid w:val="009614C5"/>
    <w:rsid w:val="009614CC"/>
    <w:rsid w:val="00961537"/>
    <w:rsid w:val="009615CB"/>
    <w:rsid w:val="00961653"/>
    <w:rsid w:val="009616AD"/>
    <w:rsid w:val="009617D9"/>
    <w:rsid w:val="00961931"/>
    <w:rsid w:val="00961AD2"/>
    <w:rsid w:val="00961AE5"/>
    <w:rsid w:val="00961B53"/>
    <w:rsid w:val="00961C1D"/>
    <w:rsid w:val="00961C34"/>
    <w:rsid w:val="00961C37"/>
    <w:rsid w:val="00961CC7"/>
    <w:rsid w:val="00961D3A"/>
    <w:rsid w:val="00961F35"/>
    <w:rsid w:val="00961FA9"/>
    <w:rsid w:val="0096201B"/>
    <w:rsid w:val="009620B4"/>
    <w:rsid w:val="00962134"/>
    <w:rsid w:val="00962255"/>
    <w:rsid w:val="009625F7"/>
    <w:rsid w:val="00962766"/>
    <w:rsid w:val="009627D7"/>
    <w:rsid w:val="00962866"/>
    <w:rsid w:val="009628BD"/>
    <w:rsid w:val="00962960"/>
    <w:rsid w:val="00962B19"/>
    <w:rsid w:val="00962DCF"/>
    <w:rsid w:val="00962EDF"/>
    <w:rsid w:val="00962F18"/>
    <w:rsid w:val="00962F37"/>
    <w:rsid w:val="00962F55"/>
    <w:rsid w:val="00962FAA"/>
    <w:rsid w:val="00962FB4"/>
    <w:rsid w:val="009630F4"/>
    <w:rsid w:val="0096317A"/>
    <w:rsid w:val="0096319D"/>
    <w:rsid w:val="0096322C"/>
    <w:rsid w:val="00963264"/>
    <w:rsid w:val="00963277"/>
    <w:rsid w:val="00963323"/>
    <w:rsid w:val="0096343F"/>
    <w:rsid w:val="00963635"/>
    <w:rsid w:val="009636D0"/>
    <w:rsid w:val="00963839"/>
    <w:rsid w:val="0096389D"/>
    <w:rsid w:val="00963A5A"/>
    <w:rsid w:val="00963A78"/>
    <w:rsid w:val="00963BD6"/>
    <w:rsid w:val="00963C0C"/>
    <w:rsid w:val="00963C17"/>
    <w:rsid w:val="00963C9E"/>
    <w:rsid w:val="00963CB2"/>
    <w:rsid w:val="00963E6E"/>
    <w:rsid w:val="00963F81"/>
    <w:rsid w:val="00964016"/>
    <w:rsid w:val="00964053"/>
    <w:rsid w:val="009640F4"/>
    <w:rsid w:val="0096417A"/>
    <w:rsid w:val="009643C0"/>
    <w:rsid w:val="00964868"/>
    <w:rsid w:val="00964BB8"/>
    <w:rsid w:val="00964BD0"/>
    <w:rsid w:val="00964C27"/>
    <w:rsid w:val="00964C29"/>
    <w:rsid w:val="00964D20"/>
    <w:rsid w:val="00964D38"/>
    <w:rsid w:val="00964E81"/>
    <w:rsid w:val="00964EB1"/>
    <w:rsid w:val="00965071"/>
    <w:rsid w:val="00965199"/>
    <w:rsid w:val="0096522F"/>
    <w:rsid w:val="0096525C"/>
    <w:rsid w:val="0096527E"/>
    <w:rsid w:val="009652A5"/>
    <w:rsid w:val="009652E0"/>
    <w:rsid w:val="00965390"/>
    <w:rsid w:val="00965503"/>
    <w:rsid w:val="009655FC"/>
    <w:rsid w:val="0096561B"/>
    <w:rsid w:val="0096562A"/>
    <w:rsid w:val="00965673"/>
    <w:rsid w:val="009656C0"/>
    <w:rsid w:val="009658BB"/>
    <w:rsid w:val="009659FF"/>
    <w:rsid w:val="00965D20"/>
    <w:rsid w:val="00965D38"/>
    <w:rsid w:val="00965D9D"/>
    <w:rsid w:val="00965DE4"/>
    <w:rsid w:val="00965F18"/>
    <w:rsid w:val="00965F33"/>
    <w:rsid w:val="00965F81"/>
    <w:rsid w:val="00965FF2"/>
    <w:rsid w:val="009660C2"/>
    <w:rsid w:val="00966160"/>
    <w:rsid w:val="0096629C"/>
    <w:rsid w:val="00966345"/>
    <w:rsid w:val="009664DC"/>
    <w:rsid w:val="00966559"/>
    <w:rsid w:val="0096655F"/>
    <w:rsid w:val="00966605"/>
    <w:rsid w:val="00966713"/>
    <w:rsid w:val="009667AD"/>
    <w:rsid w:val="0096682C"/>
    <w:rsid w:val="00966920"/>
    <w:rsid w:val="00966AF2"/>
    <w:rsid w:val="00966B19"/>
    <w:rsid w:val="00966B9E"/>
    <w:rsid w:val="00966C22"/>
    <w:rsid w:val="00966C25"/>
    <w:rsid w:val="00966D4C"/>
    <w:rsid w:val="00966E00"/>
    <w:rsid w:val="00966E10"/>
    <w:rsid w:val="00966E13"/>
    <w:rsid w:val="00966ECA"/>
    <w:rsid w:val="00966FF2"/>
    <w:rsid w:val="009670BA"/>
    <w:rsid w:val="009670DC"/>
    <w:rsid w:val="0096716C"/>
    <w:rsid w:val="009671F5"/>
    <w:rsid w:val="0096722D"/>
    <w:rsid w:val="0096727C"/>
    <w:rsid w:val="009672DA"/>
    <w:rsid w:val="009673A9"/>
    <w:rsid w:val="00967484"/>
    <w:rsid w:val="009674DA"/>
    <w:rsid w:val="0096752E"/>
    <w:rsid w:val="00967549"/>
    <w:rsid w:val="00967569"/>
    <w:rsid w:val="009675E5"/>
    <w:rsid w:val="0096764C"/>
    <w:rsid w:val="00967672"/>
    <w:rsid w:val="009676C0"/>
    <w:rsid w:val="0096780F"/>
    <w:rsid w:val="00967869"/>
    <w:rsid w:val="0096798B"/>
    <w:rsid w:val="00967B66"/>
    <w:rsid w:val="00967B77"/>
    <w:rsid w:val="00967E7A"/>
    <w:rsid w:val="00967EA7"/>
    <w:rsid w:val="00967F70"/>
    <w:rsid w:val="00967F85"/>
    <w:rsid w:val="00967FFA"/>
    <w:rsid w:val="00967FFD"/>
    <w:rsid w:val="009700FE"/>
    <w:rsid w:val="00970202"/>
    <w:rsid w:val="00970229"/>
    <w:rsid w:val="00970248"/>
    <w:rsid w:val="0097029F"/>
    <w:rsid w:val="009702AB"/>
    <w:rsid w:val="009702B2"/>
    <w:rsid w:val="00970397"/>
    <w:rsid w:val="009704FE"/>
    <w:rsid w:val="00970587"/>
    <w:rsid w:val="009705F5"/>
    <w:rsid w:val="00970608"/>
    <w:rsid w:val="0097069A"/>
    <w:rsid w:val="00970786"/>
    <w:rsid w:val="0097079B"/>
    <w:rsid w:val="009707DA"/>
    <w:rsid w:val="009707F7"/>
    <w:rsid w:val="00970841"/>
    <w:rsid w:val="00970867"/>
    <w:rsid w:val="00970946"/>
    <w:rsid w:val="009709BC"/>
    <w:rsid w:val="009709D2"/>
    <w:rsid w:val="00970C2B"/>
    <w:rsid w:val="00970C37"/>
    <w:rsid w:val="00970E7C"/>
    <w:rsid w:val="00970EED"/>
    <w:rsid w:val="00971014"/>
    <w:rsid w:val="00971047"/>
    <w:rsid w:val="0097119E"/>
    <w:rsid w:val="009712B4"/>
    <w:rsid w:val="00971451"/>
    <w:rsid w:val="009714B1"/>
    <w:rsid w:val="009714C4"/>
    <w:rsid w:val="00971586"/>
    <w:rsid w:val="009715B2"/>
    <w:rsid w:val="009715D1"/>
    <w:rsid w:val="009715D5"/>
    <w:rsid w:val="009715FF"/>
    <w:rsid w:val="009716E8"/>
    <w:rsid w:val="0097171B"/>
    <w:rsid w:val="0097175E"/>
    <w:rsid w:val="00971770"/>
    <w:rsid w:val="009717DA"/>
    <w:rsid w:val="009718BF"/>
    <w:rsid w:val="009718F1"/>
    <w:rsid w:val="00971A4E"/>
    <w:rsid w:val="00971A70"/>
    <w:rsid w:val="00971A75"/>
    <w:rsid w:val="00971AD6"/>
    <w:rsid w:val="00971AF1"/>
    <w:rsid w:val="00971B82"/>
    <w:rsid w:val="00971B8F"/>
    <w:rsid w:val="00971BFE"/>
    <w:rsid w:val="00971C6D"/>
    <w:rsid w:val="00971E42"/>
    <w:rsid w:val="00971EB5"/>
    <w:rsid w:val="00971EC3"/>
    <w:rsid w:val="00971EE5"/>
    <w:rsid w:val="00972064"/>
    <w:rsid w:val="00972068"/>
    <w:rsid w:val="00972141"/>
    <w:rsid w:val="0097220A"/>
    <w:rsid w:val="00972234"/>
    <w:rsid w:val="00972304"/>
    <w:rsid w:val="00972335"/>
    <w:rsid w:val="00972511"/>
    <w:rsid w:val="0097265D"/>
    <w:rsid w:val="00972715"/>
    <w:rsid w:val="00972717"/>
    <w:rsid w:val="0097277F"/>
    <w:rsid w:val="0097294C"/>
    <w:rsid w:val="00972AC8"/>
    <w:rsid w:val="00972B1E"/>
    <w:rsid w:val="00972B28"/>
    <w:rsid w:val="00972BAE"/>
    <w:rsid w:val="00972BC9"/>
    <w:rsid w:val="00972C49"/>
    <w:rsid w:val="00972E71"/>
    <w:rsid w:val="00972F22"/>
    <w:rsid w:val="00972FCC"/>
    <w:rsid w:val="0097302F"/>
    <w:rsid w:val="0097308D"/>
    <w:rsid w:val="009730B3"/>
    <w:rsid w:val="0097310A"/>
    <w:rsid w:val="00973114"/>
    <w:rsid w:val="0097312D"/>
    <w:rsid w:val="009731E0"/>
    <w:rsid w:val="009732DF"/>
    <w:rsid w:val="00973396"/>
    <w:rsid w:val="0097339B"/>
    <w:rsid w:val="00973442"/>
    <w:rsid w:val="00973499"/>
    <w:rsid w:val="00973526"/>
    <w:rsid w:val="00973554"/>
    <w:rsid w:val="009735EE"/>
    <w:rsid w:val="009736CC"/>
    <w:rsid w:val="009736DC"/>
    <w:rsid w:val="009737FB"/>
    <w:rsid w:val="00973836"/>
    <w:rsid w:val="00973882"/>
    <w:rsid w:val="0097392A"/>
    <w:rsid w:val="00973A25"/>
    <w:rsid w:val="00973A7B"/>
    <w:rsid w:val="00973AAD"/>
    <w:rsid w:val="00973B71"/>
    <w:rsid w:val="00973B7F"/>
    <w:rsid w:val="00973C5E"/>
    <w:rsid w:val="00973CDE"/>
    <w:rsid w:val="00973D0F"/>
    <w:rsid w:val="00973D7F"/>
    <w:rsid w:val="00973D96"/>
    <w:rsid w:val="00973EC3"/>
    <w:rsid w:val="00973ED6"/>
    <w:rsid w:val="0097402A"/>
    <w:rsid w:val="0097403A"/>
    <w:rsid w:val="009740F7"/>
    <w:rsid w:val="00974146"/>
    <w:rsid w:val="009741A0"/>
    <w:rsid w:val="009741A8"/>
    <w:rsid w:val="009741C5"/>
    <w:rsid w:val="009741E4"/>
    <w:rsid w:val="009741F9"/>
    <w:rsid w:val="0097422F"/>
    <w:rsid w:val="00974291"/>
    <w:rsid w:val="009742C0"/>
    <w:rsid w:val="009742C4"/>
    <w:rsid w:val="009742CF"/>
    <w:rsid w:val="009743D9"/>
    <w:rsid w:val="0097449D"/>
    <w:rsid w:val="0097452B"/>
    <w:rsid w:val="00974749"/>
    <w:rsid w:val="0097486E"/>
    <w:rsid w:val="00974906"/>
    <w:rsid w:val="00974A1A"/>
    <w:rsid w:val="00974B48"/>
    <w:rsid w:val="00974BD2"/>
    <w:rsid w:val="00974BE7"/>
    <w:rsid w:val="00974CC4"/>
    <w:rsid w:val="00974CE2"/>
    <w:rsid w:val="00974DB1"/>
    <w:rsid w:val="00974E07"/>
    <w:rsid w:val="00974EF3"/>
    <w:rsid w:val="00974EF8"/>
    <w:rsid w:val="00974F61"/>
    <w:rsid w:val="00974FD5"/>
    <w:rsid w:val="009750AC"/>
    <w:rsid w:val="0097513F"/>
    <w:rsid w:val="00975162"/>
    <w:rsid w:val="00975185"/>
    <w:rsid w:val="0097534B"/>
    <w:rsid w:val="009754FE"/>
    <w:rsid w:val="00975538"/>
    <w:rsid w:val="0097556E"/>
    <w:rsid w:val="00975700"/>
    <w:rsid w:val="00975736"/>
    <w:rsid w:val="009757F9"/>
    <w:rsid w:val="009758E0"/>
    <w:rsid w:val="0097597A"/>
    <w:rsid w:val="009759CD"/>
    <w:rsid w:val="00975A0A"/>
    <w:rsid w:val="00975A2D"/>
    <w:rsid w:val="00975B0A"/>
    <w:rsid w:val="00975BFA"/>
    <w:rsid w:val="00975C44"/>
    <w:rsid w:val="00975EB3"/>
    <w:rsid w:val="00975F90"/>
    <w:rsid w:val="00975F9B"/>
    <w:rsid w:val="009760BB"/>
    <w:rsid w:val="009760F4"/>
    <w:rsid w:val="00976161"/>
    <w:rsid w:val="00976357"/>
    <w:rsid w:val="009763AF"/>
    <w:rsid w:val="00976439"/>
    <w:rsid w:val="00976513"/>
    <w:rsid w:val="0097666B"/>
    <w:rsid w:val="00976724"/>
    <w:rsid w:val="00976807"/>
    <w:rsid w:val="0097688D"/>
    <w:rsid w:val="00976964"/>
    <w:rsid w:val="009769F7"/>
    <w:rsid w:val="00976A23"/>
    <w:rsid w:val="00976A2C"/>
    <w:rsid w:val="00976B36"/>
    <w:rsid w:val="00976C18"/>
    <w:rsid w:val="00976D9F"/>
    <w:rsid w:val="00976DCE"/>
    <w:rsid w:val="00976E03"/>
    <w:rsid w:val="00976E2C"/>
    <w:rsid w:val="00976EA1"/>
    <w:rsid w:val="00976F52"/>
    <w:rsid w:val="00976FDB"/>
    <w:rsid w:val="0097702B"/>
    <w:rsid w:val="0097725C"/>
    <w:rsid w:val="00977293"/>
    <w:rsid w:val="009772A9"/>
    <w:rsid w:val="009772F5"/>
    <w:rsid w:val="0097730E"/>
    <w:rsid w:val="0097735A"/>
    <w:rsid w:val="0097742F"/>
    <w:rsid w:val="009774DB"/>
    <w:rsid w:val="00977512"/>
    <w:rsid w:val="009777F4"/>
    <w:rsid w:val="0097783A"/>
    <w:rsid w:val="0097797C"/>
    <w:rsid w:val="00977CD4"/>
    <w:rsid w:val="00977D18"/>
    <w:rsid w:val="00977DC3"/>
    <w:rsid w:val="00980042"/>
    <w:rsid w:val="00980093"/>
    <w:rsid w:val="00980237"/>
    <w:rsid w:val="0098024C"/>
    <w:rsid w:val="009803A0"/>
    <w:rsid w:val="009803A9"/>
    <w:rsid w:val="009803CB"/>
    <w:rsid w:val="009803D4"/>
    <w:rsid w:val="00980486"/>
    <w:rsid w:val="009804B8"/>
    <w:rsid w:val="009804C9"/>
    <w:rsid w:val="00980567"/>
    <w:rsid w:val="00980618"/>
    <w:rsid w:val="00980640"/>
    <w:rsid w:val="00980690"/>
    <w:rsid w:val="009806AB"/>
    <w:rsid w:val="009806B9"/>
    <w:rsid w:val="0098078D"/>
    <w:rsid w:val="009807A2"/>
    <w:rsid w:val="009807F1"/>
    <w:rsid w:val="00980832"/>
    <w:rsid w:val="009808D4"/>
    <w:rsid w:val="00980919"/>
    <w:rsid w:val="009809A6"/>
    <w:rsid w:val="009809AC"/>
    <w:rsid w:val="009809AE"/>
    <w:rsid w:val="009809F9"/>
    <w:rsid w:val="00980A15"/>
    <w:rsid w:val="00980A7A"/>
    <w:rsid w:val="00980AD6"/>
    <w:rsid w:val="00980AE5"/>
    <w:rsid w:val="00980B21"/>
    <w:rsid w:val="00980BFF"/>
    <w:rsid w:val="00980C95"/>
    <w:rsid w:val="00980CD0"/>
    <w:rsid w:val="00980D39"/>
    <w:rsid w:val="00980EE7"/>
    <w:rsid w:val="009810B4"/>
    <w:rsid w:val="0098112E"/>
    <w:rsid w:val="009811E3"/>
    <w:rsid w:val="009812F4"/>
    <w:rsid w:val="0098147B"/>
    <w:rsid w:val="009814C2"/>
    <w:rsid w:val="0098153A"/>
    <w:rsid w:val="009815E6"/>
    <w:rsid w:val="009815F0"/>
    <w:rsid w:val="0098160D"/>
    <w:rsid w:val="009816C1"/>
    <w:rsid w:val="009817E4"/>
    <w:rsid w:val="00981800"/>
    <w:rsid w:val="00981876"/>
    <w:rsid w:val="0098190A"/>
    <w:rsid w:val="0098199C"/>
    <w:rsid w:val="00981BA8"/>
    <w:rsid w:val="00981BAB"/>
    <w:rsid w:val="00981BDF"/>
    <w:rsid w:val="00981C10"/>
    <w:rsid w:val="00981CD7"/>
    <w:rsid w:val="00981DD7"/>
    <w:rsid w:val="00981E5C"/>
    <w:rsid w:val="00981E62"/>
    <w:rsid w:val="00981E79"/>
    <w:rsid w:val="009820D7"/>
    <w:rsid w:val="00982138"/>
    <w:rsid w:val="0098215B"/>
    <w:rsid w:val="00982164"/>
    <w:rsid w:val="00982289"/>
    <w:rsid w:val="0098232D"/>
    <w:rsid w:val="00982372"/>
    <w:rsid w:val="009823D6"/>
    <w:rsid w:val="009824FE"/>
    <w:rsid w:val="009825D8"/>
    <w:rsid w:val="00982616"/>
    <w:rsid w:val="0098262A"/>
    <w:rsid w:val="00982652"/>
    <w:rsid w:val="00982661"/>
    <w:rsid w:val="00982671"/>
    <w:rsid w:val="0098268D"/>
    <w:rsid w:val="0098274A"/>
    <w:rsid w:val="00982751"/>
    <w:rsid w:val="0098277F"/>
    <w:rsid w:val="009827D6"/>
    <w:rsid w:val="00982892"/>
    <w:rsid w:val="0098296D"/>
    <w:rsid w:val="00982AED"/>
    <w:rsid w:val="00982BC8"/>
    <w:rsid w:val="00982C85"/>
    <w:rsid w:val="00982CB3"/>
    <w:rsid w:val="00982CB8"/>
    <w:rsid w:val="00982D6A"/>
    <w:rsid w:val="00982E56"/>
    <w:rsid w:val="00982EF5"/>
    <w:rsid w:val="00982F90"/>
    <w:rsid w:val="00982FD8"/>
    <w:rsid w:val="00983022"/>
    <w:rsid w:val="009830FD"/>
    <w:rsid w:val="00983133"/>
    <w:rsid w:val="0098325E"/>
    <w:rsid w:val="009832B4"/>
    <w:rsid w:val="00983352"/>
    <w:rsid w:val="00983457"/>
    <w:rsid w:val="0098347B"/>
    <w:rsid w:val="00983725"/>
    <w:rsid w:val="00983844"/>
    <w:rsid w:val="00983959"/>
    <w:rsid w:val="00983A34"/>
    <w:rsid w:val="00983B6F"/>
    <w:rsid w:val="00983D28"/>
    <w:rsid w:val="00983D8A"/>
    <w:rsid w:val="00983D96"/>
    <w:rsid w:val="00984081"/>
    <w:rsid w:val="009840A1"/>
    <w:rsid w:val="0098414A"/>
    <w:rsid w:val="0098426D"/>
    <w:rsid w:val="0098431B"/>
    <w:rsid w:val="009843C3"/>
    <w:rsid w:val="009843FE"/>
    <w:rsid w:val="00984505"/>
    <w:rsid w:val="00984509"/>
    <w:rsid w:val="0098455F"/>
    <w:rsid w:val="00984656"/>
    <w:rsid w:val="009846AC"/>
    <w:rsid w:val="009846D8"/>
    <w:rsid w:val="00984774"/>
    <w:rsid w:val="00984880"/>
    <w:rsid w:val="0098492C"/>
    <w:rsid w:val="009849FB"/>
    <w:rsid w:val="00984A26"/>
    <w:rsid w:val="00984A4A"/>
    <w:rsid w:val="00984A5D"/>
    <w:rsid w:val="00984AD4"/>
    <w:rsid w:val="00984B52"/>
    <w:rsid w:val="00984BAC"/>
    <w:rsid w:val="00984BEF"/>
    <w:rsid w:val="00984C97"/>
    <w:rsid w:val="00984D2D"/>
    <w:rsid w:val="00984D35"/>
    <w:rsid w:val="00984DFB"/>
    <w:rsid w:val="00984EA7"/>
    <w:rsid w:val="00985025"/>
    <w:rsid w:val="009850D8"/>
    <w:rsid w:val="00985119"/>
    <w:rsid w:val="0098517E"/>
    <w:rsid w:val="009851B9"/>
    <w:rsid w:val="00985261"/>
    <w:rsid w:val="009852A3"/>
    <w:rsid w:val="009853B1"/>
    <w:rsid w:val="00985421"/>
    <w:rsid w:val="00985452"/>
    <w:rsid w:val="009854E3"/>
    <w:rsid w:val="009855E2"/>
    <w:rsid w:val="0098563B"/>
    <w:rsid w:val="0098563F"/>
    <w:rsid w:val="00985647"/>
    <w:rsid w:val="009856E0"/>
    <w:rsid w:val="0098577B"/>
    <w:rsid w:val="00985802"/>
    <w:rsid w:val="00985808"/>
    <w:rsid w:val="0098582F"/>
    <w:rsid w:val="00985A38"/>
    <w:rsid w:val="00985A47"/>
    <w:rsid w:val="00985B35"/>
    <w:rsid w:val="00985BCB"/>
    <w:rsid w:val="00985D4B"/>
    <w:rsid w:val="00985D79"/>
    <w:rsid w:val="00985EE3"/>
    <w:rsid w:val="00985F0F"/>
    <w:rsid w:val="00985F21"/>
    <w:rsid w:val="00985F34"/>
    <w:rsid w:val="00985FE1"/>
    <w:rsid w:val="009861B9"/>
    <w:rsid w:val="00986215"/>
    <w:rsid w:val="009863A3"/>
    <w:rsid w:val="00986469"/>
    <w:rsid w:val="009865C2"/>
    <w:rsid w:val="009865E2"/>
    <w:rsid w:val="0098665E"/>
    <w:rsid w:val="00986670"/>
    <w:rsid w:val="0098677E"/>
    <w:rsid w:val="00986789"/>
    <w:rsid w:val="00986955"/>
    <w:rsid w:val="00986A0D"/>
    <w:rsid w:val="00986AA4"/>
    <w:rsid w:val="00986AD2"/>
    <w:rsid w:val="00986B72"/>
    <w:rsid w:val="00986D00"/>
    <w:rsid w:val="00986D2C"/>
    <w:rsid w:val="00986D9E"/>
    <w:rsid w:val="00986DD3"/>
    <w:rsid w:val="00986E2D"/>
    <w:rsid w:val="00986EB9"/>
    <w:rsid w:val="00986F54"/>
    <w:rsid w:val="009870BB"/>
    <w:rsid w:val="009870C4"/>
    <w:rsid w:val="00987198"/>
    <w:rsid w:val="009871BD"/>
    <w:rsid w:val="00987215"/>
    <w:rsid w:val="0098738A"/>
    <w:rsid w:val="009873B4"/>
    <w:rsid w:val="009873F3"/>
    <w:rsid w:val="00987516"/>
    <w:rsid w:val="009875C2"/>
    <w:rsid w:val="00987669"/>
    <w:rsid w:val="00987740"/>
    <w:rsid w:val="00987883"/>
    <w:rsid w:val="009878E9"/>
    <w:rsid w:val="00987970"/>
    <w:rsid w:val="009879A8"/>
    <w:rsid w:val="009879E7"/>
    <w:rsid w:val="00987A35"/>
    <w:rsid w:val="00987B2B"/>
    <w:rsid w:val="00987BDA"/>
    <w:rsid w:val="00987D5D"/>
    <w:rsid w:val="00987DD7"/>
    <w:rsid w:val="00987E18"/>
    <w:rsid w:val="0099001B"/>
    <w:rsid w:val="00990232"/>
    <w:rsid w:val="0099024D"/>
    <w:rsid w:val="00990385"/>
    <w:rsid w:val="00990417"/>
    <w:rsid w:val="00990466"/>
    <w:rsid w:val="00990597"/>
    <w:rsid w:val="009905CF"/>
    <w:rsid w:val="009905DF"/>
    <w:rsid w:val="00990602"/>
    <w:rsid w:val="00990659"/>
    <w:rsid w:val="00990680"/>
    <w:rsid w:val="009906A2"/>
    <w:rsid w:val="00990714"/>
    <w:rsid w:val="00990850"/>
    <w:rsid w:val="009908EF"/>
    <w:rsid w:val="009908FA"/>
    <w:rsid w:val="00990917"/>
    <w:rsid w:val="0099092F"/>
    <w:rsid w:val="00990937"/>
    <w:rsid w:val="0099097D"/>
    <w:rsid w:val="009909C7"/>
    <w:rsid w:val="00990A79"/>
    <w:rsid w:val="00990B3E"/>
    <w:rsid w:val="00990B47"/>
    <w:rsid w:val="00990B4D"/>
    <w:rsid w:val="00990B62"/>
    <w:rsid w:val="00990BF8"/>
    <w:rsid w:val="00990CA7"/>
    <w:rsid w:val="00990E3C"/>
    <w:rsid w:val="00990E4C"/>
    <w:rsid w:val="00990EEE"/>
    <w:rsid w:val="00990F70"/>
    <w:rsid w:val="00991017"/>
    <w:rsid w:val="00991181"/>
    <w:rsid w:val="009911D0"/>
    <w:rsid w:val="0099122D"/>
    <w:rsid w:val="00991438"/>
    <w:rsid w:val="00991482"/>
    <w:rsid w:val="009914BF"/>
    <w:rsid w:val="009914ED"/>
    <w:rsid w:val="00991578"/>
    <w:rsid w:val="00991821"/>
    <w:rsid w:val="00991907"/>
    <w:rsid w:val="009919B2"/>
    <w:rsid w:val="009919B6"/>
    <w:rsid w:val="00991A20"/>
    <w:rsid w:val="00991A87"/>
    <w:rsid w:val="00991B94"/>
    <w:rsid w:val="00991B9C"/>
    <w:rsid w:val="00991CD6"/>
    <w:rsid w:val="00991D50"/>
    <w:rsid w:val="00991E8B"/>
    <w:rsid w:val="00991EF0"/>
    <w:rsid w:val="00991F57"/>
    <w:rsid w:val="00991FBA"/>
    <w:rsid w:val="00992054"/>
    <w:rsid w:val="009920C4"/>
    <w:rsid w:val="00992212"/>
    <w:rsid w:val="009923CB"/>
    <w:rsid w:val="00992434"/>
    <w:rsid w:val="00992656"/>
    <w:rsid w:val="009926FA"/>
    <w:rsid w:val="009928C0"/>
    <w:rsid w:val="009928EF"/>
    <w:rsid w:val="0099294E"/>
    <w:rsid w:val="0099296A"/>
    <w:rsid w:val="0099297D"/>
    <w:rsid w:val="00992AFE"/>
    <w:rsid w:val="00992B30"/>
    <w:rsid w:val="00992B92"/>
    <w:rsid w:val="00992BA0"/>
    <w:rsid w:val="00992C22"/>
    <w:rsid w:val="00992D1D"/>
    <w:rsid w:val="00992E1F"/>
    <w:rsid w:val="00992F01"/>
    <w:rsid w:val="00992F74"/>
    <w:rsid w:val="00992FA4"/>
    <w:rsid w:val="00992FC1"/>
    <w:rsid w:val="0099303B"/>
    <w:rsid w:val="009930D0"/>
    <w:rsid w:val="009930DD"/>
    <w:rsid w:val="0099312F"/>
    <w:rsid w:val="009932F6"/>
    <w:rsid w:val="00993367"/>
    <w:rsid w:val="009934FF"/>
    <w:rsid w:val="009937BD"/>
    <w:rsid w:val="009937D9"/>
    <w:rsid w:val="00993876"/>
    <w:rsid w:val="00993901"/>
    <w:rsid w:val="00993939"/>
    <w:rsid w:val="00993AC7"/>
    <w:rsid w:val="00993AFE"/>
    <w:rsid w:val="00993C23"/>
    <w:rsid w:val="00993FB8"/>
    <w:rsid w:val="00994106"/>
    <w:rsid w:val="009941C3"/>
    <w:rsid w:val="00994368"/>
    <w:rsid w:val="0099440B"/>
    <w:rsid w:val="0099453C"/>
    <w:rsid w:val="009945D2"/>
    <w:rsid w:val="0099463E"/>
    <w:rsid w:val="0099467A"/>
    <w:rsid w:val="0099469B"/>
    <w:rsid w:val="009946A5"/>
    <w:rsid w:val="00994770"/>
    <w:rsid w:val="009947BB"/>
    <w:rsid w:val="0099490A"/>
    <w:rsid w:val="009949BF"/>
    <w:rsid w:val="00994A21"/>
    <w:rsid w:val="00994A74"/>
    <w:rsid w:val="00994A85"/>
    <w:rsid w:val="00994AAF"/>
    <w:rsid w:val="00994B42"/>
    <w:rsid w:val="00994B6B"/>
    <w:rsid w:val="00994D19"/>
    <w:rsid w:val="00994E2A"/>
    <w:rsid w:val="00994E2C"/>
    <w:rsid w:val="00994EA9"/>
    <w:rsid w:val="00994F98"/>
    <w:rsid w:val="00995023"/>
    <w:rsid w:val="009950A6"/>
    <w:rsid w:val="0099511B"/>
    <w:rsid w:val="00995120"/>
    <w:rsid w:val="00995135"/>
    <w:rsid w:val="009951A8"/>
    <w:rsid w:val="009951AE"/>
    <w:rsid w:val="009951F2"/>
    <w:rsid w:val="009952C3"/>
    <w:rsid w:val="00995301"/>
    <w:rsid w:val="00995430"/>
    <w:rsid w:val="0099547A"/>
    <w:rsid w:val="009954EA"/>
    <w:rsid w:val="009954EF"/>
    <w:rsid w:val="00995595"/>
    <w:rsid w:val="009955D3"/>
    <w:rsid w:val="009955DF"/>
    <w:rsid w:val="009955E9"/>
    <w:rsid w:val="0099571E"/>
    <w:rsid w:val="00995801"/>
    <w:rsid w:val="00995893"/>
    <w:rsid w:val="009958A1"/>
    <w:rsid w:val="009958D0"/>
    <w:rsid w:val="009958FC"/>
    <w:rsid w:val="0099598F"/>
    <w:rsid w:val="00995997"/>
    <w:rsid w:val="00995A76"/>
    <w:rsid w:val="00995B7B"/>
    <w:rsid w:val="00995C2C"/>
    <w:rsid w:val="00995C48"/>
    <w:rsid w:val="00995D45"/>
    <w:rsid w:val="00995D5C"/>
    <w:rsid w:val="00995E5E"/>
    <w:rsid w:val="00995E88"/>
    <w:rsid w:val="00995E98"/>
    <w:rsid w:val="00995F93"/>
    <w:rsid w:val="00995FF3"/>
    <w:rsid w:val="00996143"/>
    <w:rsid w:val="00996219"/>
    <w:rsid w:val="00996370"/>
    <w:rsid w:val="009963EA"/>
    <w:rsid w:val="00996412"/>
    <w:rsid w:val="009964D2"/>
    <w:rsid w:val="0099660B"/>
    <w:rsid w:val="0099661E"/>
    <w:rsid w:val="009966B0"/>
    <w:rsid w:val="009966C0"/>
    <w:rsid w:val="009966D4"/>
    <w:rsid w:val="00996788"/>
    <w:rsid w:val="009967AA"/>
    <w:rsid w:val="0099682E"/>
    <w:rsid w:val="00996852"/>
    <w:rsid w:val="00996937"/>
    <w:rsid w:val="00996958"/>
    <w:rsid w:val="00996972"/>
    <w:rsid w:val="009969AF"/>
    <w:rsid w:val="00996AAB"/>
    <w:rsid w:val="00996B30"/>
    <w:rsid w:val="00996D28"/>
    <w:rsid w:val="00996DB0"/>
    <w:rsid w:val="00996DBC"/>
    <w:rsid w:val="00996DD4"/>
    <w:rsid w:val="00996E77"/>
    <w:rsid w:val="00996F15"/>
    <w:rsid w:val="00996F43"/>
    <w:rsid w:val="0099712E"/>
    <w:rsid w:val="0099713D"/>
    <w:rsid w:val="0099728C"/>
    <w:rsid w:val="009972E7"/>
    <w:rsid w:val="00997338"/>
    <w:rsid w:val="009973D1"/>
    <w:rsid w:val="00997455"/>
    <w:rsid w:val="00997510"/>
    <w:rsid w:val="00997673"/>
    <w:rsid w:val="00997684"/>
    <w:rsid w:val="0099792B"/>
    <w:rsid w:val="0099798A"/>
    <w:rsid w:val="00997BA8"/>
    <w:rsid w:val="00997C64"/>
    <w:rsid w:val="00997CB3"/>
    <w:rsid w:val="00997D38"/>
    <w:rsid w:val="00997DB1"/>
    <w:rsid w:val="00997DFA"/>
    <w:rsid w:val="00997E15"/>
    <w:rsid w:val="00997F23"/>
    <w:rsid w:val="00997F37"/>
    <w:rsid w:val="00997F61"/>
    <w:rsid w:val="009A0142"/>
    <w:rsid w:val="009A0146"/>
    <w:rsid w:val="009A0150"/>
    <w:rsid w:val="009A020A"/>
    <w:rsid w:val="009A026F"/>
    <w:rsid w:val="009A0486"/>
    <w:rsid w:val="009A049B"/>
    <w:rsid w:val="009A04B3"/>
    <w:rsid w:val="009A04D6"/>
    <w:rsid w:val="009A0580"/>
    <w:rsid w:val="009A06C7"/>
    <w:rsid w:val="009A06F4"/>
    <w:rsid w:val="009A072C"/>
    <w:rsid w:val="009A0732"/>
    <w:rsid w:val="009A07B6"/>
    <w:rsid w:val="009A08FB"/>
    <w:rsid w:val="009A0931"/>
    <w:rsid w:val="009A0970"/>
    <w:rsid w:val="009A0987"/>
    <w:rsid w:val="009A09D7"/>
    <w:rsid w:val="009A0C6D"/>
    <w:rsid w:val="009A0C8C"/>
    <w:rsid w:val="009A0CC7"/>
    <w:rsid w:val="009A0CF3"/>
    <w:rsid w:val="009A0D71"/>
    <w:rsid w:val="009A0D93"/>
    <w:rsid w:val="009A0DB7"/>
    <w:rsid w:val="009A0DEB"/>
    <w:rsid w:val="009A0E51"/>
    <w:rsid w:val="009A0E9B"/>
    <w:rsid w:val="009A0F00"/>
    <w:rsid w:val="009A0F82"/>
    <w:rsid w:val="009A0F9B"/>
    <w:rsid w:val="009A0FB6"/>
    <w:rsid w:val="009A1000"/>
    <w:rsid w:val="009A1023"/>
    <w:rsid w:val="009A1046"/>
    <w:rsid w:val="009A1104"/>
    <w:rsid w:val="009A11E4"/>
    <w:rsid w:val="009A1204"/>
    <w:rsid w:val="009A121E"/>
    <w:rsid w:val="009A12B7"/>
    <w:rsid w:val="009A12CF"/>
    <w:rsid w:val="009A141A"/>
    <w:rsid w:val="009A1574"/>
    <w:rsid w:val="009A15A3"/>
    <w:rsid w:val="009A15D5"/>
    <w:rsid w:val="009A15E3"/>
    <w:rsid w:val="009A16C0"/>
    <w:rsid w:val="009A16CC"/>
    <w:rsid w:val="009A17E3"/>
    <w:rsid w:val="009A1806"/>
    <w:rsid w:val="009A1840"/>
    <w:rsid w:val="009A18F3"/>
    <w:rsid w:val="009A198E"/>
    <w:rsid w:val="009A1A94"/>
    <w:rsid w:val="009A1AA5"/>
    <w:rsid w:val="009A1BCD"/>
    <w:rsid w:val="009A1C61"/>
    <w:rsid w:val="009A1CB0"/>
    <w:rsid w:val="009A1D0F"/>
    <w:rsid w:val="009A1D87"/>
    <w:rsid w:val="009A1DFC"/>
    <w:rsid w:val="009A1E1F"/>
    <w:rsid w:val="009A2019"/>
    <w:rsid w:val="009A20DA"/>
    <w:rsid w:val="009A2102"/>
    <w:rsid w:val="009A2129"/>
    <w:rsid w:val="009A2134"/>
    <w:rsid w:val="009A21C0"/>
    <w:rsid w:val="009A244E"/>
    <w:rsid w:val="009A24B8"/>
    <w:rsid w:val="009A24E8"/>
    <w:rsid w:val="009A25CD"/>
    <w:rsid w:val="009A2625"/>
    <w:rsid w:val="009A26AA"/>
    <w:rsid w:val="009A26C6"/>
    <w:rsid w:val="009A2758"/>
    <w:rsid w:val="009A2846"/>
    <w:rsid w:val="009A2874"/>
    <w:rsid w:val="009A28DE"/>
    <w:rsid w:val="009A28F3"/>
    <w:rsid w:val="009A2927"/>
    <w:rsid w:val="009A29BF"/>
    <w:rsid w:val="009A2ABA"/>
    <w:rsid w:val="009A2ACD"/>
    <w:rsid w:val="009A2CCE"/>
    <w:rsid w:val="009A2D08"/>
    <w:rsid w:val="009A2DD7"/>
    <w:rsid w:val="009A2DEA"/>
    <w:rsid w:val="009A2EAA"/>
    <w:rsid w:val="009A2F07"/>
    <w:rsid w:val="009A2FD9"/>
    <w:rsid w:val="009A3088"/>
    <w:rsid w:val="009A30C9"/>
    <w:rsid w:val="009A3183"/>
    <w:rsid w:val="009A3234"/>
    <w:rsid w:val="009A32F9"/>
    <w:rsid w:val="009A3415"/>
    <w:rsid w:val="009A3442"/>
    <w:rsid w:val="009A3521"/>
    <w:rsid w:val="009A3592"/>
    <w:rsid w:val="009A35F8"/>
    <w:rsid w:val="009A369A"/>
    <w:rsid w:val="009A3744"/>
    <w:rsid w:val="009A3778"/>
    <w:rsid w:val="009A38C8"/>
    <w:rsid w:val="009A38E2"/>
    <w:rsid w:val="009A3924"/>
    <w:rsid w:val="009A3971"/>
    <w:rsid w:val="009A39A2"/>
    <w:rsid w:val="009A39D5"/>
    <w:rsid w:val="009A3A40"/>
    <w:rsid w:val="009A3A50"/>
    <w:rsid w:val="009A3B14"/>
    <w:rsid w:val="009A3BA8"/>
    <w:rsid w:val="009A3C0D"/>
    <w:rsid w:val="009A3C6F"/>
    <w:rsid w:val="009A3E2E"/>
    <w:rsid w:val="009A40B4"/>
    <w:rsid w:val="009A4162"/>
    <w:rsid w:val="009A4230"/>
    <w:rsid w:val="009A4337"/>
    <w:rsid w:val="009A43BC"/>
    <w:rsid w:val="009A45CA"/>
    <w:rsid w:val="009A4745"/>
    <w:rsid w:val="009A479A"/>
    <w:rsid w:val="009A47E5"/>
    <w:rsid w:val="009A48A5"/>
    <w:rsid w:val="009A48F7"/>
    <w:rsid w:val="009A497B"/>
    <w:rsid w:val="009A4A6D"/>
    <w:rsid w:val="009A4AE9"/>
    <w:rsid w:val="009A4BB8"/>
    <w:rsid w:val="009A4F32"/>
    <w:rsid w:val="009A4F3E"/>
    <w:rsid w:val="009A4F49"/>
    <w:rsid w:val="009A5028"/>
    <w:rsid w:val="009A5183"/>
    <w:rsid w:val="009A5221"/>
    <w:rsid w:val="009A52FE"/>
    <w:rsid w:val="009A53D9"/>
    <w:rsid w:val="009A53E0"/>
    <w:rsid w:val="009A5413"/>
    <w:rsid w:val="009A54A8"/>
    <w:rsid w:val="009A5553"/>
    <w:rsid w:val="009A5570"/>
    <w:rsid w:val="009A571D"/>
    <w:rsid w:val="009A5811"/>
    <w:rsid w:val="009A582A"/>
    <w:rsid w:val="009A5902"/>
    <w:rsid w:val="009A591D"/>
    <w:rsid w:val="009A5A33"/>
    <w:rsid w:val="009A5AA8"/>
    <w:rsid w:val="009A5AFB"/>
    <w:rsid w:val="009A5BCF"/>
    <w:rsid w:val="009A5C59"/>
    <w:rsid w:val="009A5C94"/>
    <w:rsid w:val="009A5CDF"/>
    <w:rsid w:val="009A5E54"/>
    <w:rsid w:val="009A5F72"/>
    <w:rsid w:val="009A5FEA"/>
    <w:rsid w:val="009A6068"/>
    <w:rsid w:val="009A6281"/>
    <w:rsid w:val="009A62D8"/>
    <w:rsid w:val="009A63C3"/>
    <w:rsid w:val="009A63E8"/>
    <w:rsid w:val="009A63EA"/>
    <w:rsid w:val="009A63F5"/>
    <w:rsid w:val="009A6431"/>
    <w:rsid w:val="009A6546"/>
    <w:rsid w:val="009A6595"/>
    <w:rsid w:val="009A660A"/>
    <w:rsid w:val="009A6705"/>
    <w:rsid w:val="009A67D9"/>
    <w:rsid w:val="009A67F3"/>
    <w:rsid w:val="009A68A5"/>
    <w:rsid w:val="009A696D"/>
    <w:rsid w:val="009A6972"/>
    <w:rsid w:val="009A698C"/>
    <w:rsid w:val="009A6995"/>
    <w:rsid w:val="009A69CC"/>
    <w:rsid w:val="009A6B89"/>
    <w:rsid w:val="009A6BB4"/>
    <w:rsid w:val="009A6CED"/>
    <w:rsid w:val="009A6D80"/>
    <w:rsid w:val="009A6E9A"/>
    <w:rsid w:val="009A6F68"/>
    <w:rsid w:val="009A6F8E"/>
    <w:rsid w:val="009A6FCE"/>
    <w:rsid w:val="009A6FFC"/>
    <w:rsid w:val="009A70F3"/>
    <w:rsid w:val="009A71D8"/>
    <w:rsid w:val="009A720E"/>
    <w:rsid w:val="009A724B"/>
    <w:rsid w:val="009A72AB"/>
    <w:rsid w:val="009A7368"/>
    <w:rsid w:val="009A7396"/>
    <w:rsid w:val="009A73EE"/>
    <w:rsid w:val="009A7429"/>
    <w:rsid w:val="009A763B"/>
    <w:rsid w:val="009A7678"/>
    <w:rsid w:val="009A7817"/>
    <w:rsid w:val="009A7867"/>
    <w:rsid w:val="009A788D"/>
    <w:rsid w:val="009A7986"/>
    <w:rsid w:val="009A7B88"/>
    <w:rsid w:val="009A7C59"/>
    <w:rsid w:val="009A7F34"/>
    <w:rsid w:val="009B0085"/>
    <w:rsid w:val="009B0145"/>
    <w:rsid w:val="009B015B"/>
    <w:rsid w:val="009B019A"/>
    <w:rsid w:val="009B0241"/>
    <w:rsid w:val="009B02F6"/>
    <w:rsid w:val="009B038C"/>
    <w:rsid w:val="009B03C3"/>
    <w:rsid w:val="009B0406"/>
    <w:rsid w:val="009B0415"/>
    <w:rsid w:val="009B043F"/>
    <w:rsid w:val="009B0508"/>
    <w:rsid w:val="009B05DA"/>
    <w:rsid w:val="009B0635"/>
    <w:rsid w:val="009B064D"/>
    <w:rsid w:val="009B06F1"/>
    <w:rsid w:val="009B0831"/>
    <w:rsid w:val="009B08A2"/>
    <w:rsid w:val="009B0A7D"/>
    <w:rsid w:val="009B0C4C"/>
    <w:rsid w:val="009B0C74"/>
    <w:rsid w:val="009B0CE7"/>
    <w:rsid w:val="009B0D00"/>
    <w:rsid w:val="009B0D14"/>
    <w:rsid w:val="009B0DA2"/>
    <w:rsid w:val="009B0F79"/>
    <w:rsid w:val="009B0FFB"/>
    <w:rsid w:val="009B1084"/>
    <w:rsid w:val="009B10C1"/>
    <w:rsid w:val="009B114D"/>
    <w:rsid w:val="009B11CA"/>
    <w:rsid w:val="009B139D"/>
    <w:rsid w:val="009B13AE"/>
    <w:rsid w:val="009B154D"/>
    <w:rsid w:val="009B1557"/>
    <w:rsid w:val="009B15AD"/>
    <w:rsid w:val="009B15D3"/>
    <w:rsid w:val="009B1821"/>
    <w:rsid w:val="009B1864"/>
    <w:rsid w:val="009B189D"/>
    <w:rsid w:val="009B1983"/>
    <w:rsid w:val="009B1990"/>
    <w:rsid w:val="009B1AA3"/>
    <w:rsid w:val="009B1AE0"/>
    <w:rsid w:val="009B1B39"/>
    <w:rsid w:val="009B1C43"/>
    <w:rsid w:val="009B1E34"/>
    <w:rsid w:val="009B1EA2"/>
    <w:rsid w:val="009B2000"/>
    <w:rsid w:val="009B2009"/>
    <w:rsid w:val="009B2017"/>
    <w:rsid w:val="009B20DD"/>
    <w:rsid w:val="009B218E"/>
    <w:rsid w:val="009B2217"/>
    <w:rsid w:val="009B2221"/>
    <w:rsid w:val="009B2245"/>
    <w:rsid w:val="009B230F"/>
    <w:rsid w:val="009B2502"/>
    <w:rsid w:val="009B2521"/>
    <w:rsid w:val="009B254D"/>
    <w:rsid w:val="009B258E"/>
    <w:rsid w:val="009B2697"/>
    <w:rsid w:val="009B2703"/>
    <w:rsid w:val="009B270E"/>
    <w:rsid w:val="009B275D"/>
    <w:rsid w:val="009B276E"/>
    <w:rsid w:val="009B287A"/>
    <w:rsid w:val="009B288F"/>
    <w:rsid w:val="009B28E8"/>
    <w:rsid w:val="009B2965"/>
    <w:rsid w:val="009B29B7"/>
    <w:rsid w:val="009B29F4"/>
    <w:rsid w:val="009B2A4A"/>
    <w:rsid w:val="009B2BBD"/>
    <w:rsid w:val="009B2D21"/>
    <w:rsid w:val="009B2DEC"/>
    <w:rsid w:val="009B2F2B"/>
    <w:rsid w:val="009B2F30"/>
    <w:rsid w:val="009B2F41"/>
    <w:rsid w:val="009B2FCD"/>
    <w:rsid w:val="009B3079"/>
    <w:rsid w:val="009B315C"/>
    <w:rsid w:val="009B3162"/>
    <w:rsid w:val="009B316D"/>
    <w:rsid w:val="009B31DD"/>
    <w:rsid w:val="009B326A"/>
    <w:rsid w:val="009B32A6"/>
    <w:rsid w:val="009B3302"/>
    <w:rsid w:val="009B345A"/>
    <w:rsid w:val="009B34E1"/>
    <w:rsid w:val="009B3802"/>
    <w:rsid w:val="009B3875"/>
    <w:rsid w:val="009B3891"/>
    <w:rsid w:val="009B389D"/>
    <w:rsid w:val="009B3926"/>
    <w:rsid w:val="009B3981"/>
    <w:rsid w:val="009B39F7"/>
    <w:rsid w:val="009B3A19"/>
    <w:rsid w:val="009B3A2C"/>
    <w:rsid w:val="009B3A90"/>
    <w:rsid w:val="009B3B79"/>
    <w:rsid w:val="009B3BF6"/>
    <w:rsid w:val="009B3C5A"/>
    <w:rsid w:val="009B3D1B"/>
    <w:rsid w:val="009B3DCF"/>
    <w:rsid w:val="009B3E4B"/>
    <w:rsid w:val="009B3E6B"/>
    <w:rsid w:val="009B3EC1"/>
    <w:rsid w:val="009B3FE3"/>
    <w:rsid w:val="009B3FF5"/>
    <w:rsid w:val="009B4025"/>
    <w:rsid w:val="009B4035"/>
    <w:rsid w:val="009B404B"/>
    <w:rsid w:val="009B4187"/>
    <w:rsid w:val="009B428A"/>
    <w:rsid w:val="009B4292"/>
    <w:rsid w:val="009B4363"/>
    <w:rsid w:val="009B4522"/>
    <w:rsid w:val="009B45A3"/>
    <w:rsid w:val="009B4733"/>
    <w:rsid w:val="009B4996"/>
    <w:rsid w:val="009B4A23"/>
    <w:rsid w:val="009B4A52"/>
    <w:rsid w:val="009B4AB3"/>
    <w:rsid w:val="009B4B26"/>
    <w:rsid w:val="009B4C5D"/>
    <w:rsid w:val="009B4D09"/>
    <w:rsid w:val="009B4D0A"/>
    <w:rsid w:val="009B4D70"/>
    <w:rsid w:val="009B4D91"/>
    <w:rsid w:val="009B4D93"/>
    <w:rsid w:val="009B4E65"/>
    <w:rsid w:val="009B4ED9"/>
    <w:rsid w:val="009B4F22"/>
    <w:rsid w:val="009B4F72"/>
    <w:rsid w:val="009B5177"/>
    <w:rsid w:val="009B51B1"/>
    <w:rsid w:val="009B52D6"/>
    <w:rsid w:val="009B53EB"/>
    <w:rsid w:val="009B54B2"/>
    <w:rsid w:val="009B55A4"/>
    <w:rsid w:val="009B576F"/>
    <w:rsid w:val="009B57C5"/>
    <w:rsid w:val="009B588B"/>
    <w:rsid w:val="009B5927"/>
    <w:rsid w:val="009B5997"/>
    <w:rsid w:val="009B59EB"/>
    <w:rsid w:val="009B5A34"/>
    <w:rsid w:val="009B5AFC"/>
    <w:rsid w:val="009B5B51"/>
    <w:rsid w:val="009B5D04"/>
    <w:rsid w:val="009B5E4F"/>
    <w:rsid w:val="009B5E8C"/>
    <w:rsid w:val="009B5E9A"/>
    <w:rsid w:val="009B60A4"/>
    <w:rsid w:val="009B618D"/>
    <w:rsid w:val="009B6348"/>
    <w:rsid w:val="009B6438"/>
    <w:rsid w:val="009B645C"/>
    <w:rsid w:val="009B6484"/>
    <w:rsid w:val="009B64AC"/>
    <w:rsid w:val="009B6545"/>
    <w:rsid w:val="009B6584"/>
    <w:rsid w:val="009B65FA"/>
    <w:rsid w:val="009B6635"/>
    <w:rsid w:val="009B6758"/>
    <w:rsid w:val="009B6804"/>
    <w:rsid w:val="009B68A9"/>
    <w:rsid w:val="009B68AC"/>
    <w:rsid w:val="009B6938"/>
    <w:rsid w:val="009B693B"/>
    <w:rsid w:val="009B6940"/>
    <w:rsid w:val="009B6AAC"/>
    <w:rsid w:val="009B6AFB"/>
    <w:rsid w:val="009B6B23"/>
    <w:rsid w:val="009B6B94"/>
    <w:rsid w:val="009B6DC4"/>
    <w:rsid w:val="009B6DD0"/>
    <w:rsid w:val="009B6F8B"/>
    <w:rsid w:val="009B7020"/>
    <w:rsid w:val="009B70EB"/>
    <w:rsid w:val="009B7193"/>
    <w:rsid w:val="009B724A"/>
    <w:rsid w:val="009B7251"/>
    <w:rsid w:val="009B72F2"/>
    <w:rsid w:val="009B73EC"/>
    <w:rsid w:val="009B73F4"/>
    <w:rsid w:val="009B740D"/>
    <w:rsid w:val="009B7413"/>
    <w:rsid w:val="009B7580"/>
    <w:rsid w:val="009B7646"/>
    <w:rsid w:val="009B76EC"/>
    <w:rsid w:val="009B7701"/>
    <w:rsid w:val="009B785C"/>
    <w:rsid w:val="009B789F"/>
    <w:rsid w:val="009B78BD"/>
    <w:rsid w:val="009B78F1"/>
    <w:rsid w:val="009B7985"/>
    <w:rsid w:val="009B79CE"/>
    <w:rsid w:val="009B7A63"/>
    <w:rsid w:val="009B7ABD"/>
    <w:rsid w:val="009B7BBB"/>
    <w:rsid w:val="009B7BBE"/>
    <w:rsid w:val="009B7BFD"/>
    <w:rsid w:val="009B7C08"/>
    <w:rsid w:val="009B7C10"/>
    <w:rsid w:val="009B7C46"/>
    <w:rsid w:val="009B7D47"/>
    <w:rsid w:val="009B7EBD"/>
    <w:rsid w:val="009B7F54"/>
    <w:rsid w:val="009B7F7F"/>
    <w:rsid w:val="009B7FF7"/>
    <w:rsid w:val="009B7FF8"/>
    <w:rsid w:val="009B7FF9"/>
    <w:rsid w:val="009B7FFA"/>
    <w:rsid w:val="009B7FFB"/>
    <w:rsid w:val="009C001D"/>
    <w:rsid w:val="009C0030"/>
    <w:rsid w:val="009C00B5"/>
    <w:rsid w:val="009C01F7"/>
    <w:rsid w:val="009C03C2"/>
    <w:rsid w:val="009C0502"/>
    <w:rsid w:val="009C05D0"/>
    <w:rsid w:val="009C065C"/>
    <w:rsid w:val="009C0697"/>
    <w:rsid w:val="009C0753"/>
    <w:rsid w:val="009C07F5"/>
    <w:rsid w:val="009C0A03"/>
    <w:rsid w:val="009C0A35"/>
    <w:rsid w:val="009C0A52"/>
    <w:rsid w:val="009C0A7D"/>
    <w:rsid w:val="009C0B46"/>
    <w:rsid w:val="009C0B59"/>
    <w:rsid w:val="009C0B88"/>
    <w:rsid w:val="009C0BAA"/>
    <w:rsid w:val="009C0BCC"/>
    <w:rsid w:val="009C0C3B"/>
    <w:rsid w:val="009C0D14"/>
    <w:rsid w:val="009C0D1D"/>
    <w:rsid w:val="009C0E07"/>
    <w:rsid w:val="009C0E0B"/>
    <w:rsid w:val="009C0E89"/>
    <w:rsid w:val="009C0EF5"/>
    <w:rsid w:val="009C0F19"/>
    <w:rsid w:val="009C0FC5"/>
    <w:rsid w:val="009C0FEB"/>
    <w:rsid w:val="009C10EF"/>
    <w:rsid w:val="009C10FF"/>
    <w:rsid w:val="009C118F"/>
    <w:rsid w:val="009C119D"/>
    <w:rsid w:val="009C1291"/>
    <w:rsid w:val="009C1353"/>
    <w:rsid w:val="009C13FA"/>
    <w:rsid w:val="009C1442"/>
    <w:rsid w:val="009C14C7"/>
    <w:rsid w:val="009C150D"/>
    <w:rsid w:val="009C1609"/>
    <w:rsid w:val="009C165D"/>
    <w:rsid w:val="009C168E"/>
    <w:rsid w:val="009C16DF"/>
    <w:rsid w:val="009C16EB"/>
    <w:rsid w:val="009C171D"/>
    <w:rsid w:val="009C1780"/>
    <w:rsid w:val="009C17D2"/>
    <w:rsid w:val="009C18B0"/>
    <w:rsid w:val="009C18EE"/>
    <w:rsid w:val="009C1941"/>
    <w:rsid w:val="009C1A0C"/>
    <w:rsid w:val="009C1AB0"/>
    <w:rsid w:val="009C1C55"/>
    <w:rsid w:val="009C1C85"/>
    <w:rsid w:val="009C1D27"/>
    <w:rsid w:val="009C1E27"/>
    <w:rsid w:val="009C1EC4"/>
    <w:rsid w:val="009C1EDE"/>
    <w:rsid w:val="009C1F57"/>
    <w:rsid w:val="009C1FFB"/>
    <w:rsid w:val="009C2086"/>
    <w:rsid w:val="009C20C7"/>
    <w:rsid w:val="009C20FF"/>
    <w:rsid w:val="009C213A"/>
    <w:rsid w:val="009C21E9"/>
    <w:rsid w:val="009C2304"/>
    <w:rsid w:val="009C2324"/>
    <w:rsid w:val="009C23A3"/>
    <w:rsid w:val="009C24BE"/>
    <w:rsid w:val="009C26A5"/>
    <w:rsid w:val="009C2703"/>
    <w:rsid w:val="009C27C7"/>
    <w:rsid w:val="009C27C8"/>
    <w:rsid w:val="009C27E5"/>
    <w:rsid w:val="009C27F9"/>
    <w:rsid w:val="009C28E0"/>
    <w:rsid w:val="009C2A47"/>
    <w:rsid w:val="009C2AFD"/>
    <w:rsid w:val="009C2B0B"/>
    <w:rsid w:val="009C2C2E"/>
    <w:rsid w:val="009C2C75"/>
    <w:rsid w:val="009C2C8B"/>
    <w:rsid w:val="009C2CF6"/>
    <w:rsid w:val="009C2CFF"/>
    <w:rsid w:val="009C2D2A"/>
    <w:rsid w:val="009C2E9F"/>
    <w:rsid w:val="009C2EA8"/>
    <w:rsid w:val="009C2F33"/>
    <w:rsid w:val="009C3021"/>
    <w:rsid w:val="009C307B"/>
    <w:rsid w:val="009C30DE"/>
    <w:rsid w:val="009C319A"/>
    <w:rsid w:val="009C31D4"/>
    <w:rsid w:val="009C31E0"/>
    <w:rsid w:val="009C327E"/>
    <w:rsid w:val="009C3496"/>
    <w:rsid w:val="009C3545"/>
    <w:rsid w:val="009C35AD"/>
    <w:rsid w:val="009C35D2"/>
    <w:rsid w:val="009C35DB"/>
    <w:rsid w:val="009C3615"/>
    <w:rsid w:val="009C37DE"/>
    <w:rsid w:val="009C37E7"/>
    <w:rsid w:val="009C3897"/>
    <w:rsid w:val="009C394F"/>
    <w:rsid w:val="009C3A9D"/>
    <w:rsid w:val="009C3BD9"/>
    <w:rsid w:val="009C3D71"/>
    <w:rsid w:val="009C3E06"/>
    <w:rsid w:val="009C3E24"/>
    <w:rsid w:val="009C3ED0"/>
    <w:rsid w:val="009C3FE2"/>
    <w:rsid w:val="009C43BB"/>
    <w:rsid w:val="009C43EC"/>
    <w:rsid w:val="009C43FD"/>
    <w:rsid w:val="009C442F"/>
    <w:rsid w:val="009C4444"/>
    <w:rsid w:val="009C44F3"/>
    <w:rsid w:val="009C456A"/>
    <w:rsid w:val="009C458A"/>
    <w:rsid w:val="009C45DF"/>
    <w:rsid w:val="009C45FC"/>
    <w:rsid w:val="009C4708"/>
    <w:rsid w:val="009C480A"/>
    <w:rsid w:val="009C4997"/>
    <w:rsid w:val="009C49AA"/>
    <w:rsid w:val="009C4B47"/>
    <w:rsid w:val="009C4BB9"/>
    <w:rsid w:val="009C4CEF"/>
    <w:rsid w:val="009C4D7A"/>
    <w:rsid w:val="009C4D82"/>
    <w:rsid w:val="009C4DBF"/>
    <w:rsid w:val="009C4DF2"/>
    <w:rsid w:val="009C4E20"/>
    <w:rsid w:val="009C4E59"/>
    <w:rsid w:val="009C5188"/>
    <w:rsid w:val="009C5246"/>
    <w:rsid w:val="009C5364"/>
    <w:rsid w:val="009C53C0"/>
    <w:rsid w:val="009C53EF"/>
    <w:rsid w:val="009C545D"/>
    <w:rsid w:val="009C55FC"/>
    <w:rsid w:val="009C560D"/>
    <w:rsid w:val="009C56FE"/>
    <w:rsid w:val="009C5822"/>
    <w:rsid w:val="009C5A09"/>
    <w:rsid w:val="009C5A1F"/>
    <w:rsid w:val="009C5AE6"/>
    <w:rsid w:val="009C5B20"/>
    <w:rsid w:val="009C5B58"/>
    <w:rsid w:val="009C5B82"/>
    <w:rsid w:val="009C5BC5"/>
    <w:rsid w:val="009C5C12"/>
    <w:rsid w:val="009C5C83"/>
    <w:rsid w:val="009C5D5C"/>
    <w:rsid w:val="009C5D99"/>
    <w:rsid w:val="009C5DE6"/>
    <w:rsid w:val="009C5E60"/>
    <w:rsid w:val="009C5F6A"/>
    <w:rsid w:val="009C5FED"/>
    <w:rsid w:val="009C6137"/>
    <w:rsid w:val="009C620B"/>
    <w:rsid w:val="009C628B"/>
    <w:rsid w:val="009C63E0"/>
    <w:rsid w:val="009C6642"/>
    <w:rsid w:val="009C6690"/>
    <w:rsid w:val="009C66A3"/>
    <w:rsid w:val="009C66B2"/>
    <w:rsid w:val="009C6727"/>
    <w:rsid w:val="009C6843"/>
    <w:rsid w:val="009C68E6"/>
    <w:rsid w:val="009C695C"/>
    <w:rsid w:val="009C6AD1"/>
    <w:rsid w:val="009C6C79"/>
    <w:rsid w:val="009C6CCF"/>
    <w:rsid w:val="009C6CF4"/>
    <w:rsid w:val="009C6D04"/>
    <w:rsid w:val="009C6DAB"/>
    <w:rsid w:val="009C6E03"/>
    <w:rsid w:val="009C6E65"/>
    <w:rsid w:val="009C6EF0"/>
    <w:rsid w:val="009C6FB1"/>
    <w:rsid w:val="009C6FFB"/>
    <w:rsid w:val="009C70E8"/>
    <w:rsid w:val="009C7380"/>
    <w:rsid w:val="009C73DE"/>
    <w:rsid w:val="009C7449"/>
    <w:rsid w:val="009C7496"/>
    <w:rsid w:val="009C74C4"/>
    <w:rsid w:val="009C756E"/>
    <w:rsid w:val="009C75D1"/>
    <w:rsid w:val="009C75E8"/>
    <w:rsid w:val="009C76C8"/>
    <w:rsid w:val="009C78B2"/>
    <w:rsid w:val="009C7941"/>
    <w:rsid w:val="009C7A33"/>
    <w:rsid w:val="009C7A5F"/>
    <w:rsid w:val="009C7B42"/>
    <w:rsid w:val="009C7BF2"/>
    <w:rsid w:val="009C7C11"/>
    <w:rsid w:val="009C7C19"/>
    <w:rsid w:val="009C7C8E"/>
    <w:rsid w:val="009C7CEB"/>
    <w:rsid w:val="009C7E1C"/>
    <w:rsid w:val="009C7EA5"/>
    <w:rsid w:val="009C7F14"/>
    <w:rsid w:val="009D0014"/>
    <w:rsid w:val="009D00A0"/>
    <w:rsid w:val="009D01BB"/>
    <w:rsid w:val="009D0202"/>
    <w:rsid w:val="009D0209"/>
    <w:rsid w:val="009D0235"/>
    <w:rsid w:val="009D0240"/>
    <w:rsid w:val="009D02F5"/>
    <w:rsid w:val="009D038C"/>
    <w:rsid w:val="009D03F5"/>
    <w:rsid w:val="009D0424"/>
    <w:rsid w:val="009D055E"/>
    <w:rsid w:val="009D0615"/>
    <w:rsid w:val="009D06AE"/>
    <w:rsid w:val="009D0711"/>
    <w:rsid w:val="009D0861"/>
    <w:rsid w:val="009D08B6"/>
    <w:rsid w:val="009D08D6"/>
    <w:rsid w:val="009D09B6"/>
    <w:rsid w:val="009D09F8"/>
    <w:rsid w:val="009D0ADE"/>
    <w:rsid w:val="009D0B19"/>
    <w:rsid w:val="009D0B6F"/>
    <w:rsid w:val="009D0BDD"/>
    <w:rsid w:val="009D0DDE"/>
    <w:rsid w:val="009D0DEC"/>
    <w:rsid w:val="009D0F35"/>
    <w:rsid w:val="009D0FE9"/>
    <w:rsid w:val="009D10F2"/>
    <w:rsid w:val="009D1207"/>
    <w:rsid w:val="009D1286"/>
    <w:rsid w:val="009D12AA"/>
    <w:rsid w:val="009D13FF"/>
    <w:rsid w:val="009D14CF"/>
    <w:rsid w:val="009D1564"/>
    <w:rsid w:val="009D15A3"/>
    <w:rsid w:val="009D15F8"/>
    <w:rsid w:val="009D1766"/>
    <w:rsid w:val="009D18F6"/>
    <w:rsid w:val="009D19BC"/>
    <w:rsid w:val="009D1A48"/>
    <w:rsid w:val="009D1A4E"/>
    <w:rsid w:val="009D1A87"/>
    <w:rsid w:val="009D1B7F"/>
    <w:rsid w:val="009D1B9F"/>
    <w:rsid w:val="009D1BFF"/>
    <w:rsid w:val="009D1C33"/>
    <w:rsid w:val="009D1CA4"/>
    <w:rsid w:val="009D1CA6"/>
    <w:rsid w:val="009D1CC0"/>
    <w:rsid w:val="009D1D2B"/>
    <w:rsid w:val="009D1D51"/>
    <w:rsid w:val="009D1DF0"/>
    <w:rsid w:val="009D2028"/>
    <w:rsid w:val="009D2049"/>
    <w:rsid w:val="009D20A1"/>
    <w:rsid w:val="009D20D4"/>
    <w:rsid w:val="009D2103"/>
    <w:rsid w:val="009D2144"/>
    <w:rsid w:val="009D214F"/>
    <w:rsid w:val="009D2188"/>
    <w:rsid w:val="009D21BE"/>
    <w:rsid w:val="009D22F0"/>
    <w:rsid w:val="009D2328"/>
    <w:rsid w:val="009D238B"/>
    <w:rsid w:val="009D238E"/>
    <w:rsid w:val="009D25D2"/>
    <w:rsid w:val="009D2693"/>
    <w:rsid w:val="009D26AA"/>
    <w:rsid w:val="009D26DE"/>
    <w:rsid w:val="009D26E8"/>
    <w:rsid w:val="009D2781"/>
    <w:rsid w:val="009D27D0"/>
    <w:rsid w:val="009D27F8"/>
    <w:rsid w:val="009D2832"/>
    <w:rsid w:val="009D2986"/>
    <w:rsid w:val="009D2D26"/>
    <w:rsid w:val="009D2D33"/>
    <w:rsid w:val="009D2D8B"/>
    <w:rsid w:val="009D2E0C"/>
    <w:rsid w:val="009D2EC2"/>
    <w:rsid w:val="009D3020"/>
    <w:rsid w:val="009D3073"/>
    <w:rsid w:val="009D307E"/>
    <w:rsid w:val="009D30A7"/>
    <w:rsid w:val="009D318B"/>
    <w:rsid w:val="009D31B9"/>
    <w:rsid w:val="009D321F"/>
    <w:rsid w:val="009D32F2"/>
    <w:rsid w:val="009D332B"/>
    <w:rsid w:val="009D3340"/>
    <w:rsid w:val="009D33FC"/>
    <w:rsid w:val="009D341F"/>
    <w:rsid w:val="009D35F3"/>
    <w:rsid w:val="009D3771"/>
    <w:rsid w:val="009D37DC"/>
    <w:rsid w:val="009D397A"/>
    <w:rsid w:val="009D3AD7"/>
    <w:rsid w:val="009D3B40"/>
    <w:rsid w:val="009D3BB1"/>
    <w:rsid w:val="009D3BEB"/>
    <w:rsid w:val="009D3C3D"/>
    <w:rsid w:val="009D3C68"/>
    <w:rsid w:val="009D3D1F"/>
    <w:rsid w:val="009D3D62"/>
    <w:rsid w:val="009D3EDE"/>
    <w:rsid w:val="009D3F1A"/>
    <w:rsid w:val="009D3F62"/>
    <w:rsid w:val="009D3F84"/>
    <w:rsid w:val="009D3FD9"/>
    <w:rsid w:val="009D403C"/>
    <w:rsid w:val="009D4098"/>
    <w:rsid w:val="009D40F6"/>
    <w:rsid w:val="009D4225"/>
    <w:rsid w:val="009D4308"/>
    <w:rsid w:val="009D4333"/>
    <w:rsid w:val="009D43DC"/>
    <w:rsid w:val="009D449C"/>
    <w:rsid w:val="009D44B4"/>
    <w:rsid w:val="009D4529"/>
    <w:rsid w:val="009D4791"/>
    <w:rsid w:val="009D47AA"/>
    <w:rsid w:val="009D47B4"/>
    <w:rsid w:val="009D4A63"/>
    <w:rsid w:val="009D4ABC"/>
    <w:rsid w:val="009D4BEE"/>
    <w:rsid w:val="009D4C8C"/>
    <w:rsid w:val="009D4D91"/>
    <w:rsid w:val="009D4E35"/>
    <w:rsid w:val="009D507B"/>
    <w:rsid w:val="009D50A1"/>
    <w:rsid w:val="009D5106"/>
    <w:rsid w:val="009D51C0"/>
    <w:rsid w:val="009D51C1"/>
    <w:rsid w:val="009D51E2"/>
    <w:rsid w:val="009D5203"/>
    <w:rsid w:val="009D5288"/>
    <w:rsid w:val="009D52A6"/>
    <w:rsid w:val="009D52AD"/>
    <w:rsid w:val="009D5384"/>
    <w:rsid w:val="009D53B0"/>
    <w:rsid w:val="009D544D"/>
    <w:rsid w:val="009D556D"/>
    <w:rsid w:val="009D55A2"/>
    <w:rsid w:val="009D5642"/>
    <w:rsid w:val="009D56DF"/>
    <w:rsid w:val="009D575C"/>
    <w:rsid w:val="009D58E1"/>
    <w:rsid w:val="009D594E"/>
    <w:rsid w:val="009D5955"/>
    <w:rsid w:val="009D595D"/>
    <w:rsid w:val="009D5963"/>
    <w:rsid w:val="009D5985"/>
    <w:rsid w:val="009D5A06"/>
    <w:rsid w:val="009D5CCA"/>
    <w:rsid w:val="009D5D27"/>
    <w:rsid w:val="009D5DC5"/>
    <w:rsid w:val="009D5DEE"/>
    <w:rsid w:val="009D5E6B"/>
    <w:rsid w:val="009D5F49"/>
    <w:rsid w:val="009D6059"/>
    <w:rsid w:val="009D6100"/>
    <w:rsid w:val="009D620B"/>
    <w:rsid w:val="009D62E5"/>
    <w:rsid w:val="009D6371"/>
    <w:rsid w:val="009D64C8"/>
    <w:rsid w:val="009D64C9"/>
    <w:rsid w:val="009D6517"/>
    <w:rsid w:val="009D65D5"/>
    <w:rsid w:val="009D6AB3"/>
    <w:rsid w:val="009D6B24"/>
    <w:rsid w:val="009D6B4A"/>
    <w:rsid w:val="009D6B61"/>
    <w:rsid w:val="009D6C00"/>
    <w:rsid w:val="009D6CBC"/>
    <w:rsid w:val="009D6D1E"/>
    <w:rsid w:val="009D6E07"/>
    <w:rsid w:val="009D6F6B"/>
    <w:rsid w:val="009D7040"/>
    <w:rsid w:val="009D70FF"/>
    <w:rsid w:val="009D717C"/>
    <w:rsid w:val="009D71D2"/>
    <w:rsid w:val="009D72DD"/>
    <w:rsid w:val="009D7306"/>
    <w:rsid w:val="009D73F0"/>
    <w:rsid w:val="009D7411"/>
    <w:rsid w:val="009D741C"/>
    <w:rsid w:val="009D755C"/>
    <w:rsid w:val="009D76EB"/>
    <w:rsid w:val="009D7739"/>
    <w:rsid w:val="009D77C1"/>
    <w:rsid w:val="009D7823"/>
    <w:rsid w:val="009D7856"/>
    <w:rsid w:val="009D7896"/>
    <w:rsid w:val="009D79D4"/>
    <w:rsid w:val="009D79E3"/>
    <w:rsid w:val="009D7A0B"/>
    <w:rsid w:val="009D7B5A"/>
    <w:rsid w:val="009D7D03"/>
    <w:rsid w:val="009D7E1B"/>
    <w:rsid w:val="009D7E91"/>
    <w:rsid w:val="009D7ECC"/>
    <w:rsid w:val="009D7FC7"/>
    <w:rsid w:val="009D7FE7"/>
    <w:rsid w:val="009E010C"/>
    <w:rsid w:val="009E01E4"/>
    <w:rsid w:val="009E022A"/>
    <w:rsid w:val="009E0231"/>
    <w:rsid w:val="009E0349"/>
    <w:rsid w:val="009E03E3"/>
    <w:rsid w:val="009E0415"/>
    <w:rsid w:val="009E04BD"/>
    <w:rsid w:val="009E04CE"/>
    <w:rsid w:val="009E0505"/>
    <w:rsid w:val="009E0522"/>
    <w:rsid w:val="009E05CE"/>
    <w:rsid w:val="009E05D2"/>
    <w:rsid w:val="009E0665"/>
    <w:rsid w:val="009E0714"/>
    <w:rsid w:val="009E0720"/>
    <w:rsid w:val="009E07BF"/>
    <w:rsid w:val="009E07E9"/>
    <w:rsid w:val="009E08DC"/>
    <w:rsid w:val="009E0900"/>
    <w:rsid w:val="009E0952"/>
    <w:rsid w:val="009E0991"/>
    <w:rsid w:val="009E09CC"/>
    <w:rsid w:val="009E0AAC"/>
    <w:rsid w:val="009E0B3D"/>
    <w:rsid w:val="009E0B69"/>
    <w:rsid w:val="009E0BBD"/>
    <w:rsid w:val="009E0CA8"/>
    <w:rsid w:val="009E0E30"/>
    <w:rsid w:val="009E0E44"/>
    <w:rsid w:val="009E0E94"/>
    <w:rsid w:val="009E0E97"/>
    <w:rsid w:val="009E0EC3"/>
    <w:rsid w:val="009E0FDD"/>
    <w:rsid w:val="009E106D"/>
    <w:rsid w:val="009E1096"/>
    <w:rsid w:val="009E1147"/>
    <w:rsid w:val="009E11C3"/>
    <w:rsid w:val="009E1342"/>
    <w:rsid w:val="009E1355"/>
    <w:rsid w:val="009E13B0"/>
    <w:rsid w:val="009E13E2"/>
    <w:rsid w:val="009E14AF"/>
    <w:rsid w:val="009E1539"/>
    <w:rsid w:val="009E1578"/>
    <w:rsid w:val="009E15AF"/>
    <w:rsid w:val="009E167D"/>
    <w:rsid w:val="009E18F1"/>
    <w:rsid w:val="009E1936"/>
    <w:rsid w:val="009E19EC"/>
    <w:rsid w:val="009E1A39"/>
    <w:rsid w:val="009E1A88"/>
    <w:rsid w:val="009E1AA0"/>
    <w:rsid w:val="009E1AD1"/>
    <w:rsid w:val="009E1BEF"/>
    <w:rsid w:val="009E1C6D"/>
    <w:rsid w:val="009E1D6F"/>
    <w:rsid w:val="009E1F05"/>
    <w:rsid w:val="009E1F63"/>
    <w:rsid w:val="009E1FC8"/>
    <w:rsid w:val="009E2030"/>
    <w:rsid w:val="009E204A"/>
    <w:rsid w:val="009E2061"/>
    <w:rsid w:val="009E20F1"/>
    <w:rsid w:val="009E218D"/>
    <w:rsid w:val="009E22D3"/>
    <w:rsid w:val="009E2301"/>
    <w:rsid w:val="009E232E"/>
    <w:rsid w:val="009E2362"/>
    <w:rsid w:val="009E236C"/>
    <w:rsid w:val="009E23D8"/>
    <w:rsid w:val="009E2477"/>
    <w:rsid w:val="009E257D"/>
    <w:rsid w:val="009E2644"/>
    <w:rsid w:val="009E266A"/>
    <w:rsid w:val="009E2731"/>
    <w:rsid w:val="009E275A"/>
    <w:rsid w:val="009E276F"/>
    <w:rsid w:val="009E27C4"/>
    <w:rsid w:val="009E27DC"/>
    <w:rsid w:val="009E2882"/>
    <w:rsid w:val="009E28D1"/>
    <w:rsid w:val="009E28F0"/>
    <w:rsid w:val="009E2A41"/>
    <w:rsid w:val="009E2A53"/>
    <w:rsid w:val="009E2AD3"/>
    <w:rsid w:val="009E2BFE"/>
    <w:rsid w:val="009E2C49"/>
    <w:rsid w:val="009E2C51"/>
    <w:rsid w:val="009E2CB6"/>
    <w:rsid w:val="009E2CEE"/>
    <w:rsid w:val="009E2D3E"/>
    <w:rsid w:val="009E2D46"/>
    <w:rsid w:val="009E2D52"/>
    <w:rsid w:val="009E2DF8"/>
    <w:rsid w:val="009E2E8D"/>
    <w:rsid w:val="009E2FD5"/>
    <w:rsid w:val="009E30CF"/>
    <w:rsid w:val="009E3308"/>
    <w:rsid w:val="009E331E"/>
    <w:rsid w:val="009E33CB"/>
    <w:rsid w:val="009E35FF"/>
    <w:rsid w:val="009E36A5"/>
    <w:rsid w:val="009E36EC"/>
    <w:rsid w:val="009E372D"/>
    <w:rsid w:val="009E37BA"/>
    <w:rsid w:val="009E37ED"/>
    <w:rsid w:val="009E3909"/>
    <w:rsid w:val="009E3924"/>
    <w:rsid w:val="009E39D1"/>
    <w:rsid w:val="009E3AB3"/>
    <w:rsid w:val="009E3CB8"/>
    <w:rsid w:val="009E3E6D"/>
    <w:rsid w:val="009E3E74"/>
    <w:rsid w:val="009E4130"/>
    <w:rsid w:val="009E41A8"/>
    <w:rsid w:val="009E41E6"/>
    <w:rsid w:val="009E4222"/>
    <w:rsid w:val="009E4295"/>
    <w:rsid w:val="009E4303"/>
    <w:rsid w:val="009E436F"/>
    <w:rsid w:val="009E4380"/>
    <w:rsid w:val="009E43F7"/>
    <w:rsid w:val="009E448D"/>
    <w:rsid w:val="009E44BC"/>
    <w:rsid w:val="009E44BD"/>
    <w:rsid w:val="009E44EE"/>
    <w:rsid w:val="009E462E"/>
    <w:rsid w:val="009E4685"/>
    <w:rsid w:val="009E47CD"/>
    <w:rsid w:val="009E47E5"/>
    <w:rsid w:val="009E48FA"/>
    <w:rsid w:val="009E491A"/>
    <w:rsid w:val="009E4963"/>
    <w:rsid w:val="009E499B"/>
    <w:rsid w:val="009E4CB4"/>
    <w:rsid w:val="009E4CC6"/>
    <w:rsid w:val="009E4DCD"/>
    <w:rsid w:val="009E5090"/>
    <w:rsid w:val="009E518D"/>
    <w:rsid w:val="009E5262"/>
    <w:rsid w:val="009E5315"/>
    <w:rsid w:val="009E53C0"/>
    <w:rsid w:val="009E5460"/>
    <w:rsid w:val="009E5466"/>
    <w:rsid w:val="009E55CB"/>
    <w:rsid w:val="009E56A8"/>
    <w:rsid w:val="009E583C"/>
    <w:rsid w:val="009E589D"/>
    <w:rsid w:val="009E5964"/>
    <w:rsid w:val="009E5A04"/>
    <w:rsid w:val="009E5AD5"/>
    <w:rsid w:val="009E5B40"/>
    <w:rsid w:val="009E5BB4"/>
    <w:rsid w:val="009E5C01"/>
    <w:rsid w:val="009E5E7D"/>
    <w:rsid w:val="009E5EC3"/>
    <w:rsid w:val="009E6031"/>
    <w:rsid w:val="009E608C"/>
    <w:rsid w:val="009E6122"/>
    <w:rsid w:val="009E61DA"/>
    <w:rsid w:val="009E62BD"/>
    <w:rsid w:val="009E6333"/>
    <w:rsid w:val="009E6585"/>
    <w:rsid w:val="009E662C"/>
    <w:rsid w:val="009E6696"/>
    <w:rsid w:val="009E6752"/>
    <w:rsid w:val="009E67AC"/>
    <w:rsid w:val="009E67BA"/>
    <w:rsid w:val="009E682B"/>
    <w:rsid w:val="009E683A"/>
    <w:rsid w:val="009E6873"/>
    <w:rsid w:val="009E68BC"/>
    <w:rsid w:val="009E69D8"/>
    <w:rsid w:val="009E69E8"/>
    <w:rsid w:val="009E6AA5"/>
    <w:rsid w:val="009E6B3C"/>
    <w:rsid w:val="009E6BF5"/>
    <w:rsid w:val="009E6C4D"/>
    <w:rsid w:val="009E6C87"/>
    <w:rsid w:val="009E6D1A"/>
    <w:rsid w:val="009E6D42"/>
    <w:rsid w:val="009E6E0A"/>
    <w:rsid w:val="009E6EA8"/>
    <w:rsid w:val="009E70E8"/>
    <w:rsid w:val="009E70F0"/>
    <w:rsid w:val="009E7168"/>
    <w:rsid w:val="009E7198"/>
    <w:rsid w:val="009E71FE"/>
    <w:rsid w:val="009E7230"/>
    <w:rsid w:val="009E72CA"/>
    <w:rsid w:val="009E744C"/>
    <w:rsid w:val="009E7499"/>
    <w:rsid w:val="009E74A3"/>
    <w:rsid w:val="009E7531"/>
    <w:rsid w:val="009E753D"/>
    <w:rsid w:val="009E757E"/>
    <w:rsid w:val="009E757F"/>
    <w:rsid w:val="009E7608"/>
    <w:rsid w:val="009E7725"/>
    <w:rsid w:val="009E774A"/>
    <w:rsid w:val="009E7820"/>
    <w:rsid w:val="009E7955"/>
    <w:rsid w:val="009E79B9"/>
    <w:rsid w:val="009E7A28"/>
    <w:rsid w:val="009E7AD5"/>
    <w:rsid w:val="009E7B72"/>
    <w:rsid w:val="009E7C39"/>
    <w:rsid w:val="009E7D5B"/>
    <w:rsid w:val="009E7E06"/>
    <w:rsid w:val="009E7E27"/>
    <w:rsid w:val="009E7EEB"/>
    <w:rsid w:val="009F0095"/>
    <w:rsid w:val="009F00D3"/>
    <w:rsid w:val="009F00DB"/>
    <w:rsid w:val="009F017E"/>
    <w:rsid w:val="009F034D"/>
    <w:rsid w:val="009F0403"/>
    <w:rsid w:val="009F0415"/>
    <w:rsid w:val="009F0469"/>
    <w:rsid w:val="009F0510"/>
    <w:rsid w:val="009F0561"/>
    <w:rsid w:val="009F05E4"/>
    <w:rsid w:val="009F0602"/>
    <w:rsid w:val="009F067F"/>
    <w:rsid w:val="009F078E"/>
    <w:rsid w:val="009F07F7"/>
    <w:rsid w:val="009F0840"/>
    <w:rsid w:val="009F08F4"/>
    <w:rsid w:val="009F0993"/>
    <w:rsid w:val="009F09F0"/>
    <w:rsid w:val="009F0A10"/>
    <w:rsid w:val="009F0B04"/>
    <w:rsid w:val="009F0B24"/>
    <w:rsid w:val="009F0B79"/>
    <w:rsid w:val="009F0BF7"/>
    <w:rsid w:val="009F0C47"/>
    <w:rsid w:val="009F0DF1"/>
    <w:rsid w:val="009F0E12"/>
    <w:rsid w:val="009F0E1B"/>
    <w:rsid w:val="009F0E3D"/>
    <w:rsid w:val="009F0F17"/>
    <w:rsid w:val="009F0F62"/>
    <w:rsid w:val="009F0FD5"/>
    <w:rsid w:val="009F1023"/>
    <w:rsid w:val="009F108C"/>
    <w:rsid w:val="009F1098"/>
    <w:rsid w:val="009F10CF"/>
    <w:rsid w:val="009F124A"/>
    <w:rsid w:val="009F12C6"/>
    <w:rsid w:val="009F131B"/>
    <w:rsid w:val="009F146F"/>
    <w:rsid w:val="009F1478"/>
    <w:rsid w:val="009F14B1"/>
    <w:rsid w:val="009F160F"/>
    <w:rsid w:val="009F1680"/>
    <w:rsid w:val="009F1849"/>
    <w:rsid w:val="009F18CC"/>
    <w:rsid w:val="009F1939"/>
    <w:rsid w:val="009F193F"/>
    <w:rsid w:val="009F198D"/>
    <w:rsid w:val="009F1AE8"/>
    <w:rsid w:val="009F1B07"/>
    <w:rsid w:val="009F1B32"/>
    <w:rsid w:val="009F1B65"/>
    <w:rsid w:val="009F1B86"/>
    <w:rsid w:val="009F1C06"/>
    <w:rsid w:val="009F1C22"/>
    <w:rsid w:val="009F1F0F"/>
    <w:rsid w:val="009F2122"/>
    <w:rsid w:val="009F2261"/>
    <w:rsid w:val="009F2280"/>
    <w:rsid w:val="009F23F0"/>
    <w:rsid w:val="009F24AC"/>
    <w:rsid w:val="009F24C0"/>
    <w:rsid w:val="009F259F"/>
    <w:rsid w:val="009F25A4"/>
    <w:rsid w:val="009F25AC"/>
    <w:rsid w:val="009F25EF"/>
    <w:rsid w:val="009F262F"/>
    <w:rsid w:val="009F26B5"/>
    <w:rsid w:val="009F287A"/>
    <w:rsid w:val="009F2912"/>
    <w:rsid w:val="009F2972"/>
    <w:rsid w:val="009F2B80"/>
    <w:rsid w:val="009F2BDA"/>
    <w:rsid w:val="009F2C03"/>
    <w:rsid w:val="009F2C6F"/>
    <w:rsid w:val="009F2D89"/>
    <w:rsid w:val="009F30A2"/>
    <w:rsid w:val="009F31F3"/>
    <w:rsid w:val="009F3343"/>
    <w:rsid w:val="009F3347"/>
    <w:rsid w:val="009F345B"/>
    <w:rsid w:val="009F347F"/>
    <w:rsid w:val="009F3494"/>
    <w:rsid w:val="009F361E"/>
    <w:rsid w:val="009F3718"/>
    <w:rsid w:val="009F373C"/>
    <w:rsid w:val="009F3745"/>
    <w:rsid w:val="009F377D"/>
    <w:rsid w:val="009F380C"/>
    <w:rsid w:val="009F3848"/>
    <w:rsid w:val="009F39AE"/>
    <w:rsid w:val="009F3C75"/>
    <w:rsid w:val="009F3C7C"/>
    <w:rsid w:val="009F3CE2"/>
    <w:rsid w:val="009F3DBE"/>
    <w:rsid w:val="009F3DD0"/>
    <w:rsid w:val="009F3EDE"/>
    <w:rsid w:val="009F3F45"/>
    <w:rsid w:val="009F4110"/>
    <w:rsid w:val="009F42B0"/>
    <w:rsid w:val="009F42E2"/>
    <w:rsid w:val="009F4317"/>
    <w:rsid w:val="009F4380"/>
    <w:rsid w:val="009F441D"/>
    <w:rsid w:val="009F443B"/>
    <w:rsid w:val="009F4461"/>
    <w:rsid w:val="009F446A"/>
    <w:rsid w:val="009F44B1"/>
    <w:rsid w:val="009F4544"/>
    <w:rsid w:val="009F456F"/>
    <w:rsid w:val="009F4662"/>
    <w:rsid w:val="009F467A"/>
    <w:rsid w:val="009F47AC"/>
    <w:rsid w:val="009F48A3"/>
    <w:rsid w:val="009F48B8"/>
    <w:rsid w:val="009F48C8"/>
    <w:rsid w:val="009F499A"/>
    <w:rsid w:val="009F4B59"/>
    <w:rsid w:val="009F4D4F"/>
    <w:rsid w:val="009F4D63"/>
    <w:rsid w:val="009F4DD9"/>
    <w:rsid w:val="009F4E5C"/>
    <w:rsid w:val="009F4EC8"/>
    <w:rsid w:val="009F5000"/>
    <w:rsid w:val="009F5163"/>
    <w:rsid w:val="009F5338"/>
    <w:rsid w:val="009F566F"/>
    <w:rsid w:val="009F569D"/>
    <w:rsid w:val="009F575F"/>
    <w:rsid w:val="009F58D2"/>
    <w:rsid w:val="009F58E7"/>
    <w:rsid w:val="009F5986"/>
    <w:rsid w:val="009F59F7"/>
    <w:rsid w:val="009F5A1B"/>
    <w:rsid w:val="009F5A34"/>
    <w:rsid w:val="009F5A70"/>
    <w:rsid w:val="009F5B21"/>
    <w:rsid w:val="009F5C1E"/>
    <w:rsid w:val="009F5D06"/>
    <w:rsid w:val="009F5FF9"/>
    <w:rsid w:val="009F6024"/>
    <w:rsid w:val="009F6026"/>
    <w:rsid w:val="009F605C"/>
    <w:rsid w:val="009F60C9"/>
    <w:rsid w:val="009F60CA"/>
    <w:rsid w:val="009F6241"/>
    <w:rsid w:val="009F6267"/>
    <w:rsid w:val="009F64D5"/>
    <w:rsid w:val="009F64D7"/>
    <w:rsid w:val="009F65EB"/>
    <w:rsid w:val="009F6607"/>
    <w:rsid w:val="009F6697"/>
    <w:rsid w:val="009F6804"/>
    <w:rsid w:val="009F68C4"/>
    <w:rsid w:val="009F68FC"/>
    <w:rsid w:val="009F69DB"/>
    <w:rsid w:val="009F6A32"/>
    <w:rsid w:val="009F6A54"/>
    <w:rsid w:val="009F6B72"/>
    <w:rsid w:val="009F6B96"/>
    <w:rsid w:val="009F6BE4"/>
    <w:rsid w:val="009F6C47"/>
    <w:rsid w:val="009F6E08"/>
    <w:rsid w:val="009F6F1F"/>
    <w:rsid w:val="009F70B5"/>
    <w:rsid w:val="009F7328"/>
    <w:rsid w:val="009F7385"/>
    <w:rsid w:val="009F7430"/>
    <w:rsid w:val="009F7497"/>
    <w:rsid w:val="009F758D"/>
    <w:rsid w:val="009F760D"/>
    <w:rsid w:val="009F762D"/>
    <w:rsid w:val="009F7A29"/>
    <w:rsid w:val="009F7B15"/>
    <w:rsid w:val="009F7BD7"/>
    <w:rsid w:val="009F7BE0"/>
    <w:rsid w:val="009F7E21"/>
    <w:rsid w:val="009F7E24"/>
    <w:rsid w:val="009F7E57"/>
    <w:rsid w:val="009F7EA7"/>
    <w:rsid w:val="009F7EC2"/>
    <w:rsid w:val="00A00194"/>
    <w:rsid w:val="00A001AB"/>
    <w:rsid w:val="00A001F3"/>
    <w:rsid w:val="00A0024E"/>
    <w:rsid w:val="00A0029D"/>
    <w:rsid w:val="00A00310"/>
    <w:rsid w:val="00A00333"/>
    <w:rsid w:val="00A00373"/>
    <w:rsid w:val="00A0037E"/>
    <w:rsid w:val="00A003E7"/>
    <w:rsid w:val="00A0062A"/>
    <w:rsid w:val="00A006C9"/>
    <w:rsid w:val="00A00780"/>
    <w:rsid w:val="00A007F2"/>
    <w:rsid w:val="00A00903"/>
    <w:rsid w:val="00A009DE"/>
    <w:rsid w:val="00A009F3"/>
    <w:rsid w:val="00A00BF5"/>
    <w:rsid w:val="00A00C14"/>
    <w:rsid w:val="00A00D86"/>
    <w:rsid w:val="00A0105B"/>
    <w:rsid w:val="00A01081"/>
    <w:rsid w:val="00A010DA"/>
    <w:rsid w:val="00A011FF"/>
    <w:rsid w:val="00A01238"/>
    <w:rsid w:val="00A012C2"/>
    <w:rsid w:val="00A01303"/>
    <w:rsid w:val="00A01421"/>
    <w:rsid w:val="00A014D3"/>
    <w:rsid w:val="00A015A0"/>
    <w:rsid w:val="00A01636"/>
    <w:rsid w:val="00A01665"/>
    <w:rsid w:val="00A016FD"/>
    <w:rsid w:val="00A017E6"/>
    <w:rsid w:val="00A01858"/>
    <w:rsid w:val="00A01960"/>
    <w:rsid w:val="00A019B8"/>
    <w:rsid w:val="00A01A11"/>
    <w:rsid w:val="00A01A94"/>
    <w:rsid w:val="00A01AB0"/>
    <w:rsid w:val="00A01C4F"/>
    <w:rsid w:val="00A01C53"/>
    <w:rsid w:val="00A01C71"/>
    <w:rsid w:val="00A01CA6"/>
    <w:rsid w:val="00A01CA8"/>
    <w:rsid w:val="00A01D3D"/>
    <w:rsid w:val="00A01D93"/>
    <w:rsid w:val="00A01DCC"/>
    <w:rsid w:val="00A01E54"/>
    <w:rsid w:val="00A01ED1"/>
    <w:rsid w:val="00A01ED5"/>
    <w:rsid w:val="00A02067"/>
    <w:rsid w:val="00A02078"/>
    <w:rsid w:val="00A020B6"/>
    <w:rsid w:val="00A021EC"/>
    <w:rsid w:val="00A02250"/>
    <w:rsid w:val="00A022C5"/>
    <w:rsid w:val="00A0243E"/>
    <w:rsid w:val="00A024B2"/>
    <w:rsid w:val="00A02595"/>
    <w:rsid w:val="00A025C6"/>
    <w:rsid w:val="00A026AB"/>
    <w:rsid w:val="00A026E2"/>
    <w:rsid w:val="00A02863"/>
    <w:rsid w:val="00A028CF"/>
    <w:rsid w:val="00A028E3"/>
    <w:rsid w:val="00A0294F"/>
    <w:rsid w:val="00A02A6A"/>
    <w:rsid w:val="00A02B41"/>
    <w:rsid w:val="00A02B60"/>
    <w:rsid w:val="00A02B8C"/>
    <w:rsid w:val="00A02BC4"/>
    <w:rsid w:val="00A02C1C"/>
    <w:rsid w:val="00A02C30"/>
    <w:rsid w:val="00A02C4F"/>
    <w:rsid w:val="00A02DCA"/>
    <w:rsid w:val="00A02E7C"/>
    <w:rsid w:val="00A02F09"/>
    <w:rsid w:val="00A02F4E"/>
    <w:rsid w:val="00A02F62"/>
    <w:rsid w:val="00A03028"/>
    <w:rsid w:val="00A03058"/>
    <w:rsid w:val="00A030F6"/>
    <w:rsid w:val="00A0312B"/>
    <w:rsid w:val="00A0333C"/>
    <w:rsid w:val="00A0352A"/>
    <w:rsid w:val="00A035A3"/>
    <w:rsid w:val="00A036AA"/>
    <w:rsid w:val="00A03842"/>
    <w:rsid w:val="00A0390D"/>
    <w:rsid w:val="00A03947"/>
    <w:rsid w:val="00A039A3"/>
    <w:rsid w:val="00A03A05"/>
    <w:rsid w:val="00A03A08"/>
    <w:rsid w:val="00A03AE0"/>
    <w:rsid w:val="00A03B64"/>
    <w:rsid w:val="00A03BAD"/>
    <w:rsid w:val="00A03C5F"/>
    <w:rsid w:val="00A03C76"/>
    <w:rsid w:val="00A03CDA"/>
    <w:rsid w:val="00A03DCB"/>
    <w:rsid w:val="00A03DFE"/>
    <w:rsid w:val="00A03EF0"/>
    <w:rsid w:val="00A03F0E"/>
    <w:rsid w:val="00A04099"/>
    <w:rsid w:val="00A040AB"/>
    <w:rsid w:val="00A040F8"/>
    <w:rsid w:val="00A041D3"/>
    <w:rsid w:val="00A0464E"/>
    <w:rsid w:val="00A048F9"/>
    <w:rsid w:val="00A04900"/>
    <w:rsid w:val="00A0496D"/>
    <w:rsid w:val="00A04A09"/>
    <w:rsid w:val="00A04AC2"/>
    <w:rsid w:val="00A04B97"/>
    <w:rsid w:val="00A04C09"/>
    <w:rsid w:val="00A04C21"/>
    <w:rsid w:val="00A04C5A"/>
    <w:rsid w:val="00A04CD4"/>
    <w:rsid w:val="00A04DF3"/>
    <w:rsid w:val="00A04E38"/>
    <w:rsid w:val="00A04FD6"/>
    <w:rsid w:val="00A05038"/>
    <w:rsid w:val="00A050F9"/>
    <w:rsid w:val="00A0524A"/>
    <w:rsid w:val="00A05306"/>
    <w:rsid w:val="00A05347"/>
    <w:rsid w:val="00A053C6"/>
    <w:rsid w:val="00A053F9"/>
    <w:rsid w:val="00A05407"/>
    <w:rsid w:val="00A0548F"/>
    <w:rsid w:val="00A054F3"/>
    <w:rsid w:val="00A0550A"/>
    <w:rsid w:val="00A05590"/>
    <w:rsid w:val="00A05664"/>
    <w:rsid w:val="00A056D2"/>
    <w:rsid w:val="00A056DB"/>
    <w:rsid w:val="00A057C9"/>
    <w:rsid w:val="00A05821"/>
    <w:rsid w:val="00A0587A"/>
    <w:rsid w:val="00A058C1"/>
    <w:rsid w:val="00A05958"/>
    <w:rsid w:val="00A0596B"/>
    <w:rsid w:val="00A05C88"/>
    <w:rsid w:val="00A05D1D"/>
    <w:rsid w:val="00A05D4A"/>
    <w:rsid w:val="00A05E1A"/>
    <w:rsid w:val="00A05E98"/>
    <w:rsid w:val="00A05EA2"/>
    <w:rsid w:val="00A05ECD"/>
    <w:rsid w:val="00A05EF4"/>
    <w:rsid w:val="00A06077"/>
    <w:rsid w:val="00A060DA"/>
    <w:rsid w:val="00A0615C"/>
    <w:rsid w:val="00A06308"/>
    <w:rsid w:val="00A0635D"/>
    <w:rsid w:val="00A063B4"/>
    <w:rsid w:val="00A063C8"/>
    <w:rsid w:val="00A06426"/>
    <w:rsid w:val="00A0643C"/>
    <w:rsid w:val="00A06486"/>
    <w:rsid w:val="00A064B6"/>
    <w:rsid w:val="00A06518"/>
    <w:rsid w:val="00A065E6"/>
    <w:rsid w:val="00A06639"/>
    <w:rsid w:val="00A066DC"/>
    <w:rsid w:val="00A068A6"/>
    <w:rsid w:val="00A068CF"/>
    <w:rsid w:val="00A06924"/>
    <w:rsid w:val="00A06A8A"/>
    <w:rsid w:val="00A06AAA"/>
    <w:rsid w:val="00A06DC5"/>
    <w:rsid w:val="00A06DE0"/>
    <w:rsid w:val="00A06DEA"/>
    <w:rsid w:val="00A06E17"/>
    <w:rsid w:val="00A06E1D"/>
    <w:rsid w:val="00A06E46"/>
    <w:rsid w:val="00A06E98"/>
    <w:rsid w:val="00A06F22"/>
    <w:rsid w:val="00A06F43"/>
    <w:rsid w:val="00A06FB2"/>
    <w:rsid w:val="00A06FC9"/>
    <w:rsid w:val="00A0700B"/>
    <w:rsid w:val="00A0703E"/>
    <w:rsid w:val="00A07124"/>
    <w:rsid w:val="00A071E8"/>
    <w:rsid w:val="00A0721B"/>
    <w:rsid w:val="00A072E0"/>
    <w:rsid w:val="00A07337"/>
    <w:rsid w:val="00A074BF"/>
    <w:rsid w:val="00A07502"/>
    <w:rsid w:val="00A0753A"/>
    <w:rsid w:val="00A0754B"/>
    <w:rsid w:val="00A07581"/>
    <w:rsid w:val="00A07595"/>
    <w:rsid w:val="00A075B8"/>
    <w:rsid w:val="00A076CC"/>
    <w:rsid w:val="00A07709"/>
    <w:rsid w:val="00A0793A"/>
    <w:rsid w:val="00A079BA"/>
    <w:rsid w:val="00A079C2"/>
    <w:rsid w:val="00A07A4D"/>
    <w:rsid w:val="00A07A57"/>
    <w:rsid w:val="00A07A8F"/>
    <w:rsid w:val="00A07CC3"/>
    <w:rsid w:val="00A07E09"/>
    <w:rsid w:val="00A07F45"/>
    <w:rsid w:val="00A07F5F"/>
    <w:rsid w:val="00A10033"/>
    <w:rsid w:val="00A10063"/>
    <w:rsid w:val="00A100D9"/>
    <w:rsid w:val="00A10515"/>
    <w:rsid w:val="00A1068E"/>
    <w:rsid w:val="00A106B8"/>
    <w:rsid w:val="00A1076E"/>
    <w:rsid w:val="00A107FD"/>
    <w:rsid w:val="00A1088E"/>
    <w:rsid w:val="00A108CB"/>
    <w:rsid w:val="00A108DA"/>
    <w:rsid w:val="00A108F9"/>
    <w:rsid w:val="00A10A48"/>
    <w:rsid w:val="00A10AC3"/>
    <w:rsid w:val="00A10B14"/>
    <w:rsid w:val="00A10BE3"/>
    <w:rsid w:val="00A10D3B"/>
    <w:rsid w:val="00A10E29"/>
    <w:rsid w:val="00A10E4F"/>
    <w:rsid w:val="00A10EE3"/>
    <w:rsid w:val="00A10F72"/>
    <w:rsid w:val="00A10F9F"/>
    <w:rsid w:val="00A11080"/>
    <w:rsid w:val="00A111B7"/>
    <w:rsid w:val="00A114B1"/>
    <w:rsid w:val="00A11547"/>
    <w:rsid w:val="00A1156D"/>
    <w:rsid w:val="00A115E5"/>
    <w:rsid w:val="00A1163D"/>
    <w:rsid w:val="00A1163F"/>
    <w:rsid w:val="00A1165C"/>
    <w:rsid w:val="00A11681"/>
    <w:rsid w:val="00A117D6"/>
    <w:rsid w:val="00A1181A"/>
    <w:rsid w:val="00A1182D"/>
    <w:rsid w:val="00A11837"/>
    <w:rsid w:val="00A11899"/>
    <w:rsid w:val="00A1189C"/>
    <w:rsid w:val="00A11924"/>
    <w:rsid w:val="00A11960"/>
    <w:rsid w:val="00A11976"/>
    <w:rsid w:val="00A119C0"/>
    <w:rsid w:val="00A11A60"/>
    <w:rsid w:val="00A11ABA"/>
    <w:rsid w:val="00A11AC8"/>
    <w:rsid w:val="00A11B06"/>
    <w:rsid w:val="00A11B35"/>
    <w:rsid w:val="00A11BA1"/>
    <w:rsid w:val="00A11BA3"/>
    <w:rsid w:val="00A11CF9"/>
    <w:rsid w:val="00A11DFC"/>
    <w:rsid w:val="00A11E0A"/>
    <w:rsid w:val="00A11E54"/>
    <w:rsid w:val="00A11EE1"/>
    <w:rsid w:val="00A12046"/>
    <w:rsid w:val="00A121D7"/>
    <w:rsid w:val="00A12224"/>
    <w:rsid w:val="00A12331"/>
    <w:rsid w:val="00A123AC"/>
    <w:rsid w:val="00A123BD"/>
    <w:rsid w:val="00A124BD"/>
    <w:rsid w:val="00A124FE"/>
    <w:rsid w:val="00A1250C"/>
    <w:rsid w:val="00A1257A"/>
    <w:rsid w:val="00A125D6"/>
    <w:rsid w:val="00A12632"/>
    <w:rsid w:val="00A126D1"/>
    <w:rsid w:val="00A12759"/>
    <w:rsid w:val="00A1278E"/>
    <w:rsid w:val="00A127B3"/>
    <w:rsid w:val="00A127C4"/>
    <w:rsid w:val="00A127FA"/>
    <w:rsid w:val="00A1290B"/>
    <w:rsid w:val="00A129E8"/>
    <w:rsid w:val="00A12B71"/>
    <w:rsid w:val="00A12B91"/>
    <w:rsid w:val="00A12C72"/>
    <w:rsid w:val="00A12D3F"/>
    <w:rsid w:val="00A12D80"/>
    <w:rsid w:val="00A12ECC"/>
    <w:rsid w:val="00A12FBA"/>
    <w:rsid w:val="00A1302D"/>
    <w:rsid w:val="00A13073"/>
    <w:rsid w:val="00A130DE"/>
    <w:rsid w:val="00A130ED"/>
    <w:rsid w:val="00A1330E"/>
    <w:rsid w:val="00A13363"/>
    <w:rsid w:val="00A1391C"/>
    <w:rsid w:val="00A1397B"/>
    <w:rsid w:val="00A13ACD"/>
    <w:rsid w:val="00A13C57"/>
    <w:rsid w:val="00A13DF7"/>
    <w:rsid w:val="00A13E46"/>
    <w:rsid w:val="00A13E47"/>
    <w:rsid w:val="00A13E4B"/>
    <w:rsid w:val="00A13F4A"/>
    <w:rsid w:val="00A13FCA"/>
    <w:rsid w:val="00A14002"/>
    <w:rsid w:val="00A140DF"/>
    <w:rsid w:val="00A1411C"/>
    <w:rsid w:val="00A14428"/>
    <w:rsid w:val="00A1443B"/>
    <w:rsid w:val="00A144BE"/>
    <w:rsid w:val="00A14507"/>
    <w:rsid w:val="00A1453B"/>
    <w:rsid w:val="00A14554"/>
    <w:rsid w:val="00A1457B"/>
    <w:rsid w:val="00A145AC"/>
    <w:rsid w:val="00A14658"/>
    <w:rsid w:val="00A14707"/>
    <w:rsid w:val="00A1473D"/>
    <w:rsid w:val="00A14875"/>
    <w:rsid w:val="00A1493E"/>
    <w:rsid w:val="00A149C7"/>
    <w:rsid w:val="00A14A51"/>
    <w:rsid w:val="00A14A88"/>
    <w:rsid w:val="00A14AFB"/>
    <w:rsid w:val="00A14BB2"/>
    <w:rsid w:val="00A14C01"/>
    <w:rsid w:val="00A14C3E"/>
    <w:rsid w:val="00A14E53"/>
    <w:rsid w:val="00A14E95"/>
    <w:rsid w:val="00A14EB7"/>
    <w:rsid w:val="00A14F0B"/>
    <w:rsid w:val="00A1506F"/>
    <w:rsid w:val="00A15081"/>
    <w:rsid w:val="00A150B0"/>
    <w:rsid w:val="00A150C1"/>
    <w:rsid w:val="00A15186"/>
    <w:rsid w:val="00A15204"/>
    <w:rsid w:val="00A15379"/>
    <w:rsid w:val="00A153CF"/>
    <w:rsid w:val="00A153D4"/>
    <w:rsid w:val="00A1544B"/>
    <w:rsid w:val="00A1555A"/>
    <w:rsid w:val="00A15580"/>
    <w:rsid w:val="00A1560A"/>
    <w:rsid w:val="00A1571D"/>
    <w:rsid w:val="00A15727"/>
    <w:rsid w:val="00A15878"/>
    <w:rsid w:val="00A15BFB"/>
    <w:rsid w:val="00A15C3A"/>
    <w:rsid w:val="00A15C50"/>
    <w:rsid w:val="00A15D6F"/>
    <w:rsid w:val="00A15D79"/>
    <w:rsid w:val="00A15D7A"/>
    <w:rsid w:val="00A15F55"/>
    <w:rsid w:val="00A15F58"/>
    <w:rsid w:val="00A160DD"/>
    <w:rsid w:val="00A1612E"/>
    <w:rsid w:val="00A16176"/>
    <w:rsid w:val="00A16199"/>
    <w:rsid w:val="00A161D0"/>
    <w:rsid w:val="00A163D7"/>
    <w:rsid w:val="00A16449"/>
    <w:rsid w:val="00A1644D"/>
    <w:rsid w:val="00A16562"/>
    <w:rsid w:val="00A16690"/>
    <w:rsid w:val="00A166C3"/>
    <w:rsid w:val="00A1681E"/>
    <w:rsid w:val="00A1695E"/>
    <w:rsid w:val="00A16A7D"/>
    <w:rsid w:val="00A16AE9"/>
    <w:rsid w:val="00A16C72"/>
    <w:rsid w:val="00A16E6D"/>
    <w:rsid w:val="00A16E99"/>
    <w:rsid w:val="00A16EDE"/>
    <w:rsid w:val="00A16FEF"/>
    <w:rsid w:val="00A1704A"/>
    <w:rsid w:val="00A1712E"/>
    <w:rsid w:val="00A171AC"/>
    <w:rsid w:val="00A171CB"/>
    <w:rsid w:val="00A171F1"/>
    <w:rsid w:val="00A172F5"/>
    <w:rsid w:val="00A17390"/>
    <w:rsid w:val="00A17475"/>
    <w:rsid w:val="00A174A6"/>
    <w:rsid w:val="00A17541"/>
    <w:rsid w:val="00A17571"/>
    <w:rsid w:val="00A175FC"/>
    <w:rsid w:val="00A176B5"/>
    <w:rsid w:val="00A17777"/>
    <w:rsid w:val="00A177DE"/>
    <w:rsid w:val="00A1797E"/>
    <w:rsid w:val="00A17A4F"/>
    <w:rsid w:val="00A17A74"/>
    <w:rsid w:val="00A17B60"/>
    <w:rsid w:val="00A17B88"/>
    <w:rsid w:val="00A17BCC"/>
    <w:rsid w:val="00A17C1B"/>
    <w:rsid w:val="00A17C4B"/>
    <w:rsid w:val="00A17D48"/>
    <w:rsid w:val="00A17D58"/>
    <w:rsid w:val="00A17D5E"/>
    <w:rsid w:val="00A17D9E"/>
    <w:rsid w:val="00A17DD0"/>
    <w:rsid w:val="00A17E1F"/>
    <w:rsid w:val="00A17E53"/>
    <w:rsid w:val="00A17FB3"/>
    <w:rsid w:val="00A20062"/>
    <w:rsid w:val="00A200C6"/>
    <w:rsid w:val="00A2014F"/>
    <w:rsid w:val="00A2015E"/>
    <w:rsid w:val="00A201C1"/>
    <w:rsid w:val="00A202CF"/>
    <w:rsid w:val="00A20324"/>
    <w:rsid w:val="00A2032D"/>
    <w:rsid w:val="00A2034F"/>
    <w:rsid w:val="00A20392"/>
    <w:rsid w:val="00A203E1"/>
    <w:rsid w:val="00A2045E"/>
    <w:rsid w:val="00A204B9"/>
    <w:rsid w:val="00A204D8"/>
    <w:rsid w:val="00A204EB"/>
    <w:rsid w:val="00A204F1"/>
    <w:rsid w:val="00A20512"/>
    <w:rsid w:val="00A2065E"/>
    <w:rsid w:val="00A2069C"/>
    <w:rsid w:val="00A206BB"/>
    <w:rsid w:val="00A206CD"/>
    <w:rsid w:val="00A2070D"/>
    <w:rsid w:val="00A2076D"/>
    <w:rsid w:val="00A20807"/>
    <w:rsid w:val="00A20827"/>
    <w:rsid w:val="00A2082D"/>
    <w:rsid w:val="00A208F7"/>
    <w:rsid w:val="00A20941"/>
    <w:rsid w:val="00A209DC"/>
    <w:rsid w:val="00A20A6B"/>
    <w:rsid w:val="00A20BB7"/>
    <w:rsid w:val="00A20BE2"/>
    <w:rsid w:val="00A20C62"/>
    <w:rsid w:val="00A20C75"/>
    <w:rsid w:val="00A20CBA"/>
    <w:rsid w:val="00A20D07"/>
    <w:rsid w:val="00A20D23"/>
    <w:rsid w:val="00A20D25"/>
    <w:rsid w:val="00A20DE4"/>
    <w:rsid w:val="00A20E8A"/>
    <w:rsid w:val="00A210AE"/>
    <w:rsid w:val="00A21101"/>
    <w:rsid w:val="00A21133"/>
    <w:rsid w:val="00A21143"/>
    <w:rsid w:val="00A21235"/>
    <w:rsid w:val="00A212E9"/>
    <w:rsid w:val="00A212FB"/>
    <w:rsid w:val="00A21473"/>
    <w:rsid w:val="00A214B6"/>
    <w:rsid w:val="00A21503"/>
    <w:rsid w:val="00A2152B"/>
    <w:rsid w:val="00A21558"/>
    <w:rsid w:val="00A21582"/>
    <w:rsid w:val="00A2166F"/>
    <w:rsid w:val="00A2196F"/>
    <w:rsid w:val="00A219AA"/>
    <w:rsid w:val="00A219D2"/>
    <w:rsid w:val="00A219D4"/>
    <w:rsid w:val="00A219F9"/>
    <w:rsid w:val="00A21A6B"/>
    <w:rsid w:val="00A21B78"/>
    <w:rsid w:val="00A21C43"/>
    <w:rsid w:val="00A21C65"/>
    <w:rsid w:val="00A21C82"/>
    <w:rsid w:val="00A21D9F"/>
    <w:rsid w:val="00A21DAC"/>
    <w:rsid w:val="00A21E43"/>
    <w:rsid w:val="00A21EE6"/>
    <w:rsid w:val="00A21EFC"/>
    <w:rsid w:val="00A2200F"/>
    <w:rsid w:val="00A2206D"/>
    <w:rsid w:val="00A22289"/>
    <w:rsid w:val="00A222A2"/>
    <w:rsid w:val="00A222E5"/>
    <w:rsid w:val="00A22352"/>
    <w:rsid w:val="00A223B7"/>
    <w:rsid w:val="00A22434"/>
    <w:rsid w:val="00A224AA"/>
    <w:rsid w:val="00A224D0"/>
    <w:rsid w:val="00A22623"/>
    <w:rsid w:val="00A2262B"/>
    <w:rsid w:val="00A2263B"/>
    <w:rsid w:val="00A227A7"/>
    <w:rsid w:val="00A227D4"/>
    <w:rsid w:val="00A22865"/>
    <w:rsid w:val="00A2286F"/>
    <w:rsid w:val="00A22880"/>
    <w:rsid w:val="00A22971"/>
    <w:rsid w:val="00A2298F"/>
    <w:rsid w:val="00A229BD"/>
    <w:rsid w:val="00A22B24"/>
    <w:rsid w:val="00A22B96"/>
    <w:rsid w:val="00A22BA9"/>
    <w:rsid w:val="00A22C01"/>
    <w:rsid w:val="00A22C2F"/>
    <w:rsid w:val="00A22CF4"/>
    <w:rsid w:val="00A22D64"/>
    <w:rsid w:val="00A22EFC"/>
    <w:rsid w:val="00A22F49"/>
    <w:rsid w:val="00A22F6D"/>
    <w:rsid w:val="00A230DE"/>
    <w:rsid w:val="00A230E0"/>
    <w:rsid w:val="00A23174"/>
    <w:rsid w:val="00A231FA"/>
    <w:rsid w:val="00A23203"/>
    <w:rsid w:val="00A23251"/>
    <w:rsid w:val="00A2326E"/>
    <w:rsid w:val="00A2329D"/>
    <w:rsid w:val="00A23351"/>
    <w:rsid w:val="00A233AC"/>
    <w:rsid w:val="00A2343F"/>
    <w:rsid w:val="00A234B0"/>
    <w:rsid w:val="00A234DA"/>
    <w:rsid w:val="00A234E8"/>
    <w:rsid w:val="00A2357B"/>
    <w:rsid w:val="00A235F6"/>
    <w:rsid w:val="00A236AB"/>
    <w:rsid w:val="00A236B7"/>
    <w:rsid w:val="00A236C0"/>
    <w:rsid w:val="00A23743"/>
    <w:rsid w:val="00A23760"/>
    <w:rsid w:val="00A2390D"/>
    <w:rsid w:val="00A239B9"/>
    <w:rsid w:val="00A23D95"/>
    <w:rsid w:val="00A23E5D"/>
    <w:rsid w:val="00A23F0D"/>
    <w:rsid w:val="00A23F89"/>
    <w:rsid w:val="00A24368"/>
    <w:rsid w:val="00A24611"/>
    <w:rsid w:val="00A2465F"/>
    <w:rsid w:val="00A24714"/>
    <w:rsid w:val="00A248E1"/>
    <w:rsid w:val="00A249E7"/>
    <w:rsid w:val="00A24A78"/>
    <w:rsid w:val="00A24AE9"/>
    <w:rsid w:val="00A24B15"/>
    <w:rsid w:val="00A24B35"/>
    <w:rsid w:val="00A24CA8"/>
    <w:rsid w:val="00A24CB3"/>
    <w:rsid w:val="00A24CB5"/>
    <w:rsid w:val="00A24CCD"/>
    <w:rsid w:val="00A24CE6"/>
    <w:rsid w:val="00A24D07"/>
    <w:rsid w:val="00A24D8A"/>
    <w:rsid w:val="00A24DAE"/>
    <w:rsid w:val="00A24E4D"/>
    <w:rsid w:val="00A24E61"/>
    <w:rsid w:val="00A24EAE"/>
    <w:rsid w:val="00A24F5C"/>
    <w:rsid w:val="00A24FCC"/>
    <w:rsid w:val="00A2515F"/>
    <w:rsid w:val="00A2516E"/>
    <w:rsid w:val="00A25838"/>
    <w:rsid w:val="00A25867"/>
    <w:rsid w:val="00A25885"/>
    <w:rsid w:val="00A258E1"/>
    <w:rsid w:val="00A25940"/>
    <w:rsid w:val="00A25986"/>
    <w:rsid w:val="00A259FC"/>
    <w:rsid w:val="00A25A8A"/>
    <w:rsid w:val="00A25D08"/>
    <w:rsid w:val="00A25D30"/>
    <w:rsid w:val="00A25E13"/>
    <w:rsid w:val="00A25E34"/>
    <w:rsid w:val="00A25F89"/>
    <w:rsid w:val="00A25FE6"/>
    <w:rsid w:val="00A2605D"/>
    <w:rsid w:val="00A26062"/>
    <w:rsid w:val="00A26090"/>
    <w:rsid w:val="00A26130"/>
    <w:rsid w:val="00A26255"/>
    <w:rsid w:val="00A26336"/>
    <w:rsid w:val="00A26387"/>
    <w:rsid w:val="00A26388"/>
    <w:rsid w:val="00A26389"/>
    <w:rsid w:val="00A263E3"/>
    <w:rsid w:val="00A264D1"/>
    <w:rsid w:val="00A26514"/>
    <w:rsid w:val="00A2658A"/>
    <w:rsid w:val="00A2658B"/>
    <w:rsid w:val="00A2660B"/>
    <w:rsid w:val="00A26761"/>
    <w:rsid w:val="00A2676A"/>
    <w:rsid w:val="00A267BF"/>
    <w:rsid w:val="00A2697D"/>
    <w:rsid w:val="00A26A10"/>
    <w:rsid w:val="00A26A27"/>
    <w:rsid w:val="00A26A9E"/>
    <w:rsid w:val="00A26AB3"/>
    <w:rsid w:val="00A26AD8"/>
    <w:rsid w:val="00A26D90"/>
    <w:rsid w:val="00A26DDA"/>
    <w:rsid w:val="00A26E54"/>
    <w:rsid w:val="00A26E9D"/>
    <w:rsid w:val="00A26F5F"/>
    <w:rsid w:val="00A27062"/>
    <w:rsid w:val="00A27149"/>
    <w:rsid w:val="00A27155"/>
    <w:rsid w:val="00A27226"/>
    <w:rsid w:val="00A27232"/>
    <w:rsid w:val="00A272C3"/>
    <w:rsid w:val="00A272E1"/>
    <w:rsid w:val="00A2737B"/>
    <w:rsid w:val="00A273E7"/>
    <w:rsid w:val="00A2740C"/>
    <w:rsid w:val="00A2747B"/>
    <w:rsid w:val="00A27615"/>
    <w:rsid w:val="00A276D6"/>
    <w:rsid w:val="00A276D7"/>
    <w:rsid w:val="00A27788"/>
    <w:rsid w:val="00A2788E"/>
    <w:rsid w:val="00A27933"/>
    <w:rsid w:val="00A2797A"/>
    <w:rsid w:val="00A279E5"/>
    <w:rsid w:val="00A27AF7"/>
    <w:rsid w:val="00A27BA8"/>
    <w:rsid w:val="00A27BB7"/>
    <w:rsid w:val="00A27BD7"/>
    <w:rsid w:val="00A27CA4"/>
    <w:rsid w:val="00A27CE7"/>
    <w:rsid w:val="00A27D01"/>
    <w:rsid w:val="00A27D03"/>
    <w:rsid w:val="00A27D20"/>
    <w:rsid w:val="00A27D88"/>
    <w:rsid w:val="00A27EC4"/>
    <w:rsid w:val="00A27F94"/>
    <w:rsid w:val="00A300D8"/>
    <w:rsid w:val="00A300DD"/>
    <w:rsid w:val="00A3014B"/>
    <w:rsid w:val="00A30163"/>
    <w:rsid w:val="00A30184"/>
    <w:rsid w:val="00A30320"/>
    <w:rsid w:val="00A3038E"/>
    <w:rsid w:val="00A303B8"/>
    <w:rsid w:val="00A303BC"/>
    <w:rsid w:val="00A303BF"/>
    <w:rsid w:val="00A30422"/>
    <w:rsid w:val="00A3060C"/>
    <w:rsid w:val="00A306E4"/>
    <w:rsid w:val="00A306FE"/>
    <w:rsid w:val="00A307D9"/>
    <w:rsid w:val="00A30860"/>
    <w:rsid w:val="00A308C7"/>
    <w:rsid w:val="00A308E4"/>
    <w:rsid w:val="00A309D9"/>
    <w:rsid w:val="00A30A02"/>
    <w:rsid w:val="00A30B02"/>
    <w:rsid w:val="00A30B26"/>
    <w:rsid w:val="00A30B68"/>
    <w:rsid w:val="00A30B95"/>
    <w:rsid w:val="00A30BEF"/>
    <w:rsid w:val="00A30D01"/>
    <w:rsid w:val="00A30D56"/>
    <w:rsid w:val="00A30D57"/>
    <w:rsid w:val="00A30DC8"/>
    <w:rsid w:val="00A30E78"/>
    <w:rsid w:val="00A30F5E"/>
    <w:rsid w:val="00A30F74"/>
    <w:rsid w:val="00A30F95"/>
    <w:rsid w:val="00A30FB5"/>
    <w:rsid w:val="00A30FCE"/>
    <w:rsid w:val="00A31017"/>
    <w:rsid w:val="00A3105B"/>
    <w:rsid w:val="00A3129D"/>
    <w:rsid w:val="00A312B8"/>
    <w:rsid w:val="00A31420"/>
    <w:rsid w:val="00A3167B"/>
    <w:rsid w:val="00A31732"/>
    <w:rsid w:val="00A317D9"/>
    <w:rsid w:val="00A31869"/>
    <w:rsid w:val="00A31880"/>
    <w:rsid w:val="00A318C4"/>
    <w:rsid w:val="00A31921"/>
    <w:rsid w:val="00A319EC"/>
    <w:rsid w:val="00A319F6"/>
    <w:rsid w:val="00A31A3A"/>
    <w:rsid w:val="00A31A5E"/>
    <w:rsid w:val="00A31A8C"/>
    <w:rsid w:val="00A31B3F"/>
    <w:rsid w:val="00A31B65"/>
    <w:rsid w:val="00A31BC6"/>
    <w:rsid w:val="00A31C04"/>
    <w:rsid w:val="00A31C4B"/>
    <w:rsid w:val="00A31C8F"/>
    <w:rsid w:val="00A31CF3"/>
    <w:rsid w:val="00A31D9B"/>
    <w:rsid w:val="00A31DFA"/>
    <w:rsid w:val="00A31E0B"/>
    <w:rsid w:val="00A31E2D"/>
    <w:rsid w:val="00A31E39"/>
    <w:rsid w:val="00A31EEB"/>
    <w:rsid w:val="00A31F5F"/>
    <w:rsid w:val="00A31F69"/>
    <w:rsid w:val="00A32032"/>
    <w:rsid w:val="00A32127"/>
    <w:rsid w:val="00A32169"/>
    <w:rsid w:val="00A32217"/>
    <w:rsid w:val="00A3225D"/>
    <w:rsid w:val="00A32284"/>
    <w:rsid w:val="00A32403"/>
    <w:rsid w:val="00A32440"/>
    <w:rsid w:val="00A32458"/>
    <w:rsid w:val="00A324E4"/>
    <w:rsid w:val="00A326C1"/>
    <w:rsid w:val="00A32748"/>
    <w:rsid w:val="00A32869"/>
    <w:rsid w:val="00A328F1"/>
    <w:rsid w:val="00A32910"/>
    <w:rsid w:val="00A32988"/>
    <w:rsid w:val="00A32A59"/>
    <w:rsid w:val="00A32AE5"/>
    <w:rsid w:val="00A32C48"/>
    <w:rsid w:val="00A32CDC"/>
    <w:rsid w:val="00A32CE6"/>
    <w:rsid w:val="00A32CF9"/>
    <w:rsid w:val="00A32D25"/>
    <w:rsid w:val="00A32FA0"/>
    <w:rsid w:val="00A32FD6"/>
    <w:rsid w:val="00A33021"/>
    <w:rsid w:val="00A3303A"/>
    <w:rsid w:val="00A33094"/>
    <w:rsid w:val="00A330A8"/>
    <w:rsid w:val="00A33128"/>
    <w:rsid w:val="00A331B8"/>
    <w:rsid w:val="00A3330B"/>
    <w:rsid w:val="00A333D7"/>
    <w:rsid w:val="00A33404"/>
    <w:rsid w:val="00A3349C"/>
    <w:rsid w:val="00A334EF"/>
    <w:rsid w:val="00A33539"/>
    <w:rsid w:val="00A335DC"/>
    <w:rsid w:val="00A33678"/>
    <w:rsid w:val="00A336DD"/>
    <w:rsid w:val="00A3378F"/>
    <w:rsid w:val="00A33893"/>
    <w:rsid w:val="00A33976"/>
    <w:rsid w:val="00A33A2B"/>
    <w:rsid w:val="00A33A4E"/>
    <w:rsid w:val="00A33B5C"/>
    <w:rsid w:val="00A33C38"/>
    <w:rsid w:val="00A33C54"/>
    <w:rsid w:val="00A33D44"/>
    <w:rsid w:val="00A33FBC"/>
    <w:rsid w:val="00A33FFE"/>
    <w:rsid w:val="00A341F6"/>
    <w:rsid w:val="00A34250"/>
    <w:rsid w:val="00A3434D"/>
    <w:rsid w:val="00A3436C"/>
    <w:rsid w:val="00A345A2"/>
    <w:rsid w:val="00A345DA"/>
    <w:rsid w:val="00A346D2"/>
    <w:rsid w:val="00A3477E"/>
    <w:rsid w:val="00A34882"/>
    <w:rsid w:val="00A348B2"/>
    <w:rsid w:val="00A34999"/>
    <w:rsid w:val="00A34C31"/>
    <w:rsid w:val="00A34C52"/>
    <w:rsid w:val="00A34C9C"/>
    <w:rsid w:val="00A34EA5"/>
    <w:rsid w:val="00A3504E"/>
    <w:rsid w:val="00A3518D"/>
    <w:rsid w:val="00A35193"/>
    <w:rsid w:val="00A351B8"/>
    <w:rsid w:val="00A352E7"/>
    <w:rsid w:val="00A35305"/>
    <w:rsid w:val="00A3531D"/>
    <w:rsid w:val="00A35372"/>
    <w:rsid w:val="00A35436"/>
    <w:rsid w:val="00A3547F"/>
    <w:rsid w:val="00A35483"/>
    <w:rsid w:val="00A3549E"/>
    <w:rsid w:val="00A356A6"/>
    <w:rsid w:val="00A35747"/>
    <w:rsid w:val="00A358A7"/>
    <w:rsid w:val="00A3596B"/>
    <w:rsid w:val="00A35A76"/>
    <w:rsid w:val="00A35A94"/>
    <w:rsid w:val="00A35B73"/>
    <w:rsid w:val="00A35C18"/>
    <w:rsid w:val="00A35C98"/>
    <w:rsid w:val="00A35DD1"/>
    <w:rsid w:val="00A35FF5"/>
    <w:rsid w:val="00A360D3"/>
    <w:rsid w:val="00A361C3"/>
    <w:rsid w:val="00A36385"/>
    <w:rsid w:val="00A363D3"/>
    <w:rsid w:val="00A364F9"/>
    <w:rsid w:val="00A365D0"/>
    <w:rsid w:val="00A368BB"/>
    <w:rsid w:val="00A368F7"/>
    <w:rsid w:val="00A36946"/>
    <w:rsid w:val="00A3697A"/>
    <w:rsid w:val="00A36980"/>
    <w:rsid w:val="00A36995"/>
    <w:rsid w:val="00A36C47"/>
    <w:rsid w:val="00A36D09"/>
    <w:rsid w:val="00A36D0A"/>
    <w:rsid w:val="00A36D73"/>
    <w:rsid w:val="00A36D9D"/>
    <w:rsid w:val="00A36DD4"/>
    <w:rsid w:val="00A36E15"/>
    <w:rsid w:val="00A36E75"/>
    <w:rsid w:val="00A36F7C"/>
    <w:rsid w:val="00A373DE"/>
    <w:rsid w:val="00A3759E"/>
    <w:rsid w:val="00A376DF"/>
    <w:rsid w:val="00A376E3"/>
    <w:rsid w:val="00A37732"/>
    <w:rsid w:val="00A377B2"/>
    <w:rsid w:val="00A377C0"/>
    <w:rsid w:val="00A377C1"/>
    <w:rsid w:val="00A3780C"/>
    <w:rsid w:val="00A3781D"/>
    <w:rsid w:val="00A37858"/>
    <w:rsid w:val="00A378D9"/>
    <w:rsid w:val="00A37A0A"/>
    <w:rsid w:val="00A37A58"/>
    <w:rsid w:val="00A37C1B"/>
    <w:rsid w:val="00A37C35"/>
    <w:rsid w:val="00A37C5E"/>
    <w:rsid w:val="00A37F87"/>
    <w:rsid w:val="00A400F1"/>
    <w:rsid w:val="00A401BD"/>
    <w:rsid w:val="00A40395"/>
    <w:rsid w:val="00A40417"/>
    <w:rsid w:val="00A4047B"/>
    <w:rsid w:val="00A404C2"/>
    <w:rsid w:val="00A405EE"/>
    <w:rsid w:val="00A406B4"/>
    <w:rsid w:val="00A40742"/>
    <w:rsid w:val="00A4077F"/>
    <w:rsid w:val="00A407DA"/>
    <w:rsid w:val="00A40832"/>
    <w:rsid w:val="00A408D6"/>
    <w:rsid w:val="00A40927"/>
    <w:rsid w:val="00A40961"/>
    <w:rsid w:val="00A4096B"/>
    <w:rsid w:val="00A409A2"/>
    <w:rsid w:val="00A40A41"/>
    <w:rsid w:val="00A40AB4"/>
    <w:rsid w:val="00A40BF7"/>
    <w:rsid w:val="00A40C99"/>
    <w:rsid w:val="00A40CCB"/>
    <w:rsid w:val="00A40D5D"/>
    <w:rsid w:val="00A40D8A"/>
    <w:rsid w:val="00A40DA0"/>
    <w:rsid w:val="00A40E8D"/>
    <w:rsid w:val="00A40F11"/>
    <w:rsid w:val="00A40FFC"/>
    <w:rsid w:val="00A4100E"/>
    <w:rsid w:val="00A41187"/>
    <w:rsid w:val="00A411B9"/>
    <w:rsid w:val="00A411FA"/>
    <w:rsid w:val="00A41375"/>
    <w:rsid w:val="00A41384"/>
    <w:rsid w:val="00A4138C"/>
    <w:rsid w:val="00A41455"/>
    <w:rsid w:val="00A41557"/>
    <w:rsid w:val="00A415FA"/>
    <w:rsid w:val="00A41606"/>
    <w:rsid w:val="00A4166D"/>
    <w:rsid w:val="00A4167C"/>
    <w:rsid w:val="00A416F4"/>
    <w:rsid w:val="00A41789"/>
    <w:rsid w:val="00A417A8"/>
    <w:rsid w:val="00A4182B"/>
    <w:rsid w:val="00A4194D"/>
    <w:rsid w:val="00A41977"/>
    <w:rsid w:val="00A41989"/>
    <w:rsid w:val="00A41A50"/>
    <w:rsid w:val="00A41A95"/>
    <w:rsid w:val="00A41B06"/>
    <w:rsid w:val="00A41DF7"/>
    <w:rsid w:val="00A41E8F"/>
    <w:rsid w:val="00A41E98"/>
    <w:rsid w:val="00A41F68"/>
    <w:rsid w:val="00A4200D"/>
    <w:rsid w:val="00A4202C"/>
    <w:rsid w:val="00A421AA"/>
    <w:rsid w:val="00A42266"/>
    <w:rsid w:val="00A4226E"/>
    <w:rsid w:val="00A4237F"/>
    <w:rsid w:val="00A423D6"/>
    <w:rsid w:val="00A42422"/>
    <w:rsid w:val="00A425E9"/>
    <w:rsid w:val="00A42685"/>
    <w:rsid w:val="00A42826"/>
    <w:rsid w:val="00A42876"/>
    <w:rsid w:val="00A4288B"/>
    <w:rsid w:val="00A428B2"/>
    <w:rsid w:val="00A428EE"/>
    <w:rsid w:val="00A4290A"/>
    <w:rsid w:val="00A42953"/>
    <w:rsid w:val="00A42984"/>
    <w:rsid w:val="00A42B3E"/>
    <w:rsid w:val="00A42BA6"/>
    <w:rsid w:val="00A42BB3"/>
    <w:rsid w:val="00A42C2A"/>
    <w:rsid w:val="00A42C46"/>
    <w:rsid w:val="00A42C6F"/>
    <w:rsid w:val="00A42D64"/>
    <w:rsid w:val="00A42D6E"/>
    <w:rsid w:val="00A42D75"/>
    <w:rsid w:val="00A42E03"/>
    <w:rsid w:val="00A42EA9"/>
    <w:rsid w:val="00A43095"/>
    <w:rsid w:val="00A43193"/>
    <w:rsid w:val="00A43206"/>
    <w:rsid w:val="00A4323D"/>
    <w:rsid w:val="00A43287"/>
    <w:rsid w:val="00A4328B"/>
    <w:rsid w:val="00A432AA"/>
    <w:rsid w:val="00A43320"/>
    <w:rsid w:val="00A43393"/>
    <w:rsid w:val="00A43494"/>
    <w:rsid w:val="00A43565"/>
    <w:rsid w:val="00A435AB"/>
    <w:rsid w:val="00A43777"/>
    <w:rsid w:val="00A4377A"/>
    <w:rsid w:val="00A4383F"/>
    <w:rsid w:val="00A43A4A"/>
    <w:rsid w:val="00A43BFE"/>
    <w:rsid w:val="00A43C0F"/>
    <w:rsid w:val="00A43C13"/>
    <w:rsid w:val="00A43C1F"/>
    <w:rsid w:val="00A43D4B"/>
    <w:rsid w:val="00A43D9E"/>
    <w:rsid w:val="00A43DAC"/>
    <w:rsid w:val="00A43E15"/>
    <w:rsid w:val="00A43E5D"/>
    <w:rsid w:val="00A43E9D"/>
    <w:rsid w:val="00A43EA2"/>
    <w:rsid w:val="00A43F01"/>
    <w:rsid w:val="00A43FA8"/>
    <w:rsid w:val="00A43FE6"/>
    <w:rsid w:val="00A43FFA"/>
    <w:rsid w:val="00A4401C"/>
    <w:rsid w:val="00A44106"/>
    <w:rsid w:val="00A441F9"/>
    <w:rsid w:val="00A4421D"/>
    <w:rsid w:val="00A44275"/>
    <w:rsid w:val="00A442C9"/>
    <w:rsid w:val="00A4438D"/>
    <w:rsid w:val="00A44466"/>
    <w:rsid w:val="00A44650"/>
    <w:rsid w:val="00A44693"/>
    <w:rsid w:val="00A446BD"/>
    <w:rsid w:val="00A446FD"/>
    <w:rsid w:val="00A44701"/>
    <w:rsid w:val="00A4475B"/>
    <w:rsid w:val="00A44A89"/>
    <w:rsid w:val="00A44B24"/>
    <w:rsid w:val="00A44B26"/>
    <w:rsid w:val="00A44B6B"/>
    <w:rsid w:val="00A44B76"/>
    <w:rsid w:val="00A44B9D"/>
    <w:rsid w:val="00A44BA1"/>
    <w:rsid w:val="00A44D2F"/>
    <w:rsid w:val="00A44D87"/>
    <w:rsid w:val="00A44DDF"/>
    <w:rsid w:val="00A44DFE"/>
    <w:rsid w:val="00A44EC1"/>
    <w:rsid w:val="00A44F68"/>
    <w:rsid w:val="00A44FF6"/>
    <w:rsid w:val="00A450BC"/>
    <w:rsid w:val="00A4511C"/>
    <w:rsid w:val="00A4517D"/>
    <w:rsid w:val="00A45372"/>
    <w:rsid w:val="00A453C7"/>
    <w:rsid w:val="00A454B3"/>
    <w:rsid w:val="00A454FF"/>
    <w:rsid w:val="00A45506"/>
    <w:rsid w:val="00A456E7"/>
    <w:rsid w:val="00A45702"/>
    <w:rsid w:val="00A4573C"/>
    <w:rsid w:val="00A457F3"/>
    <w:rsid w:val="00A457FC"/>
    <w:rsid w:val="00A45878"/>
    <w:rsid w:val="00A45885"/>
    <w:rsid w:val="00A45907"/>
    <w:rsid w:val="00A45A79"/>
    <w:rsid w:val="00A45B2F"/>
    <w:rsid w:val="00A45B64"/>
    <w:rsid w:val="00A45BA2"/>
    <w:rsid w:val="00A45C8D"/>
    <w:rsid w:val="00A45D68"/>
    <w:rsid w:val="00A45D95"/>
    <w:rsid w:val="00A45D9E"/>
    <w:rsid w:val="00A45DE0"/>
    <w:rsid w:val="00A45E17"/>
    <w:rsid w:val="00A45E52"/>
    <w:rsid w:val="00A45E70"/>
    <w:rsid w:val="00A45EE4"/>
    <w:rsid w:val="00A45F88"/>
    <w:rsid w:val="00A45F9F"/>
    <w:rsid w:val="00A45FA9"/>
    <w:rsid w:val="00A45FF8"/>
    <w:rsid w:val="00A460A6"/>
    <w:rsid w:val="00A460C8"/>
    <w:rsid w:val="00A46257"/>
    <w:rsid w:val="00A46314"/>
    <w:rsid w:val="00A4632E"/>
    <w:rsid w:val="00A4656C"/>
    <w:rsid w:val="00A4663E"/>
    <w:rsid w:val="00A46652"/>
    <w:rsid w:val="00A46673"/>
    <w:rsid w:val="00A46697"/>
    <w:rsid w:val="00A466DE"/>
    <w:rsid w:val="00A4673A"/>
    <w:rsid w:val="00A46765"/>
    <w:rsid w:val="00A46818"/>
    <w:rsid w:val="00A4685F"/>
    <w:rsid w:val="00A46876"/>
    <w:rsid w:val="00A46973"/>
    <w:rsid w:val="00A46A11"/>
    <w:rsid w:val="00A46BE1"/>
    <w:rsid w:val="00A46C8F"/>
    <w:rsid w:val="00A46CC5"/>
    <w:rsid w:val="00A46D15"/>
    <w:rsid w:val="00A46D7E"/>
    <w:rsid w:val="00A46E54"/>
    <w:rsid w:val="00A46E97"/>
    <w:rsid w:val="00A46EE5"/>
    <w:rsid w:val="00A46F54"/>
    <w:rsid w:val="00A46F68"/>
    <w:rsid w:val="00A4700A"/>
    <w:rsid w:val="00A47049"/>
    <w:rsid w:val="00A47133"/>
    <w:rsid w:val="00A4713D"/>
    <w:rsid w:val="00A47208"/>
    <w:rsid w:val="00A47309"/>
    <w:rsid w:val="00A473AF"/>
    <w:rsid w:val="00A47444"/>
    <w:rsid w:val="00A47540"/>
    <w:rsid w:val="00A475D4"/>
    <w:rsid w:val="00A475EA"/>
    <w:rsid w:val="00A477FE"/>
    <w:rsid w:val="00A478C6"/>
    <w:rsid w:val="00A47929"/>
    <w:rsid w:val="00A479E0"/>
    <w:rsid w:val="00A47A54"/>
    <w:rsid w:val="00A47B14"/>
    <w:rsid w:val="00A47B4B"/>
    <w:rsid w:val="00A47B4C"/>
    <w:rsid w:val="00A47BE1"/>
    <w:rsid w:val="00A47D6E"/>
    <w:rsid w:val="00A47DB7"/>
    <w:rsid w:val="00A47E58"/>
    <w:rsid w:val="00A47EC5"/>
    <w:rsid w:val="00A47EF0"/>
    <w:rsid w:val="00A47F06"/>
    <w:rsid w:val="00A47F74"/>
    <w:rsid w:val="00A50000"/>
    <w:rsid w:val="00A50020"/>
    <w:rsid w:val="00A5008F"/>
    <w:rsid w:val="00A500D8"/>
    <w:rsid w:val="00A50137"/>
    <w:rsid w:val="00A50258"/>
    <w:rsid w:val="00A502DB"/>
    <w:rsid w:val="00A50420"/>
    <w:rsid w:val="00A50441"/>
    <w:rsid w:val="00A504AF"/>
    <w:rsid w:val="00A504D7"/>
    <w:rsid w:val="00A504FB"/>
    <w:rsid w:val="00A50529"/>
    <w:rsid w:val="00A505A2"/>
    <w:rsid w:val="00A5066B"/>
    <w:rsid w:val="00A50694"/>
    <w:rsid w:val="00A50696"/>
    <w:rsid w:val="00A5069F"/>
    <w:rsid w:val="00A5072D"/>
    <w:rsid w:val="00A50818"/>
    <w:rsid w:val="00A5094B"/>
    <w:rsid w:val="00A5095F"/>
    <w:rsid w:val="00A509CC"/>
    <w:rsid w:val="00A50BE7"/>
    <w:rsid w:val="00A50C35"/>
    <w:rsid w:val="00A50C56"/>
    <w:rsid w:val="00A50C84"/>
    <w:rsid w:val="00A50D95"/>
    <w:rsid w:val="00A50EB5"/>
    <w:rsid w:val="00A50EC6"/>
    <w:rsid w:val="00A50F25"/>
    <w:rsid w:val="00A50F31"/>
    <w:rsid w:val="00A50F3F"/>
    <w:rsid w:val="00A50F8B"/>
    <w:rsid w:val="00A5106C"/>
    <w:rsid w:val="00A51245"/>
    <w:rsid w:val="00A5124A"/>
    <w:rsid w:val="00A5125E"/>
    <w:rsid w:val="00A512E3"/>
    <w:rsid w:val="00A51316"/>
    <w:rsid w:val="00A5134F"/>
    <w:rsid w:val="00A51456"/>
    <w:rsid w:val="00A5166B"/>
    <w:rsid w:val="00A5194D"/>
    <w:rsid w:val="00A51A28"/>
    <w:rsid w:val="00A51A7D"/>
    <w:rsid w:val="00A51A95"/>
    <w:rsid w:val="00A51B73"/>
    <w:rsid w:val="00A51C54"/>
    <w:rsid w:val="00A51D13"/>
    <w:rsid w:val="00A51D37"/>
    <w:rsid w:val="00A51EDF"/>
    <w:rsid w:val="00A51FFD"/>
    <w:rsid w:val="00A520AD"/>
    <w:rsid w:val="00A5215D"/>
    <w:rsid w:val="00A522A7"/>
    <w:rsid w:val="00A523C3"/>
    <w:rsid w:val="00A5249E"/>
    <w:rsid w:val="00A524B5"/>
    <w:rsid w:val="00A525BA"/>
    <w:rsid w:val="00A5280D"/>
    <w:rsid w:val="00A5281A"/>
    <w:rsid w:val="00A52834"/>
    <w:rsid w:val="00A5292D"/>
    <w:rsid w:val="00A52A0F"/>
    <w:rsid w:val="00A52A1B"/>
    <w:rsid w:val="00A52A6D"/>
    <w:rsid w:val="00A52ACD"/>
    <w:rsid w:val="00A52D37"/>
    <w:rsid w:val="00A52DD7"/>
    <w:rsid w:val="00A52E89"/>
    <w:rsid w:val="00A52F7C"/>
    <w:rsid w:val="00A530C0"/>
    <w:rsid w:val="00A53126"/>
    <w:rsid w:val="00A53133"/>
    <w:rsid w:val="00A5313A"/>
    <w:rsid w:val="00A5314B"/>
    <w:rsid w:val="00A5318F"/>
    <w:rsid w:val="00A53198"/>
    <w:rsid w:val="00A531C2"/>
    <w:rsid w:val="00A5323B"/>
    <w:rsid w:val="00A5337C"/>
    <w:rsid w:val="00A53429"/>
    <w:rsid w:val="00A53589"/>
    <w:rsid w:val="00A5358D"/>
    <w:rsid w:val="00A53592"/>
    <w:rsid w:val="00A5360C"/>
    <w:rsid w:val="00A53652"/>
    <w:rsid w:val="00A53716"/>
    <w:rsid w:val="00A5373F"/>
    <w:rsid w:val="00A53761"/>
    <w:rsid w:val="00A53887"/>
    <w:rsid w:val="00A538CB"/>
    <w:rsid w:val="00A538D3"/>
    <w:rsid w:val="00A5398D"/>
    <w:rsid w:val="00A53A05"/>
    <w:rsid w:val="00A53ACA"/>
    <w:rsid w:val="00A53B12"/>
    <w:rsid w:val="00A53B71"/>
    <w:rsid w:val="00A53DCF"/>
    <w:rsid w:val="00A53F32"/>
    <w:rsid w:val="00A5403D"/>
    <w:rsid w:val="00A542EE"/>
    <w:rsid w:val="00A54360"/>
    <w:rsid w:val="00A543D7"/>
    <w:rsid w:val="00A5445F"/>
    <w:rsid w:val="00A545D7"/>
    <w:rsid w:val="00A54739"/>
    <w:rsid w:val="00A54840"/>
    <w:rsid w:val="00A54947"/>
    <w:rsid w:val="00A54AF4"/>
    <w:rsid w:val="00A54B2E"/>
    <w:rsid w:val="00A54BBC"/>
    <w:rsid w:val="00A54C3E"/>
    <w:rsid w:val="00A54CBF"/>
    <w:rsid w:val="00A54D0A"/>
    <w:rsid w:val="00A54D9B"/>
    <w:rsid w:val="00A54EA4"/>
    <w:rsid w:val="00A54EAC"/>
    <w:rsid w:val="00A54F90"/>
    <w:rsid w:val="00A54FB4"/>
    <w:rsid w:val="00A551B3"/>
    <w:rsid w:val="00A551EC"/>
    <w:rsid w:val="00A55299"/>
    <w:rsid w:val="00A552AB"/>
    <w:rsid w:val="00A553E6"/>
    <w:rsid w:val="00A5540F"/>
    <w:rsid w:val="00A554E0"/>
    <w:rsid w:val="00A5555E"/>
    <w:rsid w:val="00A5565D"/>
    <w:rsid w:val="00A5567A"/>
    <w:rsid w:val="00A55681"/>
    <w:rsid w:val="00A557A1"/>
    <w:rsid w:val="00A557B4"/>
    <w:rsid w:val="00A55896"/>
    <w:rsid w:val="00A5593C"/>
    <w:rsid w:val="00A55B19"/>
    <w:rsid w:val="00A55BF1"/>
    <w:rsid w:val="00A55BFC"/>
    <w:rsid w:val="00A55C7E"/>
    <w:rsid w:val="00A55D25"/>
    <w:rsid w:val="00A55F6A"/>
    <w:rsid w:val="00A56068"/>
    <w:rsid w:val="00A5609C"/>
    <w:rsid w:val="00A560EA"/>
    <w:rsid w:val="00A56157"/>
    <w:rsid w:val="00A561E3"/>
    <w:rsid w:val="00A56352"/>
    <w:rsid w:val="00A56387"/>
    <w:rsid w:val="00A56463"/>
    <w:rsid w:val="00A564DF"/>
    <w:rsid w:val="00A565BA"/>
    <w:rsid w:val="00A565E0"/>
    <w:rsid w:val="00A5666E"/>
    <w:rsid w:val="00A56758"/>
    <w:rsid w:val="00A56830"/>
    <w:rsid w:val="00A569AB"/>
    <w:rsid w:val="00A56A21"/>
    <w:rsid w:val="00A56AB6"/>
    <w:rsid w:val="00A56B80"/>
    <w:rsid w:val="00A56BD3"/>
    <w:rsid w:val="00A56DCC"/>
    <w:rsid w:val="00A56DE0"/>
    <w:rsid w:val="00A56E03"/>
    <w:rsid w:val="00A56EE8"/>
    <w:rsid w:val="00A56F6E"/>
    <w:rsid w:val="00A57099"/>
    <w:rsid w:val="00A570C9"/>
    <w:rsid w:val="00A570DB"/>
    <w:rsid w:val="00A57123"/>
    <w:rsid w:val="00A57140"/>
    <w:rsid w:val="00A57164"/>
    <w:rsid w:val="00A571C4"/>
    <w:rsid w:val="00A573ED"/>
    <w:rsid w:val="00A574D6"/>
    <w:rsid w:val="00A57563"/>
    <w:rsid w:val="00A575AB"/>
    <w:rsid w:val="00A575D9"/>
    <w:rsid w:val="00A57615"/>
    <w:rsid w:val="00A5765C"/>
    <w:rsid w:val="00A5799C"/>
    <w:rsid w:val="00A579E8"/>
    <w:rsid w:val="00A57B54"/>
    <w:rsid w:val="00A57C91"/>
    <w:rsid w:val="00A57CF1"/>
    <w:rsid w:val="00A57CF4"/>
    <w:rsid w:val="00A57D88"/>
    <w:rsid w:val="00A57E10"/>
    <w:rsid w:val="00A57FAB"/>
    <w:rsid w:val="00A6004A"/>
    <w:rsid w:val="00A60062"/>
    <w:rsid w:val="00A60131"/>
    <w:rsid w:val="00A6014C"/>
    <w:rsid w:val="00A6019D"/>
    <w:rsid w:val="00A6033B"/>
    <w:rsid w:val="00A6035C"/>
    <w:rsid w:val="00A60374"/>
    <w:rsid w:val="00A603FA"/>
    <w:rsid w:val="00A604CB"/>
    <w:rsid w:val="00A606C7"/>
    <w:rsid w:val="00A606E3"/>
    <w:rsid w:val="00A606F6"/>
    <w:rsid w:val="00A607F2"/>
    <w:rsid w:val="00A607F9"/>
    <w:rsid w:val="00A608BB"/>
    <w:rsid w:val="00A60990"/>
    <w:rsid w:val="00A60A94"/>
    <w:rsid w:val="00A60A9D"/>
    <w:rsid w:val="00A60AA7"/>
    <w:rsid w:val="00A60ECC"/>
    <w:rsid w:val="00A60FC1"/>
    <w:rsid w:val="00A60FD1"/>
    <w:rsid w:val="00A61029"/>
    <w:rsid w:val="00A61254"/>
    <w:rsid w:val="00A612AD"/>
    <w:rsid w:val="00A612F9"/>
    <w:rsid w:val="00A6137A"/>
    <w:rsid w:val="00A613C6"/>
    <w:rsid w:val="00A613D7"/>
    <w:rsid w:val="00A614EF"/>
    <w:rsid w:val="00A615F5"/>
    <w:rsid w:val="00A616BA"/>
    <w:rsid w:val="00A61706"/>
    <w:rsid w:val="00A61832"/>
    <w:rsid w:val="00A618A9"/>
    <w:rsid w:val="00A618B2"/>
    <w:rsid w:val="00A618E9"/>
    <w:rsid w:val="00A619EE"/>
    <w:rsid w:val="00A61B3C"/>
    <w:rsid w:val="00A61C08"/>
    <w:rsid w:val="00A61C23"/>
    <w:rsid w:val="00A61CEC"/>
    <w:rsid w:val="00A61DC0"/>
    <w:rsid w:val="00A61ECA"/>
    <w:rsid w:val="00A61FB7"/>
    <w:rsid w:val="00A62089"/>
    <w:rsid w:val="00A62156"/>
    <w:rsid w:val="00A621DD"/>
    <w:rsid w:val="00A623F4"/>
    <w:rsid w:val="00A62471"/>
    <w:rsid w:val="00A624C8"/>
    <w:rsid w:val="00A62575"/>
    <w:rsid w:val="00A625A2"/>
    <w:rsid w:val="00A625FA"/>
    <w:rsid w:val="00A6266D"/>
    <w:rsid w:val="00A626B1"/>
    <w:rsid w:val="00A62982"/>
    <w:rsid w:val="00A62A9F"/>
    <w:rsid w:val="00A62B00"/>
    <w:rsid w:val="00A62B52"/>
    <w:rsid w:val="00A62B9F"/>
    <w:rsid w:val="00A62C32"/>
    <w:rsid w:val="00A62C5C"/>
    <w:rsid w:val="00A62E10"/>
    <w:rsid w:val="00A62EC4"/>
    <w:rsid w:val="00A62F78"/>
    <w:rsid w:val="00A62F7C"/>
    <w:rsid w:val="00A6302F"/>
    <w:rsid w:val="00A63043"/>
    <w:rsid w:val="00A63075"/>
    <w:rsid w:val="00A6308A"/>
    <w:rsid w:val="00A63169"/>
    <w:rsid w:val="00A631C5"/>
    <w:rsid w:val="00A63242"/>
    <w:rsid w:val="00A6324C"/>
    <w:rsid w:val="00A632A7"/>
    <w:rsid w:val="00A632EE"/>
    <w:rsid w:val="00A63333"/>
    <w:rsid w:val="00A633A4"/>
    <w:rsid w:val="00A63449"/>
    <w:rsid w:val="00A634B7"/>
    <w:rsid w:val="00A634F4"/>
    <w:rsid w:val="00A63599"/>
    <w:rsid w:val="00A635B1"/>
    <w:rsid w:val="00A635F3"/>
    <w:rsid w:val="00A63607"/>
    <w:rsid w:val="00A6360B"/>
    <w:rsid w:val="00A6368E"/>
    <w:rsid w:val="00A63691"/>
    <w:rsid w:val="00A63726"/>
    <w:rsid w:val="00A63736"/>
    <w:rsid w:val="00A6378B"/>
    <w:rsid w:val="00A63980"/>
    <w:rsid w:val="00A63B2F"/>
    <w:rsid w:val="00A63B60"/>
    <w:rsid w:val="00A63B7D"/>
    <w:rsid w:val="00A63BB5"/>
    <w:rsid w:val="00A63C18"/>
    <w:rsid w:val="00A63C47"/>
    <w:rsid w:val="00A63CA4"/>
    <w:rsid w:val="00A63CC9"/>
    <w:rsid w:val="00A63CD9"/>
    <w:rsid w:val="00A63CF1"/>
    <w:rsid w:val="00A63E37"/>
    <w:rsid w:val="00A63F08"/>
    <w:rsid w:val="00A63F9F"/>
    <w:rsid w:val="00A63FA4"/>
    <w:rsid w:val="00A63FB8"/>
    <w:rsid w:val="00A6401F"/>
    <w:rsid w:val="00A64068"/>
    <w:rsid w:val="00A64153"/>
    <w:rsid w:val="00A6419C"/>
    <w:rsid w:val="00A6425A"/>
    <w:rsid w:val="00A6434F"/>
    <w:rsid w:val="00A64354"/>
    <w:rsid w:val="00A64394"/>
    <w:rsid w:val="00A643A2"/>
    <w:rsid w:val="00A643D0"/>
    <w:rsid w:val="00A64613"/>
    <w:rsid w:val="00A64684"/>
    <w:rsid w:val="00A6471A"/>
    <w:rsid w:val="00A64765"/>
    <w:rsid w:val="00A64768"/>
    <w:rsid w:val="00A64806"/>
    <w:rsid w:val="00A64842"/>
    <w:rsid w:val="00A64A0A"/>
    <w:rsid w:val="00A64A26"/>
    <w:rsid w:val="00A64B04"/>
    <w:rsid w:val="00A64B1B"/>
    <w:rsid w:val="00A64BB0"/>
    <w:rsid w:val="00A64C49"/>
    <w:rsid w:val="00A64C7B"/>
    <w:rsid w:val="00A64C97"/>
    <w:rsid w:val="00A64CE0"/>
    <w:rsid w:val="00A64E22"/>
    <w:rsid w:val="00A64E96"/>
    <w:rsid w:val="00A64EAC"/>
    <w:rsid w:val="00A64EE9"/>
    <w:rsid w:val="00A64F14"/>
    <w:rsid w:val="00A64F3C"/>
    <w:rsid w:val="00A64FC8"/>
    <w:rsid w:val="00A650A5"/>
    <w:rsid w:val="00A651CA"/>
    <w:rsid w:val="00A651F3"/>
    <w:rsid w:val="00A65294"/>
    <w:rsid w:val="00A6541C"/>
    <w:rsid w:val="00A6545D"/>
    <w:rsid w:val="00A6570C"/>
    <w:rsid w:val="00A65803"/>
    <w:rsid w:val="00A658E7"/>
    <w:rsid w:val="00A659C8"/>
    <w:rsid w:val="00A65A2A"/>
    <w:rsid w:val="00A65A65"/>
    <w:rsid w:val="00A65AF5"/>
    <w:rsid w:val="00A65B84"/>
    <w:rsid w:val="00A65BB4"/>
    <w:rsid w:val="00A65C46"/>
    <w:rsid w:val="00A65CC3"/>
    <w:rsid w:val="00A65DB2"/>
    <w:rsid w:val="00A65F31"/>
    <w:rsid w:val="00A65F62"/>
    <w:rsid w:val="00A65FC5"/>
    <w:rsid w:val="00A65FF2"/>
    <w:rsid w:val="00A66002"/>
    <w:rsid w:val="00A6601B"/>
    <w:rsid w:val="00A660D3"/>
    <w:rsid w:val="00A660F6"/>
    <w:rsid w:val="00A660FC"/>
    <w:rsid w:val="00A6611E"/>
    <w:rsid w:val="00A66154"/>
    <w:rsid w:val="00A66174"/>
    <w:rsid w:val="00A661FF"/>
    <w:rsid w:val="00A662DC"/>
    <w:rsid w:val="00A66305"/>
    <w:rsid w:val="00A6636D"/>
    <w:rsid w:val="00A663E0"/>
    <w:rsid w:val="00A66433"/>
    <w:rsid w:val="00A66509"/>
    <w:rsid w:val="00A665BE"/>
    <w:rsid w:val="00A66644"/>
    <w:rsid w:val="00A66654"/>
    <w:rsid w:val="00A6670D"/>
    <w:rsid w:val="00A66867"/>
    <w:rsid w:val="00A66876"/>
    <w:rsid w:val="00A668A6"/>
    <w:rsid w:val="00A6692C"/>
    <w:rsid w:val="00A66AE4"/>
    <w:rsid w:val="00A66B52"/>
    <w:rsid w:val="00A66E4A"/>
    <w:rsid w:val="00A66EC2"/>
    <w:rsid w:val="00A6708B"/>
    <w:rsid w:val="00A6725A"/>
    <w:rsid w:val="00A67267"/>
    <w:rsid w:val="00A673B1"/>
    <w:rsid w:val="00A673C3"/>
    <w:rsid w:val="00A67410"/>
    <w:rsid w:val="00A6741B"/>
    <w:rsid w:val="00A67512"/>
    <w:rsid w:val="00A67674"/>
    <w:rsid w:val="00A67726"/>
    <w:rsid w:val="00A6774F"/>
    <w:rsid w:val="00A678A2"/>
    <w:rsid w:val="00A6793C"/>
    <w:rsid w:val="00A6798C"/>
    <w:rsid w:val="00A67A6A"/>
    <w:rsid w:val="00A67A95"/>
    <w:rsid w:val="00A67AAE"/>
    <w:rsid w:val="00A67B0D"/>
    <w:rsid w:val="00A67C06"/>
    <w:rsid w:val="00A67C3C"/>
    <w:rsid w:val="00A67CA5"/>
    <w:rsid w:val="00A67DF9"/>
    <w:rsid w:val="00A67E3C"/>
    <w:rsid w:val="00A67E47"/>
    <w:rsid w:val="00A67F3E"/>
    <w:rsid w:val="00A7003C"/>
    <w:rsid w:val="00A70091"/>
    <w:rsid w:val="00A70126"/>
    <w:rsid w:val="00A7014B"/>
    <w:rsid w:val="00A70360"/>
    <w:rsid w:val="00A70495"/>
    <w:rsid w:val="00A7054F"/>
    <w:rsid w:val="00A7059D"/>
    <w:rsid w:val="00A7060A"/>
    <w:rsid w:val="00A7073C"/>
    <w:rsid w:val="00A7086F"/>
    <w:rsid w:val="00A709DC"/>
    <w:rsid w:val="00A70A78"/>
    <w:rsid w:val="00A70FD9"/>
    <w:rsid w:val="00A70FF0"/>
    <w:rsid w:val="00A71099"/>
    <w:rsid w:val="00A7121F"/>
    <w:rsid w:val="00A712B2"/>
    <w:rsid w:val="00A712C8"/>
    <w:rsid w:val="00A7132A"/>
    <w:rsid w:val="00A71350"/>
    <w:rsid w:val="00A71439"/>
    <w:rsid w:val="00A71476"/>
    <w:rsid w:val="00A7148B"/>
    <w:rsid w:val="00A71557"/>
    <w:rsid w:val="00A71577"/>
    <w:rsid w:val="00A715C5"/>
    <w:rsid w:val="00A715F0"/>
    <w:rsid w:val="00A71653"/>
    <w:rsid w:val="00A717D2"/>
    <w:rsid w:val="00A71812"/>
    <w:rsid w:val="00A718BE"/>
    <w:rsid w:val="00A718CA"/>
    <w:rsid w:val="00A71907"/>
    <w:rsid w:val="00A71B86"/>
    <w:rsid w:val="00A71B8C"/>
    <w:rsid w:val="00A71C56"/>
    <w:rsid w:val="00A71CA9"/>
    <w:rsid w:val="00A71DE8"/>
    <w:rsid w:val="00A71E40"/>
    <w:rsid w:val="00A71E9C"/>
    <w:rsid w:val="00A71EC7"/>
    <w:rsid w:val="00A71EDE"/>
    <w:rsid w:val="00A71F2D"/>
    <w:rsid w:val="00A7202D"/>
    <w:rsid w:val="00A72092"/>
    <w:rsid w:val="00A720BC"/>
    <w:rsid w:val="00A720DC"/>
    <w:rsid w:val="00A721AD"/>
    <w:rsid w:val="00A72248"/>
    <w:rsid w:val="00A72251"/>
    <w:rsid w:val="00A723AF"/>
    <w:rsid w:val="00A723FD"/>
    <w:rsid w:val="00A7241F"/>
    <w:rsid w:val="00A724E8"/>
    <w:rsid w:val="00A72571"/>
    <w:rsid w:val="00A727C5"/>
    <w:rsid w:val="00A72953"/>
    <w:rsid w:val="00A729FE"/>
    <w:rsid w:val="00A72A28"/>
    <w:rsid w:val="00A72ACD"/>
    <w:rsid w:val="00A72B5D"/>
    <w:rsid w:val="00A72C5E"/>
    <w:rsid w:val="00A72D04"/>
    <w:rsid w:val="00A72D09"/>
    <w:rsid w:val="00A72DE8"/>
    <w:rsid w:val="00A72E7F"/>
    <w:rsid w:val="00A72EFD"/>
    <w:rsid w:val="00A72FCF"/>
    <w:rsid w:val="00A730DE"/>
    <w:rsid w:val="00A73119"/>
    <w:rsid w:val="00A7320B"/>
    <w:rsid w:val="00A73241"/>
    <w:rsid w:val="00A7326E"/>
    <w:rsid w:val="00A732A5"/>
    <w:rsid w:val="00A732EA"/>
    <w:rsid w:val="00A73326"/>
    <w:rsid w:val="00A73331"/>
    <w:rsid w:val="00A733BC"/>
    <w:rsid w:val="00A73457"/>
    <w:rsid w:val="00A73485"/>
    <w:rsid w:val="00A734E0"/>
    <w:rsid w:val="00A73515"/>
    <w:rsid w:val="00A73560"/>
    <w:rsid w:val="00A735DD"/>
    <w:rsid w:val="00A736A7"/>
    <w:rsid w:val="00A7370C"/>
    <w:rsid w:val="00A739AD"/>
    <w:rsid w:val="00A73AF6"/>
    <w:rsid w:val="00A73C06"/>
    <w:rsid w:val="00A74037"/>
    <w:rsid w:val="00A7407D"/>
    <w:rsid w:val="00A741B3"/>
    <w:rsid w:val="00A74226"/>
    <w:rsid w:val="00A74253"/>
    <w:rsid w:val="00A742FA"/>
    <w:rsid w:val="00A74412"/>
    <w:rsid w:val="00A74438"/>
    <w:rsid w:val="00A7453A"/>
    <w:rsid w:val="00A74586"/>
    <w:rsid w:val="00A745D0"/>
    <w:rsid w:val="00A7462E"/>
    <w:rsid w:val="00A74651"/>
    <w:rsid w:val="00A74678"/>
    <w:rsid w:val="00A748F7"/>
    <w:rsid w:val="00A748FD"/>
    <w:rsid w:val="00A7493D"/>
    <w:rsid w:val="00A74ACD"/>
    <w:rsid w:val="00A74BE4"/>
    <w:rsid w:val="00A74BFC"/>
    <w:rsid w:val="00A74C08"/>
    <w:rsid w:val="00A74C59"/>
    <w:rsid w:val="00A74C8A"/>
    <w:rsid w:val="00A74CC6"/>
    <w:rsid w:val="00A74D16"/>
    <w:rsid w:val="00A74DEC"/>
    <w:rsid w:val="00A74ED5"/>
    <w:rsid w:val="00A7502D"/>
    <w:rsid w:val="00A7502E"/>
    <w:rsid w:val="00A75039"/>
    <w:rsid w:val="00A75132"/>
    <w:rsid w:val="00A751E2"/>
    <w:rsid w:val="00A7523A"/>
    <w:rsid w:val="00A7531F"/>
    <w:rsid w:val="00A75335"/>
    <w:rsid w:val="00A75344"/>
    <w:rsid w:val="00A75381"/>
    <w:rsid w:val="00A75440"/>
    <w:rsid w:val="00A754FF"/>
    <w:rsid w:val="00A75513"/>
    <w:rsid w:val="00A7554D"/>
    <w:rsid w:val="00A755D7"/>
    <w:rsid w:val="00A755D9"/>
    <w:rsid w:val="00A75673"/>
    <w:rsid w:val="00A756AA"/>
    <w:rsid w:val="00A756D1"/>
    <w:rsid w:val="00A75726"/>
    <w:rsid w:val="00A7578F"/>
    <w:rsid w:val="00A757B0"/>
    <w:rsid w:val="00A75A29"/>
    <w:rsid w:val="00A75AC7"/>
    <w:rsid w:val="00A75AEF"/>
    <w:rsid w:val="00A75B7E"/>
    <w:rsid w:val="00A75BFB"/>
    <w:rsid w:val="00A75C33"/>
    <w:rsid w:val="00A75C57"/>
    <w:rsid w:val="00A75D04"/>
    <w:rsid w:val="00A75D1C"/>
    <w:rsid w:val="00A75EA5"/>
    <w:rsid w:val="00A75FD0"/>
    <w:rsid w:val="00A75FE7"/>
    <w:rsid w:val="00A75FFC"/>
    <w:rsid w:val="00A7602C"/>
    <w:rsid w:val="00A76130"/>
    <w:rsid w:val="00A762E0"/>
    <w:rsid w:val="00A76428"/>
    <w:rsid w:val="00A764E9"/>
    <w:rsid w:val="00A76561"/>
    <w:rsid w:val="00A765AA"/>
    <w:rsid w:val="00A76650"/>
    <w:rsid w:val="00A7670D"/>
    <w:rsid w:val="00A76721"/>
    <w:rsid w:val="00A7672E"/>
    <w:rsid w:val="00A767A4"/>
    <w:rsid w:val="00A768E7"/>
    <w:rsid w:val="00A769A1"/>
    <w:rsid w:val="00A76A6E"/>
    <w:rsid w:val="00A76C03"/>
    <w:rsid w:val="00A76C22"/>
    <w:rsid w:val="00A76D15"/>
    <w:rsid w:val="00A76E09"/>
    <w:rsid w:val="00A76E24"/>
    <w:rsid w:val="00A76EFC"/>
    <w:rsid w:val="00A76F6B"/>
    <w:rsid w:val="00A77100"/>
    <w:rsid w:val="00A7710E"/>
    <w:rsid w:val="00A7718D"/>
    <w:rsid w:val="00A77262"/>
    <w:rsid w:val="00A77334"/>
    <w:rsid w:val="00A773CA"/>
    <w:rsid w:val="00A77440"/>
    <w:rsid w:val="00A77482"/>
    <w:rsid w:val="00A77505"/>
    <w:rsid w:val="00A77563"/>
    <w:rsid w:val="00A776A4"/>
    <w:rsid w:val="00A776D8"/>
    <w:rsid w:val="00A7771A"/>
    <w:rsid w:val="00A77845"/>
    <w:rsid w:val="00A7785F"/>
    <w:rsid w:val="00A77A30"/>
    <w:rsid w:val="00A77AFD"/>
    <w:rsid w:val="00A77BBB"/>
    <w:rsid w:val="00A77D53"/>
    <w:rsid w:val="00A77D6C"/>
    <w:rsid w:val="00A77DE0"/>
    <w:rsid w:val="00A77E70"/>
    <w:rsid w:val="00A77F65"/>
    <w:rsid w:val="00A77FBC"/>
    <w:rsid w:val="00A800A6"/>
    <w:rsid w:val="00A800EF"/>
    <w:rsid w:val="00A801D1"/>
    <w:rsid w:val="00A80215"/>
    <w:rsid w:val="00A80243"/>
    <w:rsid w:val="00A8049D"/>
    <w:rsid w:val="00A804B1"/>
    <w:rsid w:val="00A8050E"/>
    <w:rsid w:val="00A80588"/>
    <w:rsid w:val="00A805FE"/>
    <w:rsid w:val="00A80609"/>
    <w:rsid w:val="00A8065A"/>
    <w:rsid w:val="00A80664"/>
    <w:rsid w:val="00A806A3"/>
    <w:rsid w:val="00A8072F"/>
    <w:rsid w:val="00A80759"/>
    <w:rsid w:val="00A807B7"/>
    <w:rsid w:val="00A80830"/>
    <w:rsid w:val="00A80845"/>
    <w:rsid w:val="00A808D9"/>
    <w:rsid w:val="00A80A0A"/>
    <w:rsid w:val="00A80C68"/>
    <w:rsid w:val="00A80D87"/>
    <w:rsid w:val="00A80E1B"/>
    <w:rsid w:val="00A80F75"/>
    <w:rsid w:val="00A80F9E"/>
    <w:rsid w:val="00A80FAF"/>
    <w:rsid w:val="00A8103B"/>
    <w:rsid w:val="00A81110"/>
    <w:rsid w:val="00A81162"/>
    <w:rsid w:val="00A81195"/>
    <w:rsid w:val="00A8123D"/>
    <w:rsid w:val="00A8127C"/>
    <w:rsid w:val="00A812E4"/>
    <w:rsid w:val="00A812F8"/>
    <w:rsid w:val="00A81517"/>
    <w:rsid w:val="00A81593"/>
    <w:rsid w:val="00A815AC"/>
    <w:rsid w:val="00A8161D"/>
    <w:rsid w:val="00A81727"/>
    <w:rsid w:val="00A81765"/>
    <w:rsid w:val="00A817B7"/>
    <w:rsid w:val="00A817F6"/>
    <w:rsid w:val="00A818C9"/>
    <w:rsid w:val="00A81958"/>
    <w:rsid w:val="00A81A8D"/>
    <w:rsid w:val="00A81C23"/>
    <w:rsid w:val="00A81C57"/>
    <w:rsid w:val="00A81D29"/>
    <w:rsid w:val="00A81D42"/>
    <w:rsid w:val="00A81D71"/>
    <w:rsid w:val="00A82014"/>
    <w:rsid w:val="00A821A5"/>
    <w:rsid w:val="00A82244"/>
    <w:rsid w:val="00A822C2"/>
    <w:rsid w:val="00A822EE"/>
    <w:rsid w:val="00A8237E"/>
    <w:rsid w:val="00A823C1"/>
    <w:rsid w:val="00A8250E"/>
    <w:rsid w:val="00A82547"/>
    <w:rsid w:val="00A8255A"/>
    <w:rsid w:val="00A82571"/>
    <w:rsid w:val="00A826CB"/>
    <w:rsid w:val="00A8271B"/>
    <w:rsid w:val="00A82733"/>
    <w:rsid w:val="00A82858"/>
    <w:rsid w:val="00A82874"/>
    <w:rsid w:val="00A828CB"/>
    <w:rsid w:val="00A828FD"/>
    <w:rsid w:val="00A8291D"/>
    <w:rsid w:val="00A82980"/>
    <w:rsid w:val="00A82990"/>
    <w:rsid w:val="00A829AB"/>
    <w:rsid w:val="00A82A14"/>
    <w:rsid w:val="00A82A73"/>
    <w:rsid w:val="00A82C7D"/>
    <w:rsid w:val="00A82CA3"/>
    <w:rsid w:val="00A82E30"/>
    <w:rsid w:val="00A82F69"/>
    <w:rsid w:val="00A82FB7"/>
    <w:rsid w:val="00A83089"/>
    <w:rsid w:val="00A83098"/>
    <w:rsid w:val="00A83167"/>
    <w:rsid w:val="00A831B4"/>
    <w:rsid w:val="00A83275"/>
    <w:rsid w:val="00A832EF"/>
    <w:rsid w:val="00A832FC"/>
    <w:rsid w:val="00A8334C"/>
    <w:rsid w:val="00A8342B"/>
    <w:rsid w:val="00A834FC"/>
    <w:rsid w:val="00A835A7"/>
    <w:rsid w:val="00A835ED"/>
    <w:rsid w:val="00A83707"/>
    <w:rsid w:val="00A83759"/>
    <w:rsid w:val="00A838B9"/>
    <w:rsid w:val="00A83AA1"/>
    <w:rsid w:val="00A83B5F"/>
    <w:rsid w:val="00A83B8B"/>
    <w:rsid w:val="00A83C49"/>
    <w:rsid w:val="00A83D94"/>
    <w:rsid w:val="00A83EC2"/>
    <w:rsid w:val="00A83EF4"/>
    <w:rsid w:val="00A84085"/>
    <w:rsid w:val="00A840C8"/>
    <w:rsid w:val="00A8411D"/>
    <w:rsid w:val="00A842F8"/>
    <w:rsid w:val="00A8431D"/>
    <w:rsid w:val="00A8438E"/>
    <w:rsid w:val="00A843B3"/>
    <w:rsid w:val="00A8449C"/>
    <w:rsid w:val="00A8449F"/>
    <w:rsid w:val="00A84513"/>
    <w:rsid w:val="00A8463F"/>
    <w:rsid w:val="00A848A9"/>
    <w:rsid w:val="00A848C4"/>
    <w:rsid w:val="00A8497D"/>
    <w:rsid w:val="00A849AD"/>
    <w:rsid w:val="00A849D6"/>
    <w:rsid w:val="00A84AEA"/>
    <w:rsid w:val="00A84C59"/>
    <w:rsid w:val="00A84CAF"/>
    <w:rsid w:val="00A84CF7"/>
    <w:rsid w:val="00A84E6C"/>
    <w:rsid w:val="00A84F41"/>
    <w:rsid w:val="00A84F5A"/>
    <w:rsid w:val="00A8506E"/>
    <w:rsid w:val="00A850F8"/>
    <w:rsid w:val="00A8515E"/>
    <w:rsid w:val="00A851E5"/>
    <w:rsid w:val="00A8525D"/>
    <w:rsid w:val="00A852FD"/>
    <w:rsid w:val="00A853CD"/>
    <w:rsid w:val="00A854D0"/>
    <w:rsid w:val="00A8565C"/>
    <w:rsid w:val="00A856E5"/>
    <w:rsid w:val="00A857B9"/>
    <w:rsid w:val="00A857FA"/>
    <w:rsid w:val="00A85859"/>
    <w:rsid w:val="00A85894"/>
    <w:rsid w:val="00A85A65"/>
    <w:rsid w:val="00A85A6F"/>
    <w:rsid w:val="00A85A85"/>
    <w:rsid w:val="00A85D32"/>
    <w:rsid w:val="00A85D5A"/>
    <w:rsid w:val="00A85EDF"/>
    <w:rsid w:val="00A85EF4"/>
    <w:rsid w:val="00A86062"/>
    <w:rsid w:val="00A8610C"/>
    <w:rsid w:val="00A8614A"/>
    <w:rsid w:val="00A8625A"/>
    <w:rsid w:val="00A86286"/>
    <w:rsid w:val="00A86360"/>
    <w:rsid w:val="00A863E0"/>
    <w:rsid w:val="00A86419"/>
    <w:rsid w:val="00A8642B"/>
    <w:rsid w:val="00A864E0"/>
    <w:rsid w:val="00A8665C"/>
    <w:rsid w:val="00A8669C"/>
    <w:rsid w:val="00A86820"/>
    <w:rsid w:val="00A86849"/>
    <w:rsid w:val="00A86A3B"/>
    <w:rsid w:val="00A86BBF"/>
    <w:rsid w:val="00A86BDE"/>
    <w:rsid w:val="00A86D0C"/>
    <w:rsid w:val="00A86DC7"/>
    <w:rsid w:val="00A86DF4"/>
    <w:rsid w:val="00A86F86"/>
    <w:rsid w:val="00A86FCE"/>
    <w:rsid w:val="00A8700D"/>
    <w:rsid w:val="00A8701A"/>
    <w:rsid w:val="00A87041"/>
    <w:rsid w:val="00A870C3"/>
    <w:rsid w:val="00A8717C"/>
    <w:rsid w:val="00A87195"/>
    <w:rsid w:val="00A87196"/>
    <w:rsid w:val="00A871F5"/>
    <w:rsid w:val="00A872D2"/>
    <w:rsid w:val="00A872E3"/>
    <w:rsid w:val="00A87343"/>
    <w:rsid w:val="00A87346"/>
    <w:rsid w:val="00A873B1"/>
    <w:rsid w:val="00A873FB"/>
    <w:rsid w:val="00A87415"/>
    <w:rsid w:val="00A87435"/>
    <w:rsid w:val="00A8745D"/>
    <w:rsid w:val="00A874E1"/>
    <w:rsid w:val="00A875B9"/>
    <w:rsid w:val="00A875DF"/>
    <w:rsid w:val="00A87630"/>
    <w:rsid w:val="00A876E1"/>
    <w:rsid w:val="00A87740"/>
    <w:rsid w:val="00A87844"/>
    <w:rsid w:val="00A879CA"/>
    <w:rsid w:val="00A879D5"/>
    <w:rsid w:val="00A87AE5"/>
    <w:rsid w:val="00A87B8D"/>
    <w:rsid w:val="00A87C40"/>
    <w:rsid w:val="00A87CF8"/>
    <w:rsid w:val="00A87D74"/>
    <w:rsid w:val="00A87DC5"/>
    <w:rsid w:val="00A90062"/>
    <w:rsid w:val="00A90065"/>
    <w:rsid w:val="00A900DE"/>
    <w:rsid w:val="00A901B4"/>
    <w:rsid w:val="00A902E8"/>
    <w:rsid w:val="00A90401"/>
    <w:rsid w:val="00A9046B"/>
    <w:rsid w:val="00A904B2"/>
    <w:rsid w:val="00A904C6"/>
    <w:rsid w:val="00A9051A"/>
    <w:rsid w:val="00A90525"/>
    <w:rsid w:val="00A90531"/>
    <w:rsid w:val="00A90620"/>
    <w:rsid w:val="00A9075B"/>
    <w:rsid w:val="00A90836"/>
    <w:rsid w:val="00A90949"/>
    <w:rsid w:val="00A9095C"/>
    <w:rsid w:val="00A90A0B"/>
    <w:rsid w:val="00A90A9F"/>
    <w:rsid w:val="00A90AC1"/>
    <w:rsid w:val="00A90BA5"/>
    <w:rsid w:val="00A90C7B"/>
    <w:rsid w:val="00A90CA5"/>
    <w:rsid w:val="00A90CD8"/>
    <w:rsid w:val="00A90D5D"/>
    <w:rsid w:val="00A90D73"/>
    <w:rsid w:val="00A90DED"/>
    <w:rsid w:val="00A90E03"/>
    <w:rsid w:val="00A90F3D"/>
    <w:rsid w:val="00A90F49"/>
    <w:rsid w:val="00A90F92"/>
    <w:rsid w:val="00A91072"/>
    <w:rsid w:val="00A91119"/>
    <w:rsid w:val="00A9128C"/>
    <w:rsid w:val="00A9162B"/>
    <w:rsid w:val="00A91641"/>
    <w:rsid w:val="00A916FE"/>
    <w:rsid w:val="00A91729"/>
    <w:rsid w:val="00A9177D"/>
    <w:rsid w:val="00A91844"/>
    <w:rsid w:val="00A91860"/>
    <w:rsid w:val="00A9189F"/>
    <w:rsid w:val="00A918A2"/>
    <w:rsid w:val="00A918EF"/>
    <w:rsid w:val="00A91A5B"/>
    <w:rsid w:val="00A91A61"/>
    <w:rsid w:val="00A91AA6"/>
    <w:rsid w:val="00A91B41"/>
    <w:rsid w:val="00A91B4B"/>
    <w:rsid w:val="00A91BA6"/>
    <w:rsid w:val="00A91BD3"/>
    <w:rsid w:val="00A91CA8"/>
    <w:rsid w:val="00A91CE3"/>
    <w:rsid w:val="00A91D6F"/>
    <w:rsid w:val="00A91DE0"/>
    <w:rsid w:val="00A91E8B"/>
    <w:rsid w:val="00A91F92"/>
    <w:rsid w:val="00A92025"/>
    <w:rsid w:val="00A920FE"/>
    <w:rsid w:val="00A921E3"/>
    <w:rsid w:val="00A92257"/>
    <w:rsid w:val="00A92376"/>
    <w:rsid w:val="00A923E3"/>
    <w:rsid w:val="00A9248E"/>
    <w:rsid w:val="00A924CA"/>
    <w:rsid w:val="00A92541"/>
    <w:rsid w:val="00A926A5"/>
    <w:rsid w:val="00A92857"/>
    <w:rsid w:val="00A928DD"/>
    <w:rsid w:val="00A9290F"/>
    <w:rsid w:val="00A92930"/>
    <w:rsid w:val="00A9295E"/>
    <w:rsid w:val="00A92973"/>
    <w:rsid w:val="00A92992"/>
    <w:rsid w:val="00A929B9"/>
    <w:rsid w:val="00A929EB"/>
    <w:rsid w:val="00A92A81"/>
    <w:rsid w:val="00A92A96"/>
    <w:rsid w:val="00A92ABD"/>
    <w:rsid w:val="00A92AE4"/>
    <w:rsid w:val="00A92B25"/>
    <w:rsid w:val="00A92BE5"/>
    <w:rsid w:val="00A92C59"/>
    <w:rsid w:val="00A92C6E"/>
    <w:rsid w:val="00A92CDA"/>
    <w:rsid w:val="00A92CE4"/>
    <w:rsid w:val="00A92D4E"/>
    <w:rsid w:val="00A92DC8"/>
    <w:rsid w:val="00A92DDC"/>
    <w:rsid w:val="00A9313D"/>
    <w:rsid w:val="00A932A9"/>
    <w:rsid w:val="00A93314"/>
    <w:rsid w:val="00A9331B"/>
    <w:rsid w:val="00A93350"/>
    <w:rsid w:val="00A9348B"/>
    <w:rsid w:val="00A93685"/>
    <w:rsid w:val="00A936FF"/>
    <w:rsid w:val="00A93758"/>
    <w:rsid w:val="00A93760"/>
    <w:rsid w:val="00A93839"/>
    <w:rsid w:val="00A938F3"/>
    <w:rsid w:val="00A93930"/>
    <w:rsid w:val="00A93974"/>
    <w:rsid w:val="00A93A0D"/>
    <w:rsid w:val="00A93A13"/>
    <w:rsid w:val="00A93A49"/>
    <w:rsid w:val="00A93B03"/>
    <w:rsid w:val="00A93B0D"/>
    <w:rsid w:val="00A93CDF"/>
    <w:rsid w:val="00A93E90"/>
    <w:rsid w:val="00A93F5F"/>
    <w:rsid w:val="00A93FCC"/>
    <w:rsid w:val="00A9402D"/>
    <w:rsid w:val="00A94030"/>
    <w:rsid w:val="00A94112"/>
    <w:rsid w:val="00A94122"/>
    <w:rsid w:val="00A94277"/>
    <w:rsid w:val="00A942DD"/>
    <w:rsid w:val="00A94363"/>
    <w:rsid w:val="00A94396"/>
    <w:rsid w:val="00A94424"/>
    <w:rsid w:val="00A94498"/>
    <w:rsid w:val="00A94499"/>
    <w:rsid w:val="00A94575"/>
    <w:rsid w:val="00A94696"/>
    <w:rsid w:val="00A94759"/>
    <w:rsid w:val="00A94849"/>
    <w:rsid w:val="00A94881"/>
    <w:rsid w:val="00A948F0"/>
    <w:rsid w:val="00A949F3"/>
    <w:rsid w:val="00A94A36"/>
    <w:rsid w:val="00A94B8E"/>
    <w:rsid w:val="00A94BBC"/>
    <w:rsid w:val="00A94BCC"/>
    <w:rsid w:val="00A94C27"/>
    <w:rsid w:val="00A94C35"/>
    <w:rsid w:val="00A94CA9"/>
    <w:rsid w:val="00A94CFC"/>
    <w:rsid w:val="00A94D08"/>
    <w:rsid w:val="00A94D20"/>
    <w:rsid w:val="00A94DE0"/>
    <w:rsid w:val="00A94E5A"/>
    <w:rsid w:val="00A94E5B"/>
    <w:rsid w:val="00A94E99"/>
    <w:rsid w:val="00A94F7E"/>
    <w:rsid w:val="00A94F8A"/>
    <w:rsid w:val="00A95081"/>
    <w:rsid w:val="00A9508C"/>
    <w:rsid w:val="00A950AC"/>
    <w:rsid w:val="00A9517B"/>
    <w:rsid w:val="00A951D4"/>
    <w:rsid w:val="00A95268"/>
    <w:rsid w:val="00A952A3"/>
    <w:rsid w:val="00A952BF"/>
    <w:rsid w:val="00A95311"/>
    <w:rsid w:val="00A95315"/>
    <w:rsid w:val="00A95331"/>
    <w:rsid w:val="00A9535B"/>
    <w:rsid w:val="00A95409"/>
    <w:rsid w:val="00A95502"/>
    <w:rsid w:val="00A95510"/>
    <w:rsid w:val="00A955C5"/>
    <w:rsid w:val="00A9591D"/>
    <w:rsid w:val="00A95B12"/>
    <w:rsid w:val="00A95B1E"/>
    <w:rsid w:val="00A95B8F"/>
    <w:rsid w:val="00A95B94"/>
    <w:rsid w:val="00A95BD1"/>
    <w:rsid w:val="00A95D09"/>
    <w:rsid w:val="00A95D1C"/>
    <w:rsid w:val="00A95E7E"/>
    <w:rsid w:val="00A95F6D"/>
    <w:rsid w:val="00A95FC0"/>
    <w:rsid w:val="00A96008"/>
    <w:rsid w:val="00A9609B"/>
    <w:rsid w:val="00A960E9"/>
    <w:rsid w:val="00A9611D"/>
    <w:rsid w:val="00A9614A"/>
    <w:rsid w:val="00A961BE"/>
    <w:rsid w:val="00A96202"/>
    <w:rsid w:val="00A96392"/>
    <w:rsid w:val="00A9647B"/>
    <w:rsid w:val="00A964AF"/>
    <w:rsid w:val="00A965E4"/>
    <w:rsid w:val="00A9660F"/>
    <w:rsid w:val="00A966BB"/>
    <w:rsid w:val="00A966D4"/>
    <w:rsid w:val="00A96766"/>
    <w:rsid w:val="00A96887"/>
    <w:rsid w:val="00A968E7"/>
    <w:rsid w:val="00A969AC"/>
    <w:rsid w:val="00A969D9"/>
    <w:rsid w:val="00A96CE0"/>
    <w:rsid w:val="00A96D46"/>
    <w:rsid w:val="00A96D89"/>
    <w:rsid w:val="00A96E31"/>
    <w:rsid w:val="00A96FD3"/>
    <w:rsid w:val="00A9709E"/>
    <w:rsid w:val="00A970EC"/>
    <w:rsid w:val="00A972E2"/>
    <w:rsid w:val="00A974D3"/>
    <w:rsid w:val="00A97523"/>
    <w:rsid w:val="00A9752B"/>
    <w:rsid w:val="00A97691"/>
    <w:rsid w:val="00A976A1"/>
    <w:rsid w:val="00A97739"/>
    <w:rsid w:val="00A9794B"/>
    <w:rsid w:val="00A97A2B"/>
    <w:rsid w:val="00A97AF7"/>
    <w:rsid w:val="00A97BBF"/>
    <w:rsid w:val="00A97BEC"/>
    <w:rsid w:val="00A97BF5"/>
    <w:rsid w:val="00A97C04"/>
    <w:rsid w:val="00A97C0C"/>
    <w:rsid w:val="00A97C97"/>
    <w:rsid w:val="00A97D41"/>
    <w:rsid w:val="00A97D8E"/>
    <w:rsid w:val="00A97DA2"/>
    <w:rsid w:val="00A97DE3"/>
    <w:rsid w:val="00A97E44"/>
    <w:rsid w:val="00A97F3F"/>
    <w:rsid w:val="00A97F83"/>
    <w:rsid w:val="00A97F93"/>
    <w:rsid w:val="00A97FD8"/>
    <w:rsid w:val="00A97FDE"/>
    <w:rsid w:val="00A97FE3"/>
    <w:rsid w:val="00AA0014"/>
    <w:rsid w:val="00AA0026"/>
    <w:rsid w:val="00AA008B"/>
    <w:rsid w:val="00AA00C3"/>
    <w:rsid w:val="00AA00E3"/>
    <w:rsid w:val="00AA0130"/>
    <w:rsid w:val="00AA0145"/>
    <w:rsid w:val="00AA01C5"/>
    <w:rsid w:val="00AA01CD"/>
    <w:rsid w:val="00AA01D1"/>
    <w:rsid w:val="00AA01D2"/>
    <w:rsid w:val="00AA0206"/>
    <w:rsid w:val="00AA0214"/>
    <w:rsid w:val="00AA041D"/>
    <w:rsid w:val="00AA0579"/>
    <w:rsid w:val="00AA0605"/>
    <w:rsid w:val="00AA060F"/>
    <w:rsid w:val="00AA067E"/>
    <w:rsid w:val="00AA07CC"/>
    <w:rsid w:val="00AA08EB"/>
    <w:rsid w:val="00AA0940"/>
    <w:rsid w:val="00AA0AE7"/>
    <w:rsid w:val="00AA0B3E"/>
    <w:rsid w:val="00AA0B82"/>
    <w:rsid w:val="00AA0BA3"/>
    <w:rsid w:val="00AA0BC8"/>
    <w:rsid w:val="00AA0C24"/>
    <w:rsid w:val="00AA0C85"/>
    <w:rsid w:val="00AA0E53"/>
    <w:rsid w:val="00AA0EE0"/>
    <w:rsid w:val="00AA0F1F"/>
    <w:rsid w:val="00AA0F85"/>
    <w:rsid w:val="00AA0FA4"/>
    <w:rsid w:val="00AA0FA7"/>
    <w:rsid w:val="00AA103E"/>
    <w:rsid w:val="00AA10DF"/>
    <w:rsid w:val="00AA1133"/>
    <w:rsid w:val="00AA1145"/>
    <w:rsid w:val="00AA11B7"/>
    <w:rsid w:val="00AA11D4"/>
    <w:rsid w:val="00AA1216"/>
    <w:rsid w:val="00AA1239"/>
    <w:rsid w:val="00AA16A0"/>
    <w:rsid w:val="00AA178E"/>
    <w:rsid w:val="00AA1795"/>
    <w:rsid w:val="00AA1851"/>
    <w:rsid w:val="00AA190D"/>
    <w:rsid w:val="00AA1962"/>
    <w:rsid w:val="00AA19B1"/>
    <w:rsid w:val="00AA19FD"/>
    <w:rsid w:val="00AA1A3E"/>
    <w:rsid w:val="00AA1A42"/>
    <w:rsid w:val="00AA1BE6"/>
    <w:rsid w:val="00AA1C33"/>
    <w:rsid w:val="00AA1C9B"/>
    <w:rsid w:val="00AA1D43"/>
    <w:rsid w:val="00AA1D6C"/>
    <w:rsid w:val="00AA1E32"/>
    <w:rsid w:val="00AA1EFE"/>
    <w:rsid w:val="00AA1F58"/>
    <w:rsid w:val="00AA1FC3"/>
    <w:rsid w:val="00AA1FD5"/>
    <w:rsid w:val="00AA2125"/>
    <w:rsid w:val="00AA215C"/>
    <w:rsid w:val="00AA2276"/>
    <w:rsid w:val="00AA2373"/>
    <w:rsid w:val="00AA23A3"/>
    <w:rsid w:val="00AA242E"/>
    <w:rsid w:val="00AA2461"/>
    <w:rsid w:val="00AA24B2"/>
    <w:rsid w:val="00AA24E9"/>
    <w:rsid w:val="00AA2790"/>
    <w:rsid w:val="00AA2854"/>
    <w:rsid w:val="00AA2865"/>
    <w:rsid w:val="00AA28FD"/>
    <w:rsid w:val="00AA291D"/>
    <w:rsid w:val="00AA291F"/>
    <w:rsid w:val="00AA2A4A"/>
    <w:rsid w:val="00AA2A77"/>
    <w:rsid w:val="00AA2A94"/>
    <w:rsid w:val="00AA2AB7"/>
    <w:rsid w:val="00AA2B00"/>
    <w:rsid w:val="00AA2B91"/>
    <w:rsid w:val="00AA2BEF"/>
    <w:rsid w:val="00AA2BFD"/>
    <w:rsid w:val="00AA2C1A"/>
    <w:rsid w:val="00AA2C49"/>
    <w:rsid w:val="00AA2CF0"/>
    <w:rsid w:val="00AA2D5D"/>
    <w:rsid w:val="00AA2DF4"/>
    <w:rsid w:val="00AA2E91"/>
    <w:rsid w:val="00AA3075"/>
    <w:rsid w:val="00AA3087"/>
    <w:rsid w:val="00AA3096"/>
    <w:rsid w:val="00AA30CB"/>
    <w:rsid w:val="00AA3206"/>
    <w:rsid w:val="00AA3345"/>
    <w:rsid w:val="00AA3367"/>
    <w:rsid w:val="00AA336C"/>
    <w:rsid w:val="00AA33B5"/>
    <w:rsid w:val="00AA33FC"/>
    <w:rsid w:val="00AA3434"/>
    <w:rsid w:val="00AA3579"/>
    <w:rsid w:val="00AA35CE"/>
    <w:rsid w:val="00AA3662"/>
    <w:rsid w:val="00AA36D8"/>
    <w:rsid w:val="00AA37D8"/>
    <w:rsid w:val="00AA3877"/>
    <w:rsid w:val="00AA3892"/>
    <w:rsid w:val="00AA3923"/>
    <w:rsid w:val="00AA39DE"/>
    <w:rsid w:val="00AA3A9B"/>
    <w:rsid w:val="00AA3B14"/>
    <w:rsid w:val="00AA3B31"/>
    <w:rsid w:val="00AA3B6C"/>
    <w:rsid w:val="00AA3BF1"/>
    <w:rsid w:val="00AA3C41"/>
    <w:rsid w:val="00AA3C6F"/>
    <w:rsid w:val="00AA3D72"/>
    <w:rsid w:val="00AA3D86"/>
    <w:rsid w:val="00AA3E08"/>
    <w:rsid w:val="00AA3E39"/>
    <w:rsid w:val="00AA3E51"/>
    <w:rsid w:val="00AA4053"/>
    <w:rsid w:val="00AA405E"/>
    <w:rsid w:val="00AA40C3"/>
    <w:rsid w:val="00AA4190"/>
    <w:rsid w:val="00AA429C"/>
    <w:rsid w:val="00AA4350"/>
    <w:rsid w:val="00AA44A0"/>
    <w:rsid w:val="00AA44CC"/>
    <w:rsid w:val="00AA44FE"/>
    <w:rsid w:val="00AA4524"/>
    <w:rsid w:val="00AA4574"/>
    <w:rsid w:val="00AA47EE"/>
    <w:rsid w:val="00AA482D"/>
    <w:rsid w:val="00AA48B1"/>
    <w:rsid w:val="00AA48E0"/>
    <w:rsid w:val="00AA4948"/>
    <w:rsid w:val="00AA49CD"/>
    <w:rsid w:val="00AA4A11"/>
    <w:rsid w:val="00AA4A40"/>
    <w:rsid w:val="00AA4B32"/>
    <w:rsid w:val="00AA4B5E"/>
    <w:rsid w:val="00AA4BC8"/>
    <w:rsid w:val="00AA4CD8"/>
    <w:rsid w:val="00AA4D98"/>
    <w:rsid w:val="00AA4DDB"/>
    <w:rsid w:val="00AA4F79"/>
    <w:rsid w:val="00AA512A"/>
    <w:rsid w:val="00AA52E4"/>
    <w:rsid w:val="00AA5410"/>
    <w:rsid w:val="00AA5430"/>
    <w:rsid w:val="00AA5481"/>
    <w:rsid w:val="00AA548B"/>
    <w:rsid w:val="00AA54F5"/>
    <w:rsid w:val="00AA555E"/>
    <w:rsid w:val="00AA5672"/>
    <w:rsid w:val="00AA56DB"/>
    <w:rsid w:val="00AA570C"/>
    <w:rsid w:val="00AA58AF"/>
    <w:rsid w:val="00AA58B8"/>
    <w:rsid w:val="00AA58F4"/>
    <w:rsid w:val="00AA5A34"/>
    <w:rsid w:val="00AA5CE8"/>
    <w:rsid w:val="00AA5F4D"/>
    <w:rsid w:val="00AA5F52"/>
    <w:rsid w:val="00AA5F7A"/>
    <w:rsid w:val="00AA6046"/>
    <w:rsid w:val="00AA61E5"/>
    <w:rsid w:val="00AA6229"/>
    <w:rsid w:val="00AA62C7"/>
    <w:rsid w:val="00AA632C"/>
    <w:rsid w:val="00AA6341"/>
    <w:rsid w:val="00AA648C"/>
    <w:rsid w:val="00AA64D5"/>
    <w:rsid w:val="00AA667B"/>
    <w:rsid w:val="00AA66B5"/>
    <w:rsid w:val="00AA6715"/>
    <w:rsid w:val="00AA68E3"/>
    <w:rsid w:val="00AA6920"/>
    <w:rsid w:val="00AA693B"/>
    <w:rsid w:val="00AA6ADF"/>
    <w:rsid w:val="00AA6B10"/>
    <w:rsid w:val="00AA6BA3"/>
    <w:rsid w:val="00AA6C5A"/>
    <w:rsid w:val="00AA6C88"/>
    <w:rsid w:val="00AA6CA0"/>
    <w:rsid w:val="00AA6D84"/>
    <w:rsid w:val="00AA6DB4"/>
    <w:rsid w:val="00AA6ECD"/>
    <w:rsid w:val="00AA6ED1"/>
    <w:rsid w:val="00AA6FDF"/>
    <w:rsid w:val="00AA6FE6"/>
    <w:rsid w:val="00AA7116"/>
    <w:rsid w:val="00AA7157"/>
    <w:rsid w:val="00AA7172"/>
    <w:rsid w:val="00AA7234"/>
    <w:rsid w:val="00AA728D"/>
    <w:rsid w:val="00AA73AD"/>
    <w:rsid w:val="00AA73F5"/>
    <w:rsid w:val="00AA74AA"/>
    <w:rsid w:val="00AA756F"/>
    <w:rsid w:val="00AA759B"/>
    <w:rsid w:val="00AA75F1"/>
    <w:rsid w:val="00AA7637"/>
    <w:rsid w:val="00AA76D3"/>
    <w:rsid w:val="00AA76D7"/>
    <w:rsid w:val="00AA7732"/>
    <w:rsid w:val="00AA775E"/>
    <w:rsid w:val="00AA7792"/>
    <w:rsid w:val="00AA77B8"/>
    <w:rsid w:val="00AA79CA"/>
    <w:rsid w:val="00AA79F5"/>
    <w:rsid w:val="00AA7A5C"/>
    <w:rsid w:val="00AA7AA7"/>
    <w:rsid w:val="00AA7AA9"/>
    <w:rsid w:val="00AA7AE5"/>
    <w:rsid w:val="00AA7B05"/>
    <w:rsid w:val="00AA7B08"/>
    <w:rsid w:val="00AA7B50"/>
    <w:rsid w:val="00AA7BFD"/>
    <w:rsid w:val="00AA7CD9"/>
    <w:rsid w:val="00AA7D46"/>
    <w:rsid w:val="00AA7DF8"/>
    <w:rsid w:val="00AA7DFE"/>
    <w:rsid w:val="00AA7E87"/>
    <w:rsid w:val="00AA7F57"/>
    <w:rsid w:val="00AA7F95"/>
    <w:rsid w:val="00AB0009"/>
    <w:rsid w:val="00AB003A"/>
    <w:rsid w:val="00AB0077"/>
    <w:rsid w:val="00AB0095"/>
    <w:rsid w:val="00AB00CA"/>
    <w:rsid w:val="00AB0133"/>
    <w:rsid w:val="00AB03BE"/>
    <w:rsid w:val="00AB05C1"/>
    <w:rsid w:val="00AB05C6"/>
    <w:rsid w:val="00AB07C6"/>
    <w:rsid w:val="00AB07C9"/>
    <w:rsid w:val="00AB07CE"/>
    <w:rsid w:val="00AB0877"/>
    <w:rsid w:val="00AB08EA"/>
    <w:rsid w:val="00AB0991"/>
    <w:rsid w:val="00AB0A1E"/>
    <w:rsid w:val="00AB0AAF"/>
    <w:rsid w:val="00AB0AFB"/>
    <w:rsid w:val="00AB0B1E"/>
    <w:rsid w:val="00AB0C23"/>
    <w:rsid w:val="00AB0C29"/>
    <w:rsid w:val="00AB0C46"/>
    <w:rsid w:val="00AB0C6A"/>
    <w:rsid w:val="00AB0D43"/>
    <w:rsid w:val="00AB0D8A"/>
    <w:rsid w:val="00AB0DA7"/>
    <w:rsid w:val="00AB0E49"/>
    <w:rsid w:val="00AB0F68"/>
    <w:rsid w:val="00AB0F89"/>
    <w:rsid w:val="00AB0FAB"/>
    <w:rsid w:val="00AB0FFC"/>
    <w:rsid w:val="00AB0FFF"/>
    <w:rsid w:val="00AB105F"/>
    <w:rsid w:val="00AB1192"/>
    <w:rsid w:val="00AB12B0"/>
    <w:rsid w:val="00AB12D4"/>
    <w:rsid w:val="00AB13F3"/>
    <w:rsid w:val="00AB14CB"/>
    <w:rsid w:val="00AB14CF"/>
    <w:rsid w:val="00AB1501"/>
    <w:rsid w:val="00AB1516"/>
    <w:rsid w:val="00AB1575"/>
    <w:rsid w:val="00AB1614"/>
    <w:rsid w:val="00AB1657"/>
    <w:rsid w:val="00AB1671"/>
    <w:rsid w:val="00AB16B7"/>
    <w:rsid w:val="00AB16CE"/>
    <w:rsid w:val="00AB1738"/>
    <w:rsid w:val="00AB177C"/>
    <w:rsid w:val="00AB1796"/>
    <w:rsid w:val="00AB18F5"/>
    <w:rsid w:val="00AB190D"/>
    <w:rsid w:val="00AB193A"/>
    <w:rsid w:val="00AB195E"/>
    <w:rsid w:val="00AB1D4A"/>
    <w:rsid w:val="00AB1D62"/>
    <w:rsid w:val="00AB1E43"/>
    <w:rsid w:val="00AB1E87"/>
    <w:rsid w:val="00AB1F18"/>
    <w:rsid w:val="00AB1F99"/>
    <w:rsid w:val="00AB2056"/>
    <w:rsid w:val="00AB20BC"/>
    <w:rsid w:val="00AB21C6"/>
    <w:rsid w:val="00AB2225"/>
    <w:rsid w:val="00AB2232"/>
    <w:rsid w:val="00AB223C"/>
    <w:rsid w:val="00AB22CB"/>
    <w:rsid w:val="00AB2375"/>
    <w:rsid w:val="00AB2406"/>
    <w:rsid w:val="00AB242B"/>
    <w:rsid w:val="00AB243C"/>
    <w:rsid w:val="00AB252B"/>
    <w:rsid w:val="00AB263F"/>
    <w:rsid w:val="00AB2659"/>
    <w:rsid w:val="00AB27E1"/>
    <w:rsid w:val="00AB27E4"/>
    <w:rsid w:val="00AB2834"/>
    <w:rsid w:val="00AB2841"/>
    <w:rsid w:val="00AB2851"/>
    <w:rsid w:val="00AB28E9"/>
    <w:rsid w:val="00AB291D"/>
    <w:rsid w:val="00AB2A65"/>
    <w:rsid w:val="00AB2C55"/>
    <w:rsid w:val="00AB2DF3"/>
    <w:rsid w:val="00AB2E49"/>
    <w:rsid w:val="00AB2ED8"/>
    <w:rsid w:val="00AB2FBB"/>
    <w:rsid w:val="00AB3021"/>
    <w:rsid w:val="00AB3082"/>
    <w:rsid w:val="00AB31E8"/>
    <w:rsid w:val="00AB321C"/>
    <w:rsid w:val="00AB3256"/>
    <w:rsid w:val="00AB3279"/>
    <w:rsid w:val="00AB328C"/>
    <w:rsid w:val="00AB3291"/>
    <w:rsid w:val="00AB3350"/>
    <w:rsid w:val="00AB3397"/>
    <w:rsid w:val="00AB33C0"/>
    <w:rsid w:val="00AB34EE"/>
    <w:rsid w:val="00AB3525"/>
    <w:rsid w:val="00AB361D"/>
    <w:rsid w:val="00AB37F4"/>
    <w:rsid w:val="00AB3814"/>
    <w:rsid w:val="00AB38B1"/>
    <w:rsid w:val="00AB38BF"/>
    <w:rsid w:val="00AB391A"/>
    <w:rsid w:val="00AB3938"/>
    <w:rsid w:val="00AB397C"/>
    <w:rsid w:val="00AB3AF0"/>
    <w:rsid w:val="00AB3B49"/>
    <w:rsid w:val="00AB3B58"/>
    <w:rsid w:val="00AB3BDB"/>
    <w:rsid w:val="00AB3C04"/>
    <w:rsid w:val="00AB3C2D"/>
    <w:rsid w:val="00AB3C37"/>
    <w:rsid w:val="00AB3C80"/>
    <w:rsid w:val="00AB3D06"/>
    <w:rsid w:val="00AB3D5D"/>
    <w:rsid w:val="00AB3D6B"/>
    <w:rsid w:val="00AB3F0C"/>
    <w:rsid w:val="00AB3F4F"/>
    <w:rsid w:val="00AB3FB3"/>
    <w:rsid w:val="00AB3FE1"/>
    <w:rsid w:val="00AB3FE8"/>
    <w:rsid w:val="00AB3FEA"/>
    <w:rsid w:val="00AB403D"/>
    <w:rsid w:val="00AB4063"/>
    <w:rsid w:val="00AB40C6"/>
    <w:rsid w:val="00AB4116"/>
    <w:rsid w:val="00AB413D"/>
    <w:rsid w:val="00AB4141"/>
    <w:rsid w:val="00AB4238"/>
    <w:rsid w:val="00AB437D"/>
    <w:rsid w:val="00AB43A4"/>
    <w:rsid w:val="00AB43DE"/>
    <w:rsid w:val="00AB43EF"/>
    <w:rsid w:val="00AB446E"/>
    <w:rsid w:val="00AB45B0"/>
    <w:rsid w:val="00AB45C4"/>
    <w:rsid w:val="00AB478D"/>
    <w:rsid w:val="00AB4813"/>
    <w:rsid w:val="00AB4841"/>
    <w:rsid w:val="00AB4965"/>
    <w:rsid w:val="00AB49AD"/>
    <w:rsid w:val="00AB4B04"/>
    <w:rsid w:val="00AB4BB1"/>
    <w:rsid w:val="00AB4C26"/>
    <w:rsid w:val="00AB4D19"/>
    <w:rsid w:val="00AB4D50"/>
    <w:rsid w:val="00AB4D65"/>
    <w:rsid w:val="00AB4D7D"/>
    <w:rsid w:val="00AB4DEC"/>
    <w:rsid w:val="00AB4E32"/>
    <w:rsid w:val="00AB4E9B"/>
    <w:rsid w:val="00AB4FA9"/>
    <w:rsid w:val="00AB5004"/>
    <w:rsid w:val="00AB507D"/>
    <w:rsid w:val="00AB5193"/>
    <w:rsid w:val="00AB519D"/>
    <w:rsid w:val="00AB5288"/>
    <w:rsid w:val="00AB52A4"/>
    <w:rsid w:val="00AB53C9"/>
    <w:rsid w:val="00AB544D"/>
    <w:rsid w:val="00AB549E"/>
    <w:rsid w:val="00AB5568"/>
    <w:rsid w:val="00AB5682"/>
    <w:rsid w:val="00AB5695"/>
    <w:rsid w:val="00AB573D"/>
    <w:rsid w:val="00AB57A4"/>
    <w:rsid w:val="00AB57F0"/>
    <w:rsid w:val="00AB581E"/>
    <w:rsid w:val="00AB59E0"/>
    <w:rsid w:val="00AB5A54"/>
    <w:rsid w:val="00AB5B57"/>
    <w:rsid w:val="00AB5B79"/>
    <w:rsid w:val="00AB5BFA"/>
    <w:rsid w:val="00AB5CC2"/>
    <w:rsid w:val="00AB5D78"/>
    <w:rsid w:val="00AB5E25"/>
    <w:rsid w:val="00AB5EE1"/>
    <w:rsid w:val="00AB5F9C"/>
    <w:rsid w:val="00AB6102"/>
    <w:rsid w:val="00AB613A"/>
    <w:rsid w:val="00AB6240"/>
    <w:rsid w:val="00AB62D1"/>
    <w:rsid w:val="00AB6452"/>
    <w:rsid w:val="00AB6477"/>
    <w:rsid w:val="00AB65B6"/>
    <w:rsid w:val="00AB6656"/>
    <w:rsid w:val="00AB6746"/>
    <w:rsid w:val="00AB687A"/>
    <w:rsid w:val="00AB69DB"/>
    <w:rsid w:val="00AB6A69"/>
    <w:rsid w:val="00AB6A84"/>
    <w:rsid w:val="00AB6B25"/>
    <w:rsid w:val="00AB6B82"/>
    <w:rsid w:val="00AB6BC4"/>
    <w:rsid w:val="00AB6DCF"/>
    <w:rsid w:val="00AB6EC8"/>
    <w:rsid w:val="00AB6F1D"/>
    <w:rsid w:val="00AB6F3B"/>
    <w:rsid w:val="00AB733E"/>
    <w:rsid w:val="00AB75B8"/>
    <w:rsid w:val="00AB75C3"/>
    <w:rsid w:val="00AB760E"/>
    <w:rsid w:val="00AB76CE"/>
    <w:rsid w:val="00AB76E8"/>
    <w:rsid w:val="00AB77C4"/>
    <w:rsid w:val="00AB77CF"/>
    <w:rsid w:val="00AB7855"/>
    <w:rsid w:val="00AB792E"/>
    <w:rsid w:val="00AB7937"/>
    <w:rsid w:val="00AB79AD"/>
    <w:rsid w:val="00AB7A4E"/>
    <w:rsid w:val="00AB7AA6"/>
    <w:rsid w:val="00AB7C07"/>
    <w:rsid w:val="00AB7C39"/>
    <w:rsid w:val="00AB7D6D"/>
    <w:rsid w:val="00AB7E83"/>
    <w:rsid w:val="00AB7F17"/>
    <w:rsid w:val="00AB7FD8"/>
    <w:rsid w:val="00AC0017"/>
    <w:rsid w:val="00AC005A"/>
    <w:rsid w:val="00AC00D3"/>
    <w:rsid w:val="00AC00D4"/>
    <w:rsid w:val="00AC0146"/>
    <w:rsid w:val="00AC016B"/>
    <w:rsid w:val="00AC017E"/>
    <w:rsid w:val="00AC02D2"/>
    <w:rsid w:val="00AC0355"/>
    <w:rsid w:val="00AC03FD"/>
    <w:rsid w:val="00AC0453"/>
    <w:rsid w:val="00AC05D2"/>
    <w:rsid w:val="00AC08DC"/>
    <w:rsid w:val="00AC0A84"/>
    <w:rsid w:val="00AC0AB0"/>
    <w:rsid w:val="00AC0B46"/>
    <w:rsid w:val="00AC0B50"/>
    <w:rsid w:val="00AC0BC3"/>
    <w:rsid w:val="00AC0DF1"/>
    <w:rsid w:val="00AC0F0A"/>
    <w:rsid w:val="00AC11A5"/>
    <w:rsid w:val="00AC11FD"/>
    <w:rsid w:val="00AC12C9"/>
    <w:rsid w:val="00AC1301"/>
    <w:rsid w:val="00AC1467"/>
    <w:rsid w:val="00AC160D"/>
    <w:rsid w:val="00AC1790"/>
    <w:rsid w:val="00AC1891"/>
    <w:rsid w:val="00AC1986"/>
    <w:rsid w:val="00AC19F8"/>
    <w:rsid w:val="00AC1A5B"/>
    <w:rsid w:val="00AC1C2C"/>
    <w:rsid w:val="00AC1C80"/>
    <w:rsid w:val="00AC1C82"/>
    <w:rsid w:val="00AC1C9B"/>
    <w:rsid w:val="00AC1DAF"/>
    <w:rsid w:val="00AC1EBE"/>
    <w:rsid w:val="00AC1F40"/>
    <w:rsid w:val="00AC1F99"/>
    <w:rsid w:val="00AC1FDF"/>
    <w:rsid w:val="00AC1FF2"/>
    <w:rsid w:val="00AC2011"/>
    <w:rsid w:val="00AC2028"/>
    <w:rsid w:val="00AC233D"/>
    <w:rsid w:val="00AC2386"/>
    <w:rsid w:val="00AC23A6"/>
    <w:rsid w:val="00AC23F1"/>
    <w:rsid w:val="00AC24F2"/>
    <w:rsid w:val="00AC2501"/>
    <w:rsid w:val="00AC25D5"/>
    <w:rsid w:val="00AC26D3"/>
    <w:rsid w:val="00AC26F1"/>
    <w:rsid w:val="00AC29C0"/>
    <w:rsid w:val="00AC2A9B"/>
    <w:rsid w:val="00AC2AD9"/>
    <w:rsid w:val="00AC2B56"/>
    <w:rsid w:val="00AC2BE6"/>
    <w:rsid w:val="00AC2C2F"/>
    <w:rsid w:val="00AC2C32"/>
    <w:rsid w:val="00AC2D6E"/>
    <w:rsid w:val="00AC2DCA"/>
    <w:rsid w:val="00AC2EE1"/>
    <w:rsid w:val="00AC2F04"/>
    <w:rsid w:val="00AC2F31"/>
    <w:rsid w:val="00AC3099"/>
    <w:rsid w:val="00AC3115"/>
    <w:rsid w:val="00AC319B"/>
    <w:rsid w:val="00AC3207"/>
    <w:rsid w:val="00AC330D"/>
    <w:rsid w:val="00AC3364"/>
    <w:rsid w:val="00AC3378"/>
    <w:rsid w:val="00AC33A4"/>
    <w:rsid w:val="00AC33AA"/>
    <w:rsid w:val="00AC3412"/>
    <w:rsid w:val="00AC3503"/>
    <w:rsid w:val="00AC3603"/>
    <w:rsid w:val="00AC3626"/>
    <w:rsid w:val="00AC37ED"/>
    <w:rsid w:val="00AC3838"/>
    <w:rsid w:val="00AC390B"/>
    <w:rsid w:val="00AC39EB"/>
    <w:rsid w:val="00AC3A34"/>
    <w:rsid w:val="00AC3A6B"/>
    <w:rsid w:val="00AC3AC5"/>
    <w:rsid w:val="00AC3AC7"/>
    <w:rsid w:val="00AC3B61"/>
    <w:rsid w:val="00AC3B72"/>
    <w:rsid w:val="00AC3CE6"/>
    <w:rsid w:val="00AC3DB0"/>
    <w:rsid w:val="00AC3F1D"/>
    <w:rsid w:val="00AC3F98"/>
    <w:rsid w:val="00AC3FF6"/>
    <w:rsid w:val="00AC42FC"/>
    <w:rsid w:val="00AC43D7"/>
    <w:rsid w:val="00AC43DC"/>
    <w:rsid w:val="00AC441F"/>
    <w:rsid w:val="00AC44DB"/>
    <w:rsid w:val="00AC462B"/>
    <w:rsid w:val="00AC46B0"/>
    <w:rsid w:val="00AC471F"/>
    <w:rsid w:val="00AC478B"/>
    <w:rsid w:val="00AC483F"/>
    <w:rsid w:val="00AC48AE"/>
    <w:rsid w:val="00AC49A0"/>
    <w:rsid w:val="00AC4D0E"/>
    <w:rsid w:val="00AC4D22"/>
    <w:rsid w:val="00AC4D74"/>
    <w:rsid w:val="00AC4DCA"/>
    <w:rsid w:val="00AC4DD4"/>
    <w:rsid w:val="00AC4FBB"/>
    <w:rsid w:val="00AC4FDF"/>
    <w:rsid w:val="00AC5093"/>
    <w:rsid w:val="00AC5166"/>
    <w:rsid w:val="00AC51C8"/>
    <w:rsid w:val="00AC5381"/>
    <w:rsid w:val="00AC541F"/>
    <w:rsid w:val="00AC547B"/>
    <w:rsid w:val="00AC54D4"/>
    <w:rsid w:val="00AC55AC"/>
    <w:rsid w:val="00AC55F1"/>
    <w:rsid w:val="00AC5616"/>
    <w:rsid w:val="00AC5631"/>
    <w:rsid w:val="00AC5637"/>
    <w:rsid w:val="00AC565C"/>
    <w:rsid w:val="00AC56B2"/>
    <w:rsid w:val="00AC56DE"/>
    <w:rsid w:val="00AC5760"/>
    <w:rsid w:val="00AC576B"/>
    <w:rsid w:val="00AC57AC"/>
    <w:rsid w:val="00AC57B8"/>
    <w:rsid w:val="00AC5899"/>
    <w:rsid w:val="00AC58C6"/>
    <w:rsid w:val="00AC58D9"/>
    <w:rsid w:val="00AC58FA"/>
    <w:rsid w:val="00AC58FF"/>
    <w:rsid w:val="00AC5936"/>
    <w:rsid w:val="00AC597F"/>
    <w:rsid w:val="00AC59C5"/>
    <w:rsid w:val="00AC5A73"/>
    <w:rsid w:val="00AC5AA1"/>
    <w:rsid w:val="00AC5BCC"/>
    <w:rsid w:val="00AC5C87"/>
    <w:rsid w:val="00AC5CCE"/>
    <w:rsid w:val="00AC5D27"/>
    <w:rsid w:val="00AC5D39"/>
    <w:rsid w:val="00AC5D44"/>
    <w:rsid w:val="00AC5DF8"/>
    <w:rsid w:val="00AC5E88"/>
    <w:rsid w:val="00AC5ECB"/>
    <w:rsid w:val="00AC5F36"/>
    <w:rsid w:val="00AC5FE6"/>
    <w:rsid w:val="00AC602B"/>
    <w:rsid w:val="00AC60A4"/>
    <w:rsid w:val="00AC6101"/>
    <w:rsid w:val="00AC619E"/>
    <w:rsid w:val="00AC6236"/>
    <w:rsid w:val="00AC6237"/>
    <w:rsid w:val="00AC633B"/>
    <w:rsid w:val="00AC634A"/>
    <w:rsid w:val="00AC637F"/>
    <w:rsid w:val="00AC6445"/>
    <w:rsid w:val="00AC647E"/>
    <w:rsid w:val="00AC64CC"/>
    <w:rsid w:val="00AC64D0"/>
    <w:rsid w:val="00AC66D7"/>
    <w:rsid w:val="00AC675B"/>
    <w:rsid w:val="00AC6785"/>
    <w:rsid w:val="00AC6787"/>
    <w:rsid w:val="00AC678C"/>
    <w:rsid w:val="00AC6875"/>
    <w:rsid w:val="00AC6974"/>
    <w:rsid w:val="00AC69B7"/>
    <w:rsid w:val="00AC69E1"/>
    <w:rsid w:val="00AC6A0E"/>
    <w:rsid w:val="00AC6A3C"/>
    <w:rsid w:val="00AC6CAC"/>
    <w:rsid w:val="00AC6F0D"/>
    <w:rsid w:val="00AC6F7D"/>
    <w:rsid w:val="00AC70BA"/>
    <w:rsid w:val="00AC70BB"/>
    <w:rsid w:val="00AC70EC"/>
    <w:rsid w:val="00AC71CF"/>
    <w:rsid w:val="00AC720A"/>
    <w:rsid w:val="00AC723B"/>
    <w:rsid w:val="00AC7251"/>
    <w:rsid w:val="00AC731C"/>
    <w:rsid w:val="00AC732F"/>
    <w:rsid w:val="00AC7385"/>
    <w:rsid w:val="00AC741A"/>
    <w:rsid w:val="00AC74BE"/>
    <w:rsid w:val="00AC74FF"/>
    <w:rsid w:val="00AC7574"/>
    <w:rsid w:val="00AC76C3"/>
    <w:rsid w:val="00AC7833"/>
    <w:rsid w:val="00AC783C"/>
    <w:rsid w:val="00AC78DF"/>
    <w:rsid w:val="00AC794E"/>
    <w:rsid w:val="00AC7A12"/>
    <w:rsid w:val="00AC7A62"/>
    <w:rsid w:val="00AC7A9D"/>
    <w:rsid w:val="00AC7ADC"/>
    <w:rsid w:val="00AC7B4F"/>
    <w:rsid w:val="00AC7C47"/>
    <w:rsid w:val="00AC7D59"/>
    <w:rsid w:val="00AC7DA2"/>
    <w:rsid w:val="00AC7DAB"/>
    <w:rsid w:val="00AC7E44"/>
    <w:rsid w:val="00AC7E69"/>
    <w:rsid w:val="00AC7EA9"/>
    <w:rsid w:val="00AC7F81"/>
    <w:rsid w:val="00AC7FEE"/>
    <w:rsid w:val="00AD00CC"/>
    <w:rsid w:val="00AD0135"/>
    <w:rsid w:val="00AD01EB"/>
    <w:rsid w:val="00AD0248"/>
    <w:rsid w:val="00AD02C1"/>
    <w:rsid w:val="00AD04CD"/>
    <w:rsid w:val="00AD04D1"/>
    <w:rsid w:val="00AD0675"/>
    <w:rsid w:val="00AD0682"/>
    <w:rsid w:val="00AD06A4"/>
    <w:rsid w:val="00AD06B3"/>
    <w:rsid w:val="00AD0703"/>
    <w:rsid w:val="00AD0730"/>
    <w:rsid w:val="00AD0772"/>
    <w:rsid w:val="00AD079F"/>
    <w:rsid w:val="00AD083D"/>
    <w:rsid w:val="00AD09A6"/>
    <w:rsid w:val="00AD09CF"/>
    <w:rsid w:val="00AD09E2"/>
    <w:rsid w:val="00AD0A7A"/>
    <w:rsid w:val="00AD0B6E"/>
    <w:rsid w:val="00AD0BDA"/>
    <w:rsid w:val="00AD0C82"/>
    <w:rsid w:val="00AD0D1B"/>
    <w:rsid w:val="00AD0E51"/>
    <w:rsid w:val="00AD0E75"/>
    <w:rsid w:val="00AD0EA2"/>
    <w:rsid w:val="00AD0EA4"/>
    <w:rsid w:val="00AD0F05"/>
    <w:rsid w:val="00AD0F4A"/>
    <w:rsid w:val="00AD0F75"/>
    <w:rsid w:val="00AD10F6"/>
    <w:rsid w:val="00AD1111"/>
    <w:rsid w:val="00AD11B3"/>
    <w:rsid w:val="00AD1225"/>
    <w:rsid w:val="00AD138F"/>
    <w:rsid w:val="00AD1518"/>
    <w:rsid w:val="00AD16FF"/>
    <w:rsid w:val="00AD1758"/>
    <w:rsid w:val="00AD176E"/>
    <w:rsid w:val="00AD1798"/>
    <w:rsid w:val="00AD183F"/>
    <w:rsid w:val="00AD184F"/>
    <w:rsid w:val="00AD188E"/>
    <w:rsid w:val="00AD18E4"/>
    <w:rsid w:val="00AD18FD"/>
    <w:rsid w:val="00AD1905"/>
    <w:rsid w:val="00AD1969"/>
    <w:rsid w:val="00AD19A4"/>
    <w:rsid w:val="00AD1B72"/>
    <w:rsid w:val="00AD1C24"/>
    <w:rsid w:val="00AD1C2A"/>
    <w:rsid w:val="00AD1D97"/>
    <w:rsid w:val="00AD1E17"/>
    <w:rsid w:val="00AD1EE6"/>
    <w:rsid w:val="00AD1F19"/>
    <w:rsid w:val="00AD1F22"/>
    <w:rsid w:val="00AD209B"/>
    <w:rsid w:val="00AD223E"/>
    <w:rsid w:val="00AD223F"/>
    <w:rsid w:val="00AD22EF"/>
    <w:rsid w:val="00AD2366"/>
    <w:rsid w:val="00AD23E3"/>
    <w:rsid w:val="00AD2675"/>
    <w:rsid w:val="00AD2688"/>
    <w:rsid w:val="00AD2735"/>
    <w:rsid w:val="00AD273C"/>
    <w:rsid w:val="00AD2763"/>
    <w:rsid w:val="00AD27BD"/>
    <w:rsid w:val="00AD281E"/>
    <w:rsid w:val="00AD283F"/>
    <w:rsid w:val="00AD299F"/>
    <w:rsid w:val="00AD2A21"/>
    <w:rsid w:val="00AD2B49"/>
    <w:rsid w:val="00AD2C2F"/>
    <w:rsid w:val="00AD2C63"/>
    <w:rsid w:val="00AD2C87"/>
    <w:rsid w:val="00AD2CCD"/>
    <w:rsid w:val="00AD2EC1"/>
    <w:rsid w:val="00AD3110"/>
    <w:rsid w:val="00AD3111"/>
    <w:rsid w:val="00AD31E9"/>
    <w:rsid w:val="00AD3317"/>
    <w:rsid w:val="00AD349B"/>
    <w:rsid w:val="00AD356F"/>
    <w:rsid w:val="00AD3571"/>
    <w:rsid w:val="00AD3580"/>
    <w:rsid w:val="00AD35E9"/>
    <w:rsid w:val="00AD361C"/>
    <w:rsid w:val="00AD3621"/>
    <w:rsid w:val="00AD3698"/>
    <w:rsid w:val="00AD372F"/>
    <w:rsid w:val="00AD3961"/>
    <w:rsid w:val="00AD39B3"/>
    <w:rsid w:val="00AD39D7"/>
    <w:rsid w:val="00AD3A93"/>
    <w:rsid w:val="00AD3B1F"/>
    <w:rsid w:val="00AD3B57"/>
    <w:rsid w:val="00AD3B7D"/>
    <w:rsid w:val="00AD3BA6"/>
    <w:rsid w:val="00AD3BC6"/>
    <w:rsid w:val="00AD3BD8"/>
    <w:rsid w:val="00AD3C23"/>
    <w:rsid w:val="00AD3DA6"/>
    <w:rsid w:val="00AD3EFE"/>
    <w:rsid w:val="00AD3F59"/>
    <w:rsid w:val="00AD3FA8"/>
    <w:rsid w:val="00AD41FB"/>
    <w:rsid w:val="00AD4201"/>
    <w:rsid w:val="00AD430C"/>
    <w:rsid w:val="00AD4320"/>
    <w:rsid w:val="00AD4348"/>
    <w:rsid w:val="00AD4433"/>
    <w:rsid w:val="00AD44E8"/>
    <w:rsid w:val="00AD457D"/>
    <w:rsid w:val="00AD45A6"/>
    <w:rsid w:val="00AD462E"/>
    <w:rsid w:val="00AD46B8"/>
    <w:rsid w:val="00AD4925"/>
    <w:rsid w:val="00AD4A16"/>
    <w:rsid w:val="00AD4B20"/>
    <w:rsid w:val="00AD4B6D"/>
    <w:rsid w:val="00AD4B84"/>
    <w:rsid w:val="00AD4B8A"/>
    <w:rsid w:val="00AD4BFB"/>
    <w:rsid w:val="00AD4C21"/>
    <w:rsid w:val="00AD4CD2"/>
    <w:rsid w:val="00AD4F44"/>
    <w:rsid w:val="00AD5051"/>
    <w:rsid w:val="00AD509A"/>
    <w:rsid w:val="00AD50A1"/>
    <w:rsid w:val="00AD52F6"/>
    <w:rsid w:val="00AD5416"/>
    <w:rsid w:val="00AD54B8"/>
    <w:rsid w:val="00AD5542"/>
    <w:rsid w:val="00AD55FD"/>
    <w:rsid w:val="00AD57E9"/>
    <w:rsid w:val="00AD5808"/>
    <w:rsid w:val="00AD584C"/>
    <w:rsid w:val="00AD58C1"/>
    <w:rsid w:val="00AD58F2"/>
    <w:rsid w:val="00AD59B5"/>
    <w:rsid w:val="00AD5A31"/>
    <w:rsid w:val="00AD5A41"/>
    <w:rsid w:val="00AD5A68"/>
    <w:rsid w:val="00AD5ACC"/>
    <w:rsid w:val="00AD5CF6"/>
    <w:rsid w:val="00AD5D06"/>
    <w:rsid w:val="00AD5D1F"/>
    <w:rsid w:val="00AD5D67"/>
    <w:rsid w:val="00AD5DA4"/>
    <w:rsid w:val="00AD5E1F"/>
    <w:rsid w:val="00AD5EE9"/>
    <w:rsid w:val="00AD60EA"/>
    <w:rsid w:val="00AD617F"/>
    <w:rsid w:val="00AD61DD"/>
    <w:rsid w:val="00AD61DF"/>
    <w:rsid w:val="00AD6348"/>
    <w:rsid w:val="00AD646A"/>
    <w:rsid w:val="00AD64A3"/>
    <w:rsid w:val="00AD64BD"/>
    <w:rsid w:val="00AD6542"/>
    <w:rsid w:val="00AD66CD"/>
    <w:rsid w:val="00AD67D4"/>
    <w:rsid w:val="00AD69EE"/>
    <w:rsid w:val="00AD6B6B"/>
    <w:rsid w:val="00AD6CEF"/>
    <w:rsid w:val="00AD6D25"/>
    <w:rsid w:val="00AD6DC8"/>
    <w:rsid w:val="00AD6E76"/>
    <w:rsid w:val="00AD6F11"/>
    <w:rsid w:val="00AD6FC8"/>
    <w:rsid w:val="00AD7003"/>
    <w:rsid w:val="00AD7004"/>
    <w:rsid w:val="00AD702D"/>
    <w:rsid w:val="00AD709D"/>
    <w:rsid w:val="00AD713B"/>
    <w:rsid w:val="00AD7269"/>
    <w:rsid w:val="00AD74AF"/>
    <w:rsid w:val="00AD74B7"/>
    <w:rsid w:val="00AD74E4"/>
    <w:rsid w:val="00AD770A"/>
    <w:rsid w:val="00AD7710"/>
    <w:rsid w:val="00AD7720"/>
    <w:rsid w:val="00AD779E"/>
    <w:rsid w:val="00AD780D"/>
    <w:rsid w:val="00AD78DB"/>
    <w:rsid w:val="00AD78EA"/>
    <w:rsid w:val="00AD7B42"/>
    <w:rsid w:val="00AD7C4D"/>
    <w:rsid w:val="00AD7C7D"/>
    <w:rsid w:val="00AD7CA6"/>
    <w:rsid w:val="00AD7CF1"/>
    <w:rsid w:val="00AD7DA6"/>
    <w:rsid w:val="00AD7F3C"/>
    <w:rsid w:val="00AD7F58"/>
    <w:rsid w:val="00AD7FAB"/>
    <w:rsid w:val="00AE0053"/>
    <w:rsid w:val="00AE01A7"/>
    <w:rsid w:val="00AE01BD"/>
    <w:rsid w:val="00AE028F"/>
    <w:rsid w:val="00AE02E6"/>
    <w:rsid w:val="00AE034B"/>
    <w:rsid w:val="00AE03EF"/>
    <w:rsid w:val="00AE0440"/>
    <w:rsid w:val="00AE05BB"/>
    <w:rsid w:val="00AE072C"/>
    <w:rsid w:val="00AE0746"/>
    <w:rsid w:val="00AE07DD"/>
    <w:rsid w:val="00AE07EE"/>
    <w:rsid w:val="00AE0863"/>
    <w:rsid w:val="00AE088D"/>
    <w:rsid w:val="00AE0AC7"/>
    <w:rsid w:val="00AE0C62"/>
    <w:rsid w:val="00AE0C8C"/>
    <w:rsid w:val="00AE0D4C"/>
    <w:rsid w:val="00AE0D95"/>
    <w:rsid w:val="00AE0F0B"/>
    <w:rsid w:val="00AE0F69"/>
    <w:rsid w:val="00AE0FED"/>
    <w:rsid w:val="00AE0FF8"/>
    <w:rsid w:val="00AE1014"/>
    <w:rsid w:val="00AE1029"/>
    <w:rsid w:val="00AE108E"/>
    <w:rsid w:val="00AE113E"/>
    <w:rsid w:val="00AE1218"/>
    <w:rsid w:val="00AE1228"/>
    <w:rsid w:val="00AE12F8"/>
    <w:rsid w:val="00AE13BF"/>
    <w:rsid w:val="00AE140C"/>
    <w:rsid w:val="00AE142E"/>
    <w:rsid w:val="00AE143F"/>
    <w:rsid w:val="00AE146C"/>
    <w:rsid w:val="00AE14B4"/>
    <w:rsid w:val="00AE14C3"/>
    <w:rsid w:val="00AE151A"/>
    <w:rsid w:val="00AE15BD"/>
    <w:rsid w:val="00AE1662"/>
    <w:rsid w:val="00AE16F4"/>
    <w:rsid w:val="00AE181D"/>
    <w:rsid w:val="00AE1861"/>
    <w:rsid w:val="00AE189F"/>
    <w:rsid w:val="00AE194E"/>
    <w:rsid w:val="00AE1951"/>
    <w:rsid w:val="00AE1982"/>
    <w:rsid w:val="00AE19FF"/>
    <w:rsid w:val="00AE1AE0"/>
    <w:rsid w:val="00AE1B67"/>
    <w:rsid w:val="00AE1B80"/>
    <w:rsid w:val="00AE1BEF"/>
    <w:rsid w:val="00AE1C1D"/>
    <w:rsid w:val="00AE1C70"/>
    <w:rsid w:val="00AE1CCB"/>
    <w:rsid w:val="00AE1CCF"/>
    <w:rsid w:val="00AE1E92"/>
    <w:rsid w:val="00AE1E9F"/>
    <w:rsid w:val="00AE1F2F"/>
    <w:rsid w:val="00AE20B3"/>
    <w:rsid w:val="00AE2148"/>
    <w:rsid w:val="00AE21A8"/>
    <w:rsid w:val="00AE21E6"/>
    <w:rsid w:val="00AE2401"/>
    <w:rsid w:val="00AE244A"/>
    <w:rsid w:val="00AE2582"/>
    <w:rsid w:val="00AE2651"/>
    <w:rsid w:val="00AE26F8"/>
    <w:rsid w:val="00AE272E"/>
    <w:rsid w:val="00AE2754"/>
    <w:rsid w:val="00AE2805"/>
    <w:rsid w:val="00AE2847"/>
    <w:rsid w:val="00AE28CA"/>
    <w:rsid w:val="00AE2917"/>
    <w:rsid w:val="00AE2A36"/>
    <w:rsid w:val="00AE2B50"/>
    <w:rsid w:val="00AE2C08"/>
    <w:rsid w:val="00AE2CB0"/>
    <w:rsid w:val="00AE2DE7"/>
    <w:rsid w:val="00AE2E50"/>
    <w:rsid w:val="00AE2E5E"/>
    <w:rsid w:val="00AE2ECF"/>
    <w:rsid w:val="00AE2F0E"/>
    <w:rsid w:val="00AE2F88"/>
    <w:rsid w:val="00AE2FB4"/>
    <w:rsid w:val="00AE3057"/>
    <w:rsid w:val="00AE313D"/>
    <w:rsid w:val="00AE31EC"/>
    <w:rsid w:val="00AE324E"/>
    <w:rsid w:val="00AE32AE"/>
    <w:rsid w:val="00AE3583"/>
    <w:rsid w:val="00AE363B"/>
    <w:rsid w:val="00AE376C"/>
    <w:rsid w:val="00AE37D7"/>
    <w:rsid w:val="00AE3821"/>
    <w:rsid w:val="00AE3AB4"/>
    <w:rsid w:val="00AE3AF3"/>
    <w:rsid w:val="00AE3B63"/>
    <w:rsid w:val="00AE3BE6"/>
    <w:rsid w:val="00AE3C03"/>
    <w:rsid w:val="00AE3CA7"/>
    <w:rsid w:val="00AE3D58"/>
    <w:rsid w:val="00AE3E11"/>
    <w:rsid w:val="00AE3E35"/>
    <w:rsid w:val="00AE3FA9"/>
    <w:rsid w:val="00AE4041"/>
    <w:rsid w:val="00AE4087"/>
    <w:rsid w:val="00AE41A4"/>
    <w:rsid w:val="00AE41EE"/>
    <w:rsid w:val="00AE426D"/>
    <w:rsid w:val="00AE4331"/>
    <w:rsid w:val="00AE4422"/>
    <w:rsid w:val="00AE443B"/>
    <w:rsid w:val="00AE44CE"/>
    <w:rsid w:val="00AE459B"/>
    <w:rsid w:val="00AE45E0"/>
    <w:rsid w:val="00AE464D"/>
    <w:rsid w:val="00AE4726"/>
    <w:rsid w:val="00AE4811"/>
    <w:rsid w:val="00AE481F"/>
    <w:rsid w:val="00AE4861"/>
    <w:rsid w:val="00AE4926"/>
    <w:rsid w:val="00AE493A"/>
    <w:rsid w:val="00AE4AC2"/>
    <w:rsid w:val="00AE4AF4"/>
    <w:rsid w:val="00AE4DE5"/>
    <w:rsid w:val="00AE4EC8"/>
    <w:rsid w:val="00AE4ED7"/>
    <w:rsid w:val="00AE4F51"/>
    <w:rsid w:val="00AE50E9"/>
    <w:rsid w:val="00AE5193"/>
    <w:rsid w:val="00AE51BF"/>
    <w:rsid w:val="00AE51C0"/>
    <w:rsid w:val="00AE52AC"/>
    <w:rsid w:val="00AE52E3"/>
    <w:rsid w:val="00AE5417"/>
    <w:rsid w:val="00AE5430"/>
    <w:rsid w:val="00AE5448"/>
    <w:rsid w:val="00AE54A6"/>
    <w:rsid w:val="00AE575D"/>
    <w:rsid w:val="00AE5AF3"/>
    <w:rsid w:val="00AE5C93"/>
    <w:rsid w:val="00AE5CF7"/>
    <w:rsid w:val="00AE5EA1"/>
    <w:rsid w:val="00AE5EBE"/>
    <w:rsid w:val="00AE5F3C"/>
    <w:rsid w:val="00AE5F4D"/>
    <w:rsid w:val="00AE5FEB"/>
    <w:rsid w:val="00AE5FFF"/>
    <w:rsid w:val="00AE6139"/>
    <w:rsid w:val="00AE614D"/>
    <w:rsid w:val="00AE6162"/>
    <w:rsid w:val="00AE62E1"/>
    <w:rsid w:val="00AE633C"/>
    <w:rsid w:val="00AE636E"/>
    <w:rsid w:val="00AE6466"/>
    <w:rsid w:val="00AE649C"/>
    <w:rsid w:val="00AE650F"/>
    <w:rsid w:val="00AE6523"/>
    <w:rsid w:val="00AE65C1"/>
    <w:rsid w:val="00AE6649"/>
    <w:rsid w:val="00AE670F"/>
    <w:rsid w:val="00AE67EC"/>
    <w:rsid w:val="00AE686E"/>
    <w:rsid w:val="00AE68D7"/>
    <w:rsid w:val="00AE68EC"/>
    <w:rsid w:val="00AE690A"/>
    <w:rsid w:val="00AE695A"/>
    <w:rsid w:val="00AE6978"/>
    <w:rsid w:val="00AE69BE"/>
    <w:rsid w:val="00AE6AB9"/>
    <w:rsid w:val="00AE6AE0"/>
    <w:rsid w:val="00AE6B31"/>
    <w:rsid w:val="00AE6CB9"/>
    <w:rsid w:val="00AE6D79"/>
    <w:rsid w:val="00AE6DF4"/>
    <w:rsid w:val="00AE6EFB"/>
    <w:rsid w:val="00AE70DE"/>
    <w:rsid w:val="00AE7196"/>
    <w:rsid w:val="00AE7252"/>
    <w:rsid w:val="00AE7345"/>
    <w:rsid w:val="00AE74AC"/>
    <w:rsid w:val="00AE75B5"/>
    <w:rsid w:val="00AE75CE"/>
    <w:rsid w:val="00AE7673"/>
    <w:rsid w:val="00AE7696"/>
    <w:rsid w:val="00AE7710"/>
    <w:rsid w:val="00AE7807"/>
    <w:rsid w:val="00AE7849"/>
    <w:rsid w:val="00AE7977"/>
    <w:rsid w:val="00AE798D"/>
    <w:rsid w:val="00AE7B16"/>
    <w:rsid w:val="00AE7CF0"/>
    <w:rsid w:val="00AE7D19"/>
    <w:rsid w:val="00AE7E81"/>
    <w:rsid w:val="00AE7E82"/>
    <w:rsid w:val="00AE7F06"/>
    <w:rsid w:val="00AE7F4E"/>
    <w:rsid w:val="00AE7F7B"/>
    <w:rsid w:val="00AF0257"/>
    <w:rsid w:val="00AF032C"/>
    <w:rsid w:val="00AF0331"/>
    <w:rsid w:val="00AF0408"/>
    <w:rsid w:val="00AF0441"/>
    <w:rsid w:val="00AF0447"/>
    <w:rsid w:val="00AF050E"/>
    <w:rsid w:val="00AF053F"/>
    <w:rsid w:val="00AF0557"/>
    <w:rsid w:val="00AF0580"/>
    <w:rsid w:val="00AF05AA"/>
    <w:rsid w:val="00AF0623"/>
    <w:rsid w:val="00AF06DD"/>
    <w:rsid w:val="00AF07E4"/>
    <w:rsid w:val="00AF0811"/>
    <w:rsid w:val="00AF0826"/>
    <w:rsid w:val="00AF08FB"/>
    <w:rsid w:val="00AF0C84"/>
    <w:rsid w:val="00AF0CEA"/>
    <w:rsid w:val="00AF0D60"/>
    <w:rsid w:val="00AF0EA9"/>
    <w:rsid w:val="00AF0EFD"/>
    <w:rsid w:val="00AF0F52"/>
    <w:rsid w:val="00AF0FD9"/>
    <w:rsid w:val="00AF11D7"/>
    <w:rsid w:val="00AF11E9"/>
    <w:rsid w:val="00AF12BC"/>
    <w:rsid w:val="00AF12BD"/>
    <w:rsid w:val="00AF13C7"/>
    <w:rsid w:val="00AF13EE"/>
    <w:rsid w:val="00AF151A"/>
    <w:rsid w:val="00AF15A5"/>
    <w:rsid w:val="00AF16A9"/>
    <w:rsid w:val="00AF174A"/>
    <w:rsid w:val="00AF175A"/>
    <w:rsid w:val="00AF1829"/>
    <w:rsid w:val="00AF1848"/>
    <w:rsid w:val="00AF1916"/>
    <w:rsid w:val="00AF1923"/>
    <w:rsid w:val="00AF1AFC"/>
    <w:rsid w:val="00AF1C0C"/>
    <w:rsid w:val="00AF1D8D"/>
    <w:rsid w:val="00AF1E41"/>
    <w:rsid w:val="00AF1E6E"/>
    <w:rsid w:val="00AF1E90"/>
    <w:rsid w:val="00AF1E95"/>
    <w:rsid w:val="00AF1F10"/>
    <w:rsid w:val="00AF215C"/>
    <w:rsid w:val="00AF2191"/>
    <w:rsid w:val="00AF21C9"/>
    <w:rsid w:val="00AF21F3"/>
    <w:rsid w:val="00AF222A"/>
    <w:rsid w:val="00AF2249"/>
    <w:rsid w:val="00AF22DD"/>
    <w:rsid w:val="00AF2427"/>
    <w:rsid w:val="00AF24A4"/>
    <w:rsid w:val="00AF24F9"/>
    <w:rsid w:val="00AF270A"/>
    <w:rsid w:val="00AF28BE"/>
    <w:rsid w:val="00AF28BF"/>
    <w:rsid w:val="00AF28E3"/>
    <w:rsid w:val="00AF290C"/>
    <w:rsid w:val="00AF2915"/>
    <w:rsid w:val="00AF2978"/>
    <w:rsid w:val="00AF298D"/>
    <w:rsid w:val="00AF29A3"/>
    <w:rsid w:val="00AF2A43"/>
    <w:rsid w:val="00AF2ACA"/>
    <w:rsid w:val="00AF2B56"/>
    <w:rsid w:val="00AF2CD1"/>
    <w:rsid w:val="00AF2CFB"/>
    <w:rsid w:val="00AF2D0F"/>
    <w:rsid w:val="00AF2D1B"/>
    <w:rsid w:val="00AF2D38"/>
    <w:rsid w:val="00AF2DA8"/>
    <w:rsid w:val="00AF2E50"/>
    <w:rsid w:val="00AF2ED3"/>
    <w:rsid w:val="00AF2F27"/>
    <w:rsid w:val="00AF3111"/>
    <w:rsid w:val="00AF3138"/>
    <w:rsid w:val="00AF32F7"/>
    <w:rsid w:val="00AF33CB"/>
    <w:rsid w:val="00AF3482"/>
    <w:rsid w:val="00AF3502"/>
    <w:rsid w:val="00AF357A"/>
    <w:rsid w:val="00AF3647"/>
    <w:rsid w:val="00AF3648"/>
    <w:rsid w:val="00AF3676"/>
    <w:rsid w:val="00AF36DF"/>
    <w:rsid w:val="00AF37C4"/>
    <w:rsid w:val="00AF398F"/>
    <w:rsid w:val="00AF3ABB"/>
    <w:rsid w:val="00AF3AFC"/>
    <w:rsid w:val="00AF3C60"/>
    <w:rsid w:val="00AF3CCF"/>
    <w:rsid w:val="00AF3D39"/>
    <w:rsid w:val="00AF3D44"/>
    <w:rsid w:val="00AF3D99"/>
    <w:rsid w:val="00AF3F53"/>
    <w:rsid w:val="00AF3FDE"/>
    <w:rsid w:val="00AF401F"/>
    <w:rsid w:val="00AF402B"/>
    <w:rsid w:val="00AF40FD"/>
    <w:rsid w:val="00AF4244"/>
    <w:rsid w:val="00AF430E"/>
    <w:rsid w:val="00AF4347"/>
    <w:rsid w:val="00AF43A4"/>
    <w:rsid w:val="00AF441F"/>
    <w:rsid w:val="00AF4423"/>
    <w:rsid w:val="00AF4538"/>
    <w:rsid w:val="00AF4631"/>
    <w:rsid w:val="00AF4643"/>
    <w:rsid w:val="00AF4693"/>
    <w:rsid w:val="00AF472D"/>
    <w:rsid w:val="00AF479B"/>
    <w:rsid w:val="00AF480D"/>
    <w:rsid w:val="00AF492D"/>
    <w:rsid w:val="00AF497B"/>
    <w:rsid w:val="00AF4AA5"/>
    <w:rsid w:val="00AF4AB5"/>
    <w:rsid w:val="00AF4B20"/>
    <w:rsid w:val="00AF4BF8"/>
    <w:rsid w:val="00AF4C6F"/>
    <w:rsid w:val="00AF4CDA"/>
    <w:rsid w:val="00AF4EAA"/>
    <w:rsid w:val="00AF4EBE"/>
    <w:rsid w:val="00AF4EE4"/>
    <w:rsid w:val="00AF4F4D"/>
    <w:rsid w:val="00AF4FC0"/>
    <w:rsid w:val="00AF5173"/>
    <w:rsid w:val="00AF51BB"/>
    <w:rsid w:val="00AF5347"/>
    <w:rsid w:val="00AF5362"/>
    <w:rsid w:val="00AF53F4"/>
    <w:rsid w:val="00AF5592"/>
    <w:rsid w:val="00AF5632"/>
    <w:rsid w:val="00AF56AC"/>
    <w:rsid w:val="00AF57BB"/>
    <w:rsid w:val="00AF58FF"/>
    <w:rsid w:val="00AF5956"/>
    <w:rsid w:val="00AF5994"/>
    <w:rsid w:val="00AF5A2E"/>
    <w:rsid w:val="00AF5B79"/>
    <w:rsid w:val="00AF5C5F"/>
    <w:rsid w:val="00AF5C70"/>
    <w:rsid w:val="00AF5D06"/>
    <w:rsid w:val="00AF5D20"/>
    <w:rsid w:val="00AF5D50"/>
    <w:rsid w:val="00AF5EE7"/>
    <w:rsid w:val="00AF5FD5"/>
    <w:rsid w:val="00AF6002"/>
    <w:rsid w:val="00AF6087"/>
    <w:rsid w:val="00AF6098"/>
    <w:rsid w:val="00AF60B4"/>
    <w:rsid w:val="00AF6153"/>
    <w:rsid w:val="00AF6294"/>
    <w:rsid w:val="00AF62DE"/>
    <w:rsid w:val="00AF62EC"/>
    <w:rsid w:val="00AF635F"/>
    <w:rsid w:val="00AF6366"/>
    <w:rsid w:val="00AF63BB"/>
    <w:rsid w:val="00AF63EB"/>
    <w:rsid w:val="00AF6409"/>
    <w:rsid w:val="00AF640B"/>
    <w:rsid w:val="00AF645C"/>
    <w:rsid w:val="00AF6498"/>
    <w:rsid w:val="00AF652A"/>
    <w:rsid w:val="00AF655E"/>
    <w:rsid w:val="00AF661C"/>
    <w:rsid w:val="00AF6686"/>
    <w:rsid w:val="00AF69EC"/>
    <w:rsid w:val="00AF6A4C"/>
    <w:rsid w:val="00AF6AD1"/>
    <w:rsid w:val="00AF6CF6"/>
    <w:rsid w:val="00AF6DBD"/>
    <w:rsid w:val="00AF6E03"/>
    <w:rsid w:val="00AF6E25"/>
    <w:rsid w:val="00AF6E72"/>
    <w:rsid w:val="00AF6E83"/>
    <w:rsid w:val="00AF6EC0"/>
    <w:rsid w:val="00AF6F1C"/>
    <w:rsid w:val="00AF6F8F"/>
    <w:rsid w:val="00AF6FD8"/>
    <w:rsid w:val="00AF7190"/>
    <w:rsid w:val="00AF72B2"/>
    <w:rsid w:val="00AF73C0"/>
    <w:rsid w:val="00AF73C2"/>
    <w:rsid w:val="00AF7423"/>
    <w:rsid w:val="00AF7486"/>
    <w:rsid w:val="00AF7577"/>
    <w:rsid w:val="00AF7721"/>
    <w:rsid w:val="00AF7737"/>
    <w:rsid w:val="00AF77E2"/>
    <w:rsid w:val="00AF7850"/>
    <w:rsid w:val="00AF79A8"/>
    <w:rsid w:val="00AF7A09"/>
    <w:rsid w:val="00AF7B35"/>
    <w:rsid w:val="00AF7B5B"/>
    <w:rsid w:val="00AF7BB7"/>
    <w:rsid w:val="00AF7E88"/>
    <w:rsid w:val="00AF7EB7"/>
    <w:rsid w:val="00AFB7CF"/>
    <w:rsid w:val="00B00134"/>
    <w:rsid w:val="00B001CE"/>
    <w:rsid w:val="00B001E3"/>
    <w:rsid w:val="00B001EA"/>
    <w:rsid w:val="00B0020D"/>
    <w:rsid w:val="00B0024E"/>
    <w:rsid w:val="00B0026C"/>
    <w:rsid w:val="00B0027C"/>
    <w:rsid w:val="00B002C6"/>
    <w:rsid w:val="00B002D3"/>
    <w:rsid w:val="00B003B1"/>
    <w:rsid w:val="00B00461"/>
    <w:rsid w:val="00B004FB"/>
    <w:rsid w:val="00B00525"/>
    <w:rsid w:val="00B005AE"/>
    <w:rsid w:val="00B005CE"/>
    <w:rsid w:val="00B0073C"/>
    <w:rsid w:val="00B00745"/>
    <w:rsid w:val="00B0074C"/>
    <w:rsid w:val="00B007D3"/>
    <w:rsid w:val="00B00954"/>
    <w:rsid w:val="00B009C7"/>
    <w:rsid w:val="00B00A7A"/>
    <w:rsid w:val="00B00B5D"/>
    <w:rsid w:val="00B00C39"/>
    <w:rsid w:val="00B00CD0"/>
    <w:rsid w:val="00B00D2D"/>
    <w:rsid w:val="00B00D2F"/>
    <w:rsid w:val="00B00E0E"/>
    <w:rsid w:val="00B00E36"/>
    <w:rsid w:val="00B00F49"/>
    <w:rsid w:val="00B00FDC"/>
    <w:rsid w:val="00B01029"/>
    <w:rsid w:val="00B010D2"/>
    <w:rsid w:val="00B01123"/>
    <w:rsid w:val="00B011A9"/>
    <w:rsid w:val="00B012A4"/>
    <w:rsid w:val="00B012C6"/>
    <w:rsid w:val="00B012E9"/>
    <w:rsid w:val="00B015FB"/>
    <w:rsid w:val="00B016D1"/>
    <w:rsid w:val="00B01720"/>
    <w:rsid w:val="00B017CF"/>
    <w:rsid w:val="00B017FF"/>
    <w:rsid w:val="00B01863"/>
    <w:rsid w:val="00B018D3"/>
    <w:rsid w:val="00B01910"/>
    <w:rsid w:val="00B01977"/>
    <w:rsid w:val="00B01D8F"/>
    <w:rsid w:val="00B01F83"/>
    <w:rsid w:val="00B0203F"/>
    <w:rsid w:val="00B020A6"/>
    <w:rsid w:val="00B020AD"/>
    <w:rsid w:val="00B020BE"/>
    <w:rsid w:val="00B02183"/>
    <w:rsid w:val="00B02186"/>
    <w:rsid w:val="00B021B6"/>
    <w:rsid w:val="00B02250"/>
    <w:rsid w:val="00B02289"/>
    <w:rsid w:val="00B022E6"/>
    <w:rsid w:val="00B02357"/>
    <w:rsid w:val="00B0237E"/>
    <w:rsid w:val="00B02469"/>
    <w:rsid w:val="00B024E6"/>
    <w:rsid w:val="00B025D0"/>
    <w:rsid w:val="00B026BB"/>
    <w:rsid w:val="00B026E3"/>
    <w:rsid w:val="00B02739"/>
    <w:rsid w:val="00B027CF"/>
    <w:rsid w:val="00B0280D"/>
    <w:rsid w:val="00B028D3"/>
    <w:rsid w:val="00B02A1F"/>
    <w:rsid w:val="00B02AA4"/>
    <w:rsid w:val="00B02ADB"/>
    <w:rsid w:val="00B02CD0"/>
    <w:rsid w:val="00B02D03"/>
    <w:rsid w:val="00B02DB2"/>
    <w:rsid w:val="00B02E82"/>
    <w:rsid w:val="00B02EDC"/>
    <w:rsid w:val="00B02F70"/>
    <w:rsid w:val="00B03206"/>
    <w:rsid w:val="00B0346C"/>
    <w:rsid w:val="00B0349F"/>
    <w:rsid w:val="00B035BA"/>
    <w:rsid w:val="00B035D0"/>
    <w:rsid w:val="00B035D4"/>
    <w:rsid w:val="00B03698"/>
    <w:rsid w:val="00B03707"/>
    <w:rsid w:val="00B03711"/>
    <w:rsid w:val="00B0373C"/>
    <w:rsid w:val="00B037D4"/>
    <w:rsid w:val="00B03981"/>
    <w:rsid w:val="00B039A8"/>
    <w:rsid w:val="00B039CC"/>
    <w:rsid w:val="00B039D6"/>
    <w:rsid w:val="00B039D8"/>
    <w:rsid w:val="00B03AD8"/>
    <w:rsid w:val="00B03CFB"/>
    <w:rsid w:val="00B03EB2"/>
    <w:rsid w:val="00B03EF2"/>
    <w:rsid w:val="00B03F5A"/>
    <w:rsid w:val="00B04007"/>
    <w:rsid w:val="00B04083"/>
    <w:rsid w:val="00B040A2"/>
    <w:rsid w:val="00B041DA"/>
    <w:rsid w:val="00B041F2"/>
    <w:rsid w:val="00B0422C"/>
    <w:rsid w:val="00B042CF"/>
    <w:rsid w:val="00B043B2"/>
    <w:rsid w:val="00B043FD"/>
    <w:rsid w:val="00B04416"/>
    <w:rsid w:val="00B044D5"/>
    <w:rsid w:val="00B04545"/>
    <w:rsid w:val="00B0461D"/>
    <w:rsid w:val="00B046A6"/>
    <w:rsid w:val="00B0475A"/>
    <w:rsid w:val="00B04766"/>
    <w:rsid w:val="00B047C2"/>
    <w:rsid w:val="00B047CA"/>
    <w:rsid w:val="00B048D5"/>
    <w:rsid w:val="00B048DE"/>
    <w:rsid w:val="00B04939"/>
    <w:rsid w:val="00B0497A"/>
    <w:rsid w:val="00B04995"/>
    <w:rsid w:val="00B049D6"/>
    <w:rsid w:val="00B049DA"/>
    <w:rsid w:val="00B04CB1"/>
    <w:rsid w:val="00B04CBA"/>
    <w:rsid w:val="00B04D54"/>
    <w:rsid w:val="00B04D69"/>
    <w:rsid w:val="00B04F4E"/>
    <w:rsid w:val="00B0503F"/>
    <w:rsid w:val="00B05213"/>
    <w:rsid w:val="00B0522D"/>
    <w:rsid w:val="00B0535B"/>
    <w:rsid w:val="00B053CB"/>
    <w:rsid w:val="00B05635"/>
    <w:rsid w:val="00B056D5"/>
    <w:rsid w:val="00B057F4"/>
    <w:rsid w:val="00B0582A"/>
    <w:rsid w:val="00B0589B"/>
    <w:rsid w:val="00B058C7"/>
    <w:rsid w:val="00B05924"/>
    <w:rsid w:val="00B05982"/>
    <w:rsid w:val="00B05B65"/>
    <w:rsid w:val="00B05BEF"/>
    <w:rsid w:val="00B05CD4"/>
    <w:rsid w:val="00B05DE6"/>
    <w:rsid w:val="00B0601B"/>
    <w:rsid w:val="00B060C0"/>
    <w:rsid w:val="00B06197"/>
    <w:rsid w:val="00B0645C"/>
    <w:rsid w:val="00B064ED"/>
    <w:rsid w:val="00B06523"/>
    <w:rsid w:val="00B065DC"/>
    <w:rsid w:val="00B0669E"/>
    <w:rsid w:val="00B0682C"/>
    <w:rsid w:val="00B06861"/>
    <w:rsid w:val="00B06970"/>
    <w:rsid w:val="00B06A8D"/>
    <w:rsid w:val="00B06ADC"/>
    <w:rsid w:val="00B06B2B"/>
    <w:rsid w:val="00B06C2B"/>
    <w:rsid w:val="00B06D55"/>
    <w:rsid w:val="00B06D93"/>
    <w:rsid w:val="00B06D9C"/>
    <w:rsid w:val="00B06E04"/>
    <w:rsid w:val="00B06EB2"/>
    <w:rsid w:val="00B06EBC"/>
    <w:rsid w:val="00B06EC0"/>
    <w:rsid w:val="00B06EC4"/>
    <w:rsid w:val="00B06F96"/>
    <w:rsid w:val="00B06FC6"/>
    <w:rsid w:val="00B06FD8"/>
    <w:rsid w:val="00B070C6"/>
    <w:rsid w:val="00B070FA"/>
    <w:rsid w:val="00B071AB"/>
    <w:rsid w:val="00B0734D"/>
    <w:rsid w:val="00B073AB"/>
    <w:rsid w:val="00B074C4"/>
    <w:rsid w:val="00B07514"/>
    <w:rsid w:val="00B07521"/>
    <w:rsid w:val="00B07620"/>
    <w:rsid w:val="00B076F4"/>
    <w:rsid w:val="00B07758"/>
    <w:rsid w:val="00B077AF"/>
    <w:rsid w:val="00B07AE4"/>
    <w:rsid w:val="00B07B76"/>
    <w:rsid w:val="00B07C8C"/>
    <w:rsid w:val="00B07D1D"/>
    <w:rsid w:val="00B07E08"/>
    <w:rsid w:val="00B07E59"/>
    <w:rsid w:val="00B07F5A"/>
    <w:rsid w:val="00B07FF6"/>
    <w:rsid w:val="00B10000"/>
    <w:rsid w:val="00B10039"/>
    <w:rsid w:val="00B10105"/>
    <w:rsid w:val="00B1010C"/>
    <w:rsid w:val="00B10127"/>
    <w:rsid w:val="00B1024C"/>
    <w:rsid w:val="00B102B6"/>
    <w:rsid w:val="00B103BD"/>
    <w:rsid w:val="00B10437"/>
    <w:rsid w:val="00B1051D"/>
    <w:rsid w:val="00B1056A"/>
    <w:rsid w:val="00B10597"/>
    <w:rsid w:val="00B107D7"/>
    <w:rsid w:val="00B1086D"/>
    <w:rsid w:val="00B108C7"/>
    <w:rsid w:val="00B10920"/>
    <w:rsid w:val="00B1093F"/>
    <w:rsid w:val="00B10955"/>
    <w:rsid w:val="00B109A5"/>
    <w:rsid w:val="00B10AD2"/>
    <w:rsid w:val="00B10C2A"/>
    <w:rsid w:val="00B10CCC"/>
    <w:rsid w:val="00B10D2F"/>
    <w:rsid w:val="00B10D74"/>
    <w:rsid w:val="00B10E45"/>
    <w:rsid w:val="00B10E48"/>
    <w:rsid w:val="00B10E4A"/>
    <w:rsid w:val="00B10F42"/>
    <w:rsid w:val="00B10FC0"/>
    <w:rsid w:val="00B10FF4"/>
    <w:rsid w:val="00B1107F"/>
    <w:rsid w:val="00B1114A"/>
    <w:rsid w:val="00B11187"/>
    <w:rsid w:val="00B11215"/>
    <w:rsid w:val="00B1126C"/>
    <w:rsid w:val="00B11397"/>
    <w:rsid w:val="00B114E2"/>
    <w:rsid w:val="00B114F5"/>
    <w:rsid w:val="00B11521"/>
    <w:rsid w:val="00B11526"/>
    <w:rsid w:val="00B117D8"/>
    <w:rsid w:val="00B1188E"/>
    <w:rsid w:val="00B1191E"/>
    <w:rsid w:val="00B119A4"/>
    <w:rsid w:val="00B119FD"/>
    <w:rsid w:val="00B11A3F"/>
    <w:rsid w:val="00B11AED"/>
    <w:rsid w:val="00B11B90"/>
    <w:rsid w:val="00B11C45"/>
    <w:rsid w:val="00B11CEF"/>
    <w:rsid w:val="00B11D22"/>
    <w:rsid w:val="00B11D58"/>
    <w:rsid w:val="00B11EEC"/>
    <w:rsid w:val="00B11F47"/>
    <w:rsid w:val="00B11F83"/>
    <w:rsid w:val="00B11F8B"/>
    <w:rsid w:val="00B11FFA"/>
    <w:rsid w:val="00B1205F"/>
    <w:rsid w:val="00B1207C"/>
    <w:rsid w:val="00B120C3"/>
    <w:rsid w:val="00B120C7"/>
    <w:rsid w:val="00B12114"/>
    <w:rsid w:val="00B12119"/>
    <w:rsid w:val="00B1212E"/>
    <w:rsid w:val="00B12152"/>
    <w:rsid w:val="00B12195"/>
    <w:rsid w:val="00B12203"/>
    <w:rsid w:val="00B1237C"/>
    <w:rsid w:val="00B123CA"/>
    <w:rsid w:val="00B12481"/>
    <w:rsid w:val="00B12490"/>
    <w:rsid w:val="00B1249C"/>
    <w:rsid w:val="00B124BC"/>
    <w:rsid w:val="00B12552"/>
    <w:rsid w:val="00B12559"/>
    <w:rsid w:val="00B12570"/>
    <w:rsid w:val="00B1268C"/>
    <w:rsid w:val="00B126EC"/>
    <w:rsid w:val="00B12782"/>
    <w:rsid w:val="00B12809"/>
    <w:rsid w:val="00B128D6"/>
    <w:rsid w:val="00B12968"/>
    <w:rsid w:val="00B129E3"/>
    <w:rsid w:val="00B12A33"/>
    <w:rsid w:val="00B12A5A"/>
    <w:rsid w:val="00B12AA9"/>
    <w:rsid w:val="00B12AFD"/>
    <w:rsid w:val="00B12BEC"/>
    <w:rsid w:val="00B12CB1"/>
    <w:rsid w:val="00B12CBD"/>
    <w:rsid w:val="00B12DBE"/>
    <w:rsid w:val="00B12FB0"/>
    <w:rsid w:val="00B13085"/>
    <w:rsid w:val="00B13101"/>
    <w:rsid w:val="00B13141"/>
    <w:rsid w:val="00B1314F"/>
    <w:rsid w:val="00B131B4"/>
    <w:rsid w:val="00B131CF"/>
    <w:rsid w:val="00B13208"/>
    <w:rsid w:val="00B13366"/>
    <w:rsid w:val="00B13381"/>
    <w:rsid w:val="00B1343C"/>
    <w:rsid w:val="00B13447"/>
    <w:rsid w:val="00B13455"/>
    <w:rsid w:val="00B13514"/>
    <w:rsid w:val="00B1377D"/>
    <w:rsid w:val="00B13899"/>
    <w:rsid w:val="00B13939"/>
    <w:rsid w:val="00B13A8E"/>
    <w:rsid w:val="00B13B4D"/>
    <w:rsid w:val="00B13B93"/>
    <w:rsid w:val="00B13C21"/>
    <w:rsid w:val="00B13C23"/>
    <w:rsid w:val="00B13DFA"/>
    <w:rsid w:val="00B13F01"/>
    <w:rsid w:val="00B13F20"/>
    <w:rsid w:val="00B1407E"/>
    <w:rsid w:val="00B14132"/>
    <w:rsid w:val="00B14137"/>
    <w:rsid w:val="00B142E5"/>
    <w:rsid w:val="00B14393"/>
    <w:rsid w:val="00B14405"/>
    <w:rsid w:val="00B14441"/>
    <w:rsid w:val="00B14612"/>
    <w:rsid w:val="00B14720"/>
    <w:rsid w:val="00B14759"/>
    <w:rsid w:val="00B1477A"/>
    <w:rsid w:val="00B148C2"/>
    <w:rsid w:val="00B14A2E"/>
    <w:rsid w:val="00B14AC8"/>
    <w:rsid w:val="00B14ACC"/>
    <w:rsid w:val="00B14AD2"/>
    <w:rsid w:val="00B14B32"/>
    <w:rsid w:val="00B14B89"/>
    <w:rsid w:val="00B14C0C"/>
    <w:rsid w:val="00B14CB3"/>
    <w:rsid w:val="00B14DD2"/>
    <w:rsid w:val="00B14DD5"/>
    <w:rsid w:val="00B14E20"/>
    <w:rsid w:val="00B14E5F"/>
    <w:rsid w:val="00B14EE8"/>
    <w:rsid w:val="00B14F52"/>
    <w:rsid w:val="00B14F8E"/>
    <w:rsid w:val="00B15050"/>
    <w:rsid w:val="00B151CF"/>
    <w:rsid w:val="00B15270"/>
    <w:rsid w:val="00B152C2"/>
    <w:rsid w:val="00B153F9"/>
    <w:rsid w:val="00B15483"/>
    <w:rsid w:val="00B154D4"/>
    <w:rsid w:val="00B154F9"/>
    <w:rsid w:val="00B15516"/>
    <w:rsid w:val="00B1568D"/>
    <w:rsid w:val="00B156B5"/>
    <w:rsid w:val="00B15738"/>
    <w:rsid w:val="00B15832"/>
    <w:rsid w:val="00B15880"/>
    <w:rsid w:val="00B15881"/>
    <w:rsid w:val="00B15AB3"/>
    <w:rsid w:val="00B15BE0"/>
    <w:rsid w:val="00B15BF1"/>
    <w:rsid w:val="00B15C02"/>
    <w:rsid w:val="00B15C9C"/>
    <w:rsid w:val="00B15CE0"/>
    <w:rsid w:val="00B15EC7"/>
    <w:rsid w:val="00B15F0C"/>
    <w:rsid w:val="00B16126"/>
    <w:rsid w:val="00B1617D"/>
    <w:rsid w:val="00B161BC"/>
    <w:rsid w:val="00B161BE"/>
    <w:rsid w:val="00B1621F"/>
    <w:rsid w:val="00B163F3"/>
    <w:rsid w:val="00B164F2"/>
    <w:rsid w:val="00B1651A"/>
    <w:rsid w:val="00B16522"/>
    <w:rsid w:val="00B1656C"/>
    <w:rsid w:val="00B165CC"/>
    <w:rsid w:val="00B16695"/>
    <w:rsid w:val="00B166EB"/>
    <w:rsid w:val="00B16726"/>
    <w:rsid w:val="00B1674D"/>
    <w:rsid w:val="00B1693A"/>
    <w:rsid w:val="00B1698D"/>
    <w:rsid w:val="00B169D3"/>
    <w:rsid w:val="00B16A3D"/>
    <w:rsid w:val="00B16E0E"/>
    <w:rsid w:val="00B16EC4"/>
    <w:rsid w:val="00B16F53"/>
    <w:rsid w:val="00B17032"/>
    <w:rsid w:val="00B1711E"/>
    <w:rsid w:val="00B17133"/>
    <w:rsid w:val="00B171C3"/>
    <w:rsid w:val="00B1720C"/>
    <w:rsid w:val="00B17304"/>
    <w:rsid w:val="00B1735D"/>
    <w:rsid w:val="00B17428"/>
    <w:rsid w:val="00B17448"/>
    <w:rsid w:val="00B1747E"/>
    <w:rsid w:val="00B17725"/>
    <w:rsid w:val="00B179EB"/>
    <w:rsid w:val="00B17A11"/>
    <w:rsid w:val="00B17A45"/>
    <w:rsid w:val="00B17B26"/>
    <w:rsid w:val="00B17CAB"/>
    <w:rsid w:val="00B17CE0"/>
    <w:rsid w:val="00B17D1A"/>
    <w:rsid w:val="00B17DA3"/>
    <w:rsid w:val="00B17DC4"/>
    <w:rsid w:val="00B17E5D"/>
    <w:rsid w:val="00B17F83"/>
    <w:rsid w:val="00B20057"/>
    <w:rsid w:val="00B20100"/>
    <w:rsid w:val="00B20127"/>
    <w:rsid w:val="00B20170"/>
    <w:rsid w:val="00B2026E"/>
    <w:rsid w:val="00B20394"/>
    <w:rsid w:val="00B2042E"/>
    <w:rsid w:val="00B206A0"/>
    <w:rsid w:val="00B206CA"/>
    <w:rsid w:val="00B2074A"/>
    <w:rsid w:val="00B20795"/>
    <w:rsid w:val="00B2080C"/>
    <w:rsid w:val="00B20816"/>
    <w:rsid w:val="00B20857"/>
    <w:rsid w:val="00B208D5"/>
    <w:rsid w:val="00B2097C"/>
    <w:rsid w:val="00B209F3"/>
    <w:rsid w:val="00B20AEA"/>
    <w:rsid w:val="00B20B31"/>
    <w:rsid w:val="00B20B61"/>
    <w:rsid w:val="00B20BFD"/>
    <w:rsid w:val="00B20EB6"/>
    <w:rsid w:val="00B20FE2"/>
    <w:rsid w:val="00B2100F"/>
    <w:rsid w:val="00B2106F"/>
    <w:rsid w:val="00B2108E"/>
    <w:rsid w:val="00B2112E"/>
    <w:rsid w:val="00B2115F"/>
    <w:rsid w:val="00B21204"/>
    <w:rsid w:val="00B212E6"/>
    <w:rsid w:val="00B212FC"/>
    <w:rsid w:val="00B21336"/>
    <w:rsid w:val="00B213B2"/>
    <w:rsid w:val="00B21419"/>
    <w:rsid w:val="00B215B9"/>
    <w:rsid w:val="00B215D5"/>
    <w:rsid w:val="00B216D9"/>
    <w:rsid w:val="00B21724"/>
    <w:rsid w:val="00B2175F"/>
    <w:rsid w:val="00B217AF"/>
    <w:rsid w:val="00B217C0"/>
    <w:rsid w:val="00B219E6"/>
    <w:rsid w:val="00B219FC"/>
    <w:rsid w:val="00B21AD4"/>
    <w:rsid w:val="00B21B3B"/>
    <w:rsid w:val="00B21BC7"/>
    <w:rsid w:val="00B21C2B"/>
    <w:rsid w:val="00B21C4E"/>
    <w:rsid w:val="00B21D89"/>
    <w:rsid w:val="00B21DE0"/>
    <w:rsid w:val="00B22024"/>
    <w:rsid w:val="00B2206C"/>
    <w:rsid w:val="00B22106"/>
    <w:rsid w:val="00B22164"/>
    <w:rsid w:val="00B221D3"/>
    <w:rsid w:val="00B221D5"/>
    <w:rsid w:val="00B221F4"/>
    <w:rsid w:val="00B2235B"/>
    <w:rsid w:val="00B223E5"/>
    <w:rsid w:val="00B22527"/>
    <w:rsid w:val="00B22542"/>
    <w:rsid w:val="00B2280F"/>
    <w:rsid w:val="00B22821"/>
    <w:rsid w:val="00B22863"/>
    <w:rsid w:val="00B228CA"/>
    <w:rsid w:val="00B2293B"/>
    <w:rsid w:val="00B22971"/>
    <w:rsid w:val="00B2299E"/>
    <w:rsid w:val="00B229F5"/>
    <w:rsid w:val="00B22A44"/>
    <w:rsid w:val="00B22B60"/>
    <w:rsid w:val="00B22D1A"/>
    <w:rsid w:val="00B22D97"/>
    <w:rsid w:val="00B22E9D"/>
    <w:rsid w:val="00B22EA1"/>
    <w:rsid w:val="00B22EAE"/>
    <w:rsid w:val="00B22EF8"/>
    <w:rsid w:val="00B22FDC"/>
    <w:rsid w:val="00B2305B"/>
    <w:rsid w:val="00B2307A"/>
    <w:rsid w:val="00B2311C"/>
    <w:rsid w:val="00B2322B"/>
    <w:rsid w:val="00B2325A"/>
    <w:rsid w:val="00B2327A"/>
    <w:rsid w:val="00B23297"/>
    <w:rsid w:val="00B232CF"/>
    <w:rsid w:val="00B233EF"/>
    <w:rsid w:val="00B234CB"/>
    <w:rsid w:val="00B234F2"/>
    <w:rsid w:val="00B23979"/>
    <w:rsid w:val="00B239E9"/>
    <w:rsid w:val="00B23A24"/>
    <w:rsid w:val="00B23A5B"/>
    <w:rsid w:val="00B23C49"/>
    <w:rsid w:val="00B23CD9"/>
    <w:rsid w:val="00B23EDE"/>
    <w:rsid w:val="00B23FDA"/>
    <w:rsid w:val="00B2405A"/>
    <w:rsid w:val="00B241CC"/>
    <w:rsid w:val="00B24319"/>
    <w:rsid w:val="00B2432E"/>
    <w:rsid w:val="00B24353"/>
    <w:rsid w:val="00B24378"/>
    <w:rsid w:val="00B243CA"/>
    <w:rsid w:val="00B243D7"/>
    <w:rsid w:val="00B2449E"/>
    <w:rsid w:val="00B2451A"/>
    <w:rsid w:val="00B245AC"/>
    <w:rsid w:val="00B245F3"/>
    <w:rsid w:val="00B24619"/>
    <w:rsid w:val="00B24644"/>
    <w:rsid w:val="00B246C7"/>
    <w:rsid w:val="00B2471F"/>
    <w:rsid w:val="00B24734"/>
    <w:rsid w:val="00B24773"/>
    <w:rsid w:val="00B247A6"/>
    <w:rsid w:val="00B247AD"/>
    <w:rsid w:val="00B247E1"/>
    <w:rsid w:val="00B24913"/>
    <w:rsid w:val="00B24A65"/>
    <w:rsid w:val="00B24A6B"/>
    <w:rsid w:val="00B24B2D"/>
    <w:rsid w:val="00B24B43"/>
    <w:rsid w:val="00B24B4D"/>
    <w:rsid w:val="00B24C85"/>
    <w:rsid w:val="00B24CA7"/>
    <w:rsid w:val="00B24CB1"/>
    <w:rsid w:val="00B24D4C"/>
    <w:rsid w:val="00B24D7C"/>
    <w:rsid w:val="00B24EA8"/>
    <w:rsid w:val="00B25059"/>
    <w:rsid w:val="00B250FA"/>
    <w:rsid w:val="00B25126"/>
    <w:rsid w:val="00B25147"/>
    <w:rsid w:val="00B25405"/>
    <w:rsid w:val="00B25446"/>
    <w:rsid w:val="00B25455"/>
    <w:rsid w:val="00B254CF"/>
    <w:rsid w:val="00B2554E"/>
    <w:rsid w:val="00B25687"/>
    <w:rsid w:val="00B257C4"/>
    <w:rsid w:val="00B259E2"/>
    <w:rsid w:val="00B25A61"/>
    <w:rsid w:val="00B25BA6"/>
    <w:rsid w:val="00B25BD9"/>
    <w:rsid w:val="00B25C18"/>
    <w:rsid w:val="00B25C34"/>
    <w:rsid w:val="00B25C64"/>
    <w:rsid w:val="00B25C98"/>
    <w:rsid w:val="00B25CD0"/>
    <w:rsid w:val="00B25D05"/>
    <w:rsid w:val="00B25D63"/>
    <w:rsid w:val="00B25D9C"/>
    <w:rsid w:val="00B25E30"/>
    <w:rsid w:val="00B25E36"/>
    <w:rsid w:val="00B25F2B"/>
    <w:rsid w:val="00B25F35"/>
    <w:rsid w:val="00B25F4C"/>
    <w:rsid w:val="00B2603E"/>
    <w:rsid w:val="00B26045"/>
    <w:rsid w:val="00B260AA"/>
    <w:rsid w:val="00B2611F"/>
    <w:rsid w:val="00B26131"/>
    <w:rsid w:val="00B261F3"/>
    <w:rsid w:val="00B26225"/>
    <w:rsid w:val="00B26281"/>
    <w:rsid w:val="00B2631F"/>
    <w:rsid w:val="00B2644D"/>
    <w:rsid w:val="00B2645D"/>
    <w:rsid w:val="00B264E7"/>
    <w:rsid w:val="00B2652A"/>
    <w:rsid w:val="00B2657A"/>
    <w:rsid w:val="00B265AB"/>
    <w:rsid w:val="00B265F5"/>
    <w:rsid w:val="00B26619"/>
    <w:rsid w:val="00B26622"/>
    <w:rsid w:val="00B26669"/>
    <w:rsid w:val="00B267BD"/>
    <w:rsid w:val="00B26A76"/>
    <w:rsid w:val="00B26A7A"/>
    <w:rsid w:val="00B26B24"/>
    <w:rsid w:val="00B26BF9"/>
    <w:rsid w:val="00B26C91"/>
    <w:rsid w:val="00B26CC5"/>
    <w:rsid w:val="00B26DB8"/>
    <w:rsid w:val="00B26DCF"/>
    <w:rsid w:val="00B26DD8"/>
    <w:rsid w:val="00B26F31"/>
    <w:rsid w:val="00B26FCB"/>
    <w:rsid w:val="00B26FDF"/>
    <w:rsid w:val="00B270EA"/>
    <w:rsid w:val="00B271F6"/>
    <w:rsid w:val="00B272BE"/>
    <w:rsid w:val="00B272D7"/>
    <w:rsid w:val="00B272E4"/>
    <w:rsid w:val="00B27687"/>
    <w:rsid w:val="00B27697"/>
    <w:rsid w:val="00B276B4"/>
    <w:rsid w:val="00B278A9"/>
    <w:rsid w:val="00B278DE"/>
    <w:rsid w:val="00B2797F"/>
    <w:rsid w:val="00B27AFC"/>
    <w:rsid w:val="00B27C29"/>
    <w:rsid w:val="00B27CC8"/>
    <w:rsid w:val="00B27CDD"/>
    <w:rsid w:val="00B27D5B"/>
    <w:rsid w:val="00B27DB8"/>
    <w:rsid w:val="00B27DD7"/>
    <w:rsid w:val="00B27FFE"/>
    <w:rsid w:val="00B30050"/>
    <w:rsid w:val="00B3017D"/>
    <w:rsid w:val="00B3025B"/>
    <w:rsid w:val="00B303F6"/>
    <w:rsid w:val="00B304F3"/>
    <w:rsid w:val="00B3057E"/>
    <w:rsid w:val="00B305D5"/>
    <w:rsid w:val="00B3072E"/>
    <w:rsid w:val="00B307B7"/>
    <w:rsid w:val="00B30821"/>
    <w:rsid w:val="00B3082E"/>
    <w:rsid w:val="00B3084D"/>
    <w:rsid w:val="00B309FF"/>
    <w:rsid w:val="00B30ABD"/>
    <w:rsid w:val="00B30C59"/>
    <w:rsid w:val="00B30C97"/>
    <w:rsid w:val="00B30D70"/>
    <w:rsid w:val="00B30DD7"/>
    <w:rsid w:val="00B30DEB"/>
    <w:rsid w:val="00B30E91"/>
    <w:rsid w:val="00B30EF1"/>
    <w:rsid w:val="00B30EFC"/>
    <w:rsid w:val="00B30F0B"/>
    <w:rsid w:val="00B30F51"/>
    <w:rsid w:val="00B310CC"/>
    <w:rsid w:val="00B31187"/>
    <w:rsid w:val="00B311AB"/>
    <w:rsid w:val="00B3121B"/>
    <w:rsid w:val="00B31295"/>
    <w:rsid w:val="00B314FB"/>
    <w:rsid w:val="00B3155B"/>
    <w:rsid w:val="00B31579"/>
    <w:rsid w:val="00B315E2"/>
    <w:rsid w:val="00B31603"/>
    <w:rsid w:val="00B3164B"/>
    <w:rsid w:val="00B317C0"/>
    <w:rsid w:val="00B317D8"/>
    <w:rsid w:val="00B318AC"/>
    <w:rsid w:val="00B31958"/>
    <w:rsid w:val="00B31A3C"/>
    <w:rsid w:val="00B31A47"/>
    <w:rsid w:val="00B31B06"/>
    <w:rsid w:val="00B31B67"/>
    <w:rsid w:val="00B31B94"/>
    <w:rsid w:val="00B31BE3"/>
    <w:rsid w:val="00B31C6B"/>
    <w:rsid w:val="00B31CBE"/>
    <w:rsid w:val="00B31E78"/>
    <w:rsid w:val="00B31EA7"/>
    <w:rsid w:val="00B31F41"/>
    <w:rsid w:val="00B31FDE"/>
    <w:rsid w:val="00B32045"/>
    <w:rsid w:val="00B321C7"/>
    <w:rsid w:val="00B321E9"/>
    <w:rsid w:val="00B32203"/>
    <w:rsid w:val="00B32208"/>
    <w:rsid w:val="00B3236A"/>
    <w:rsid w:val="00B3252F"/>
    <w:rsid w:val="00B3255A"/>
    <w:rsid w:val="00B327C6"/>
    <w:rsid w:val="00B327CF"/>
    <w:rsid w:val="00B32813"/>
    <w:rsid w:val="00B32853"/>
    <w:rsid w:val="00B329AC"/>
    <w:rsid w:val="00B32A76"/>
    <w:rsid w:val="00B32C0A"/>
    <w:rsid w:val="00B32C93"/>
    <w:rsid w:val="00B32CC7"/>
    <w:rsid w:val="00B32E2D"/>
    <w:rsid w:val="00B32E50"/>
    <w:rsid w:val="00B32F6E"/>
    <w:rsid w:val="00B32F88"/>
    <w:rsid w:val="00B330E3"/>
    <w:rsid w:val="00B330F1"/>
    <w:rsid w:val="00B3311D"/>
    <w:rsid w:val="00B3316F"/>
    <w:rsid w:val="00B3333C"/>
    <w:rsid w:val="00B333D7"/>
    <w:rsid w:val="00B33531"/>
    <w:rsid w:val="00B33561"/>
    <w:rsid w:val="00B3362F"/>
    <w:rsid w:val="00B33666"/>
    <w:rsid w:val="00B336B5"/>
    <w:rsid w:val="00B337F9"/>
    <w:rsid w:val="00B3383C"/>
    <w:rsid w:val="00B33977"/>
    <w:rsid w:val="00B33A31"/>
    <w:rsid w:val="00B33AE5"/>
    <w:rsid w:val="00B33AFE"/>
    <w:rsid w:val="00B33B2F"/>
    <w:rsid w:val="00B33CB1"/>
    <w:rsid w:val="00B33CF1"/>
    <w:rsid w:val="00B33DDF"/>
    <w:rsid w:val="00B33ED2"/>
    <w:rsid w:val="00B33EE1"/>
    <w:rsid w:val="00B33F50"/>
    <w:rsid w:val="00B34136"/>
    <w:rsid w:val="00B341F0"/>
    <w:rsid w:val="00B34207"/>
    <w:rsid w:val="00B34350"/>
    <w:rsid w:val="00B34369"/>
    <w:rsid w:val="00B343C6"/>
    <w:rsid w:val="00B344A4"/>
    <w:rsid w:val="00B344BE"/>
    <w:rsid w:val="00B344CF"/>
    <w:rsid w:val="00B345BF"/>
    <w:rsid w:val="00B34627"/>
    <w:rsid w:val="00B34721"/>
    <w:rsid w:val="00B34766"/>
    <w:rsid w:val="00B34922"/>
    <w:rsid w:val="00B34A88"/>
    <w:rsid w:val="00B34AE2"/>
    <w:rsid w:val="00B34B34"/>
    <w:rsid w:val="00B34BB7"/>
    <w:rsid w:val="00B34CA9"/>
    <w:rsid w:val="00B34D6F"/>
    <w:rsid w:val="00B34DEF"/>
    <w:rsid w:val="00B34E84"/>
    <w:rsid w:val="00B34E9D"/>
    <w:rsid w:val="00B34F45"/>
    <w:rsid w:val="00B35024"/>
    <w:rsid w:val="00B3507A"/>
    <w:rsid w:val="00B350C1"/>
    <w:rsid w:val="00B35176"/>
    <w:rsid w:val="00B35190"/>
    <w:rsid w:val="00B35266"/>
    <w:rsid w:val="00B35547"/>
    <w:rsid w:val="00B3557E"/>
    <w:rsid w:val="00B355C8"/>
    <w:rsid w:val="00B3573F"/>
    <w:rsid w:val="00B3578E"/>
    <w:rsid w:val="00B35794"/>
    <w:rsid w:val="00B357C7"/>
    <w:rsid w:val="00B358D0"/>
    <w:rsid w:val="00B35906"/>
    <w:rsid w:val="00B35A39"/>
    <w:rsid w:val="00B35AD4"/>
    <w:rsid w:val="00B35CC1"/>
    <w:rsid w:val="00B35CE0"/>
    <w:rsid w:val="00B35DEB"/>
    <w:rsid w:val="00B35DEF"/>
    <w:rsid w:val="00B35EF2"/>
    <w:rsid w:val="00B35F82"/>
    <w:rsid w:val="00B36028"/>
    <w:rsid w:val="00B3602C"/>
    <w:rsid w:val="00B36295"/>
    <w:rsid w:val="00B362E0"/>
    <w:rsid w:val="00B36300"/>
    <w:rsid w:val="00B3631A"/>
    <w:rsid w:val="00B36434"/>
    <w:rsid w:val="00B36443"/>
    <w:rsid w:val="00B366B3"/>
    <w:rsid w:val="00B366D8"/>
    <w:rsid w:val="00B366DE"/>
    <w:rsid w:val="00B368E5"/>
    <w:rsid w:val="00B36911"/>
    <w:rsid w:val="00B369EA"/>
    <w:rsid w:val="00B36A56"/>
    <w:rsid w:val="00B36B50"/>
    <w:rsid w:val="00B36C42"/>
    <w:rsid w:val="00B36CB0"/>
    <w:rsid w:val="00B36CD1"/>
    <w:rsid w:val="00B36FC9"/>
    <w:rsid w:val="00B36FE4"/>
    <w:rsid w:val="00B37041"/>
    <w:rsid w:val="00B370D7"/>
    <w:rsid w:val="00B371C7"/>
    <w:rsid w:val="00B373B0"/>
    <w:rsid w:val="00B373B2"/>
    <w:rsid w:val="00B3756C"/>
    <w:rsid w:val="00B37586"/>
    <w:rsid w:val="00B375A4"/>
    <w:rsid w:val="00B375CB"/>
    <w:rsid w:val="00B376C0"/>
    <w:rsid w:val="00B3771E"/>
    <w:rsid w:val="00B37721"/>
    <w:rsid w:val="00B37769"/>
    <w:rsid w:val="00B3779C"/>
    <w:rsid w:val="00B3787E"/>
    <w:rsid w:val="00B37979"/>
    <w:rsid w:val="00B37A1B"/>
    <w:rsid w:val="00B37B8E"/>
    <w:rsid w:val="00B37BFA"/>
    <w:rsid w:val="00B37D3A"/>
    <w:rsid w:val="00B37D77"/>
    <w:rsid w:val="00B37D80"/>
    <w:rsid w:val="00B37E44"/>
    <w:rsid w:val="00B37EAB"/>
    <w:rsid w:val="00B37EE5"/>
    <w:rsid w:val="00B40064"/>
    <w:rsid w:val="00B40150"/>
    <w:rsid w:val="00B40242"/>
    <w:rsid w:val="00B40272"/>
    <w:rsid w:val="00B402FD"/>
    <w:rsid w:val="00B40358"/>
    <w:rsid w:val="00B4035F"/>
    <w:rsid w:val="00B4055C"/>
    <w:rsid w:val="00B4061C"/>
    <w:rsid w:val="00B40657"/>
    <w:rsid w:val="00B4065C"/>
    <w:rsid w:val="00B4066D"/>
    <w:rsid w:val="00B4071A"/>
    <w:rsid w:val="00B40774"/>
    <w:rsid w:val="00B407D1"/>
    <w:rsid w:val="00B4080B"/>
    <w:rsid w:val="00B40898"/>
    <w:rsid w:val="00B408B3"/>
    <w:rsid w:val="00B4098E"/>
    <w:rsid w:val="00B40A80"/>
    <w:rsid w:val="00B40AC4"/>
    <w:rsid w:val="00B40AEA"/>
    <w:rsid w:val="00B40BF8"/>
    <w:rsid w:val="00B40CFD"/>
    <w:rsid w:val="00B40E4C"/>
    <w:rsid w:val="00B40E50"/>
    <w:rsid w:val="00B40E6A"/>
    <w:rsid w:val="00B40F98"/>
    <w:rsid w:val="00B41014"/>
    <w:rsid w:val="00B410F7"/>
    <w:rsid w:val="00B4110F"/>
    <w:rsid w:val="00B4113C"/>
    <w:rsid w:val="00B4129D"/>
    <w:rsid w:val="00B412B6"/>
    <w:rsid w:val="00B4134F"/>
    <w:rsid w:val="00B413B6"/>
    <w:rsid w:val="00B4152A"/>
    <w:rsid w:val="00B415C2"/>
    <w:rsid w:val="00B415FB"/>
    <w:rsid w:val="00B41609"/>
    <w:rsid w:val="00B41659"/>
    <w:rsid w:val="00B417C3"/>
    <w:rsid w:val="00B4187D"/>
    <w:rsid w:val="00B418EB"/>
    <w:rsid w:val="00B419D7"/>
    <w:rsid w:val="00B41AE2"/>
    <w:rsid w:val="00B41AE6"/>
    <w:rsid w:val="00B41BC0"/>
    <w:rsid w:val="00B41D60"/>
    <w:rsid w:val="00B41D9A"/>
    <w:rsid w:val="00B41E7F"/>
    <w:rsid w:val="00B41FDB"/>
    <w:rsid w:val="00B41FFA"/>
    <w:rsid w:val="00B42028"/>
    <w:rsid w:val="00B422AF"/>
    <w:rsid w:val="00B42330"/>
    <w:rsid w:val="00B4243D"/>
    <w:rsid w:val="00B4249E"/>
    <w:rsid w:val="00B424F6"/>
    <w:rsid w:val="00B42580"/>
    <w:rsid w:val="00B425BE"/>
    <w:rsid w:val="00B426BD"/>
    <w:rsid w:val="00B426E3"/>
    <w:rsid w:val="00B42752"/>
    <w:rsid w:val="00B429A4"/>
    <w:rsid w:val="00B42A4B"/>
    <w:rsid w:val="00B42AA8"/>
    <w:rsid w:val="00B42B43"/>
    <w:rsid w:val="00B42C12"/>
    <w:rsid w:val="00B42D36"/>
    <w:rsid w:val="00B42DAE"/>
    <w:rsid w:val="00B42DB1"/>
    <w:rsid w:val="00B42DDB"/>
    <w:rsid w:val="00B42DE3"/>
    <w:rsid w:val="00B42E83"/>
    <w:rsid w:val="00B42ED0"/>
    <w:rsid w:val="00B42FFB"/>
    <w:rsid w:val="00B43036"/>
    <w:rsid w:val="00B4305E"/>
    <w:rsid w:val="00B43093"/>
    <w:rsid w:val="00B430BF"/>
    <w:rsid w:val="00B431B9"/>
    <w:rsid w:val="00B43352"/>
    <w:rsid w:val="00B433C1"/>
    <w:rsid w:val="00B434E4"/>
    <w:rsid w:val="00B4355A"/>
    <w:rsid w:val="00B43656"/>
    <w:rsid w:val="00B4365F"/>
    <w:rsid w:val="00B437A5"/>
    <w:rsid w:val="00B4382C"/>
    <w:rsid w:val="00B4383D"/>
    <w:rsid w:val="00B43846"/>
    <w:rsid w:val="00B43855"/>
    <w:rsid w:val="00B438E8"/>
    <w:rsid w:val="00B43950"/>
    <w:rsid w:val="00B43978"/>
    <w:rsid w:val="00B43B16"/>
    <w:rsid w:val="00B43B18"/>
    <w:rsid w:val="00B43B6B"/>
    <w:rsid w:val="00B43CC1"/>
    <w:rsid w:val="00B43D61"/>
    <w:rsid w:val="00B43DD7"/>
    <w:rsid w:val="00B43DF9"/>
    <w:rsid w:val="00B43ECF"/>
    <w:rsid w:val="00B43F03"/>
    <w:rsid w:val="00B43F46"/>
    <w:rsid w:val="00B43F85"/>
    <w:rsid w:val="00B43FD3"/>
    <w:rsid w:val="00B43FE1"/>
    <w:rsid w:val="00B43FE6"/>
    <w:rsid w:val="00B44037"/>
    <w:rsid w:val="00B4413F"/>
    <w:rsid w:val="00B44158"/>
    <w:rsid w:val="00B4418D"/>
    <w:rsid w:val="00B441B6"/>
    <w:rsid w:val="00B441EE"/>
    <w:rsid w:val="00B442BA"/>
    <w:rsid w:val="00B4434A"/>
    <w:rsid w:val="00B44588"/>
    <w:rsid w:val="00B445DA"/>
    <w:rsid w:val="00B44637"/>
    <w:rsid w:val="00B4463E"/>
    <w:rsid w:val="00B447CF"/>
    <w:rsid w:val="00B44848"/>
    <w:rsid w:val="00B448B9"/>
    <w:rsid w:val="00B44944"/>
    <w:rsid w:val="00B4497C"/>
    <w:rsid w:val="00B4498A"/>
    <w:rsid w:val="00B44A01"/>
    <w:rsid w:val="00B44B7A"/>
    <w:rsid w:val="00B44B8F"/>
    <w:rsid w:val="00B44BE8"/>
    <w:rsid w:val="00B44D4C"/>
    <w:rsid w:val="00B44E97"/>
    <w:rsid w:val="00B44EF8"/>
    <w:rsid w:val="00B44F43"/>
    <w:rsid w:val="00B451F5"/>
    <w:rsid w:val="00B45397"/>
    <w:rsid w:val="00B454CD"/>
    <w:rsid w:val="00B454E3"/>
    <w:rsid w:val="00B4554D"/>
    <w:rsid w:val="00B457B6"/>
    <w:rsid w:val="00B457DD"/>
    <w:rsid w:val="00B45AB1"/>
    <w:rsid w:val="00B45AD6"/>
    <w:rsid w:val="00B45ADE"/>
    <w:rsid w:val="00B45B84"/>
    <w:rsid w:val="00B45D85"/>
    <w:rsid w:val="00B45DAB"/>
    <w:rsid w:val="00B45DDB"/>
    <w:rsid w:val="00B45E16"/>
    <w:rsid w:val="00B45F65"/>
    <w:rsid w:val="00B460C8"/>
    <w:rsid w:val="00B461C3"/>
    <w:rsid w:val="00B46372"/>
    <w:rsid w:val="00B463AB"/>
    <w:rsid w:val="00B4646B"/>
    <w:rsid w:val="00B46504"/>
    <w:rsid w:val="00B46583"/>
    <w:rsid w:val="00B465A5"/>
    <w:rsid w:val="00B465EB"/>
    <w:rsid w:val="00B46622"/>
    <w:rsid w:val="00B46655"/>
    <w:rsid w:val="00B4667F"/>
    <w:rsid w:val="00B46910"/>
    <w:rsid w:val="00B469AB"/>
    <w:rsid w:val="00B46AA5"/>
    <w:rsid w:val="00B46ACB"/>
    <w:rsid w:val="00B46B02"/>
    <w:rsid w:val="00B46B54"/>
    <w:rsid w:val="00B46BB5"/>
    <w:rsid w:val="00B46BDC"/>
    <w:rsid w:val="00B46C7A"/>
    <w:rsid w:val="00B46CA8"/>
    <w:rsid w:val="00B46CB8"/>
    <w:rsid w:val="00B46D4E"/>
    <w:rsid w:val="00B46D88"/>
    <w:rsid w:val="00B46DB1"/>
    <w:rsid w:val="00B46DDA"/>
    <w:rsid w:val="00B4712B"/>
    <w:rsid w:val="00B47156"/>
    <w:rsid w:val="00B472C2"/>
    <w:rsid w:val="00B47300"/>
    <w:rsid w:val="00B473AC"/>
    <w:rsid w:val="00B47457"/>
    <w:rsid w:val="00B47507"/>
    <w:rsid w:val="00B476C2"/>
    <w:rsid w:val="00B476DD"/>
    <w:rsid w:val="00B4782D"/>
    <w:rsid w:val="00B478C2"/>
    <w:rsid w:val="00B479CD"/>
    <w:rsid w:val="00B47A0F"/>
    <w:rsid w:val="00B47A41"/>
    <w:rsid w:val="00B47D8D"/>
    <w:rsid w:val="00B47E4F"/>
    <w:rsid w:val="00B47F18"/>
    <w:rsid w:val="00B47FBA"/>
    <w:rsid w:val="00B50094"/>
    <w:rsid w:val="00B502E3"/>
    <w:rsid w:val="00B504EE"/>
    <w:rsid w:val="00B50630"/>
    <w:rsid w:val="00B506F7"/>
    <w:rsid w:val="00B50726"/>
    <w:rsid w:val="00B50797"/>
    <w:rsid w:val="00B507A5"/>
    <w:rsid w:val="00B50890"/>
    <w:rsid w:val="00B5092B"/>
    <w:rsid w:val="00B50965"/>
    <w:rsid w:val="00B50A44"/>
    <w:rsid w:val="00B50A76"/>
    <w:rsid w:val="00B50ACA"/>
    <w:rsid w:val="00B50ACC"/>
    <w:rsid w:val="00B50B1E"/>
    <w:rsid w:val="00B50B43"/>
    <w:rsid w:val="00B50B5F"/>
    <w:rsid w:val="00B50D93"/>
    <w:rsid w:val="00B50DB5"/>
    <w:rsid w:val="00B50DE4"/>
    <w:rsid w:val="00B50E69"/>
    <w:rsid w:val="00B50FD9"/>
    <w:rsid w:val="00B510BA"/>
    <w:rsid w:val="00B510C3"/>
    <w:rsid w:val="00B51109"/>
    <w:rsid w:val="00B51123"/>
    <w:rsid w:val="00B51153"/>
    <w:rsid w:val="00B51260"/>
    <w:rsid w:val="00B51292"/>
    <w:rsid w:val="00B51389"/>
    <w:rsid w:val="00B515A2"/>
    <w:rsid w:val="00B51670"/>
    <w:rsid w:val="00B516ED"/>
    <w:rsid w:val="00B5176B"/>
    <w:rsid w:val="00B517D2"/>
    <w:rsid w:val="00B517ED"/>
    <w:rsid w:val="00B51834"/>
    <w:rsid w:val="00B51923"/>
    <w:rsid w:val="00B5199E"/>
    <w:rsid w:val="00B51AED"/>
    <w:rsid w:val="00B51C14"/>
    <w:rsid w:val="00B51C1C"/>
    <w:rsid w:val="00B51C81"/>
    <w:rsid w:val="00B51D54"/>
    <w:rsid w:val="00B51D69"/>
    <w:rsid w:val="00B51DD0"/>
    <w:rsid w:val="00B51E18"/>
    <w:rsid w:val="00B51EDD"/>
    <w:rsid w:val="00B51F13"/>
    <w:rsid w:val="00B51F34"/>
    <w:rsid w:val="00B51F56"/>
    <w:rsid w:val="00B5206F"/>
    <w:rsid w:val="00B520C7"/>
    <w:rsid w:val="00B5228D"/>
    <w:rsid w:val="00B5247B"/>
    <w:rsid w:val="00B524CB"/>
    <w:rsid w:val="00B52511"/>
    <w:rsid w:val="00B52663"/>
    <w:rsid w:val="00B52740"/>
    <w:rsid w:val="00B5279C"/>
    <w:rsid w:val="00B528FD"/>
    <w:rsid w:val="00B5292F"/>
    <w:rsid w:val="00B52A08"/>
    <w:rsid w:val="00B52CAF"/>
    <w:rsid w:val="00B52CFD"/>
    <w:rsid w:val="00B52E26"/>
    <w:rsid w:val="00B52E60"/>
    <w:rsid w:val="00B52E9A"/>
    <w:rsid w:val="00B52F13"/>
    <w:rsid w:val="00B52FEA"/>
    <w:rsid w:val="00B53027"/>
    <w:rsid w:val="00B53079"/>
    <w:rsid w:val="00B53099"/>
    <w:rsid w:val="00B530A8"/>
    <w:rsid w:val="00B53165"/>
    <w:rsid w:val="00B531AB"/>
    <w:rsid w:val="00B5331D"/>
    <w:rsid w:val="00B5347B"/>
    <w:rsid w:val="00B5354F"/>
    <w:rsid w:val="00B535AC"/>
    <w:rsid w:val="00B53666"/>
    <w:rsid w:val="00B53693"/>
    <w:rsid w:val="00B536BC"/>
    <w:rsid w:val="00B5373F"/>
    <w:rsid w:val="00B53740"/>
    <w:rsid w:val="00B537B9"/>
    <w:rsid w:val="00B537D7"/>
    <w:rsid w:val="00B53804"/>
    <w:rsid w:val="00B53929"/>
    <w:rsid w:val="00B53980"/>
    <w:rsid w:val="00B539FE"/>
    <w:rsid w:val="00B53A13"/>
    <w:rsid w:val="00B53AEC"/>
    <w:rsid w:val="00B53B20"/>
    <w:rsid w:val="00B53B5C"/>
    <w:rsid w:val="00B53CBA"/>
    <w:rsid w:val="00B53CDE"/>
    <w:rsid w:val="00B53D55"/>
    <w:rsid w:val="00B53DA0"/>
    <w:rsid w:val="00B53DC5"/>
    <w:rsid w:val="00B53DEC"/>
    <w:rsid w:val="00B53E47"/>
    <w:rsid w:val="00B53F1C"/>
    <w:rsid w:val="00B53F34"/>
    <w:rsid w:val="00B53F6D"/>
    <w:rsid w:val="00B53F9E"/>
    <w:rsid w:val="00B53FEA"/>
    <w:rsid w:val="00B54000"/>
    <w:rsid w:val="00B540FC"/>
    <w:rsid w:val="00B54113"/>
    <w:rsid w:val="00B5412C"/>
    <w:rsid w:val="00B542CF"/>
    <w:rsid w:val="00B54314"/>
    <w:rsid w:val="00B543A3"/>
    <w:rsid w:val="00B544C7"/>
    <w:rsid w:val="00B5456F"/>
    <w:rsid w:val="00B5460B"/>
    <w:rsid w:val="00B54656"/>
    <w:rsid w:val="00B547D6"/>
    <w:rsid w:val="00B548A0"/>
    <w:rsid w:val="00B54981"/>
    <w:rsid w:val="00B54987"/>
    <w:rsid w:val="00B54AFC"/>
    <w:rsid w:val="00B54B7A"/>
    <w:rsid w:val="00B54BA1"/>
    <w:rsid w:val="00B54BD8"/>
    <w:rsid w:val="00B54BF8"/>
    <w:rsid w:val="00B54DDB"/>
    <w:rsid w:val="00B54E2D"/>
    <w:rsid w:val="00B54E96"/>
    <w:rsid w:val="00B54EB9"/>
    <w:rsid w:val="00B54F37"/>
    <w:rsid w:val="00B54FF7"/>
    <w:rsid w:val="00B5504A"/>
    <w:rsid w:val="00B55072"/>
    <w:rsid w:val="00B5513B"/>
    <w:rsid w:val="00B55152"/>
    <w:rsid w:val="00B551D2"/>
    <w:rsid w:val="00B552B3"/>
    <w:rsid w:val="00B553D0"/>
    <w:rsid w:val="00B553F9"/>
    <w:rsid w:val="00B55524"/>
    <w:rsid w:val="00B5553F"/>
    <w:rsid w:val="00B5580A"/>
    <w:rsid w:val="00B55849"/>
    <w:rsid w:val="00B55A59"/>
    <w:rsid w:val="00B55ADD"/>
    <w:rsid w:val="00B55AEB"/>
    <w:rsid w:val="00B55B50"/>
    <w:rsid w:val="00B55BA9"/>
    <w:rsid w:val="00B55BB6"/>
    <w:rsid w:val="00B55C32"/>
    <w:rsid w:val="00B55C92"/>
    <w:rsid w:val="00B55CCF"/>
    <w:rsid w:val="00B55D07"/>
    <w:rsid w:val="00B55D2F"/>
    <w:rsid w:val="00B55E8B"/>
    <w:rsid w:val="00B55E90"/>
    <w:rsid w:val="00B55EED"/>
    <w:rsid w:val="00B55EF4"/>
    <w:rsid w:val="00B56006"/>
    <w:rsid w:val="00B560B7"/>
    <w:rsid w:val="00B560CA"/>
    <w:rsid w:val="00B560F4"/>
    <w:rsid w:val="00B5611F"/>
    <w:rsid w:val="00B56158"/>
    <w:rsid w:val="00B561F0"/>
    <w:rsid w:val="00B56226"/>
    <w:rsid w:val="00B5624E"/>
    <w:rsid w:val="00B5625D"/>
    <w:rsid w:val="00B562FA"/>
    <w:rsid w:val="00B56422"/>
    <w:rsid w:val="00B564D4"/>
    <w:rsid w:val="00B567BA"/>
    <w:rsid w:val="00B5687B"/>
    <w:rsid w:val="00B5689B"/>
    <w:rsid w:val="00B56905"/>
    <w:rsid w:val="00B56A69"/>
    <w:rsid w:val="00B56BF5"/>
    <w:rsid w:val="00B56C30"/>
    <w:rsid w:val="00B56D2B"/>
    <w:rsid w:val="00B56DDD"/>
    <w:rsid w:val="00B56E5C"/>
    <w:rsid w:val="00B56E85"/>
    <w:rsid w:val="00B56E9F"/>
    <w:rsid w:val="00B56EF2"/>
    <w:rsid w:val="00B56F97"/>
    <w:rsid w:val="00B56FFB"/>
    <w:rsid w:val="00B57257"/>
    <w:rsid w:val="00B5728D"/>
    <w:rsid w:val="00B5733B"/>
    <w:rsid w:val="00B5742B"/>
    <w:rsid w:val="00B575BF"/>
    <w:rsid w:val="00B57722"/>
    <w:rsid w:val="00B5774F"/>
    <w:rsid w:val="00B577DA"/>
    <w:rsid w:val="00B577E3"/>
    <w:rsid w:val="00B57849"/>
    <w:rsid w:val="00B57862"/>
    <w:rsid w:val="00B57909"/>
    <w:rsid w:val="00B5793F"/>
    <w:rsid w:val="00B57979"/>
    <w:rsid w:val="00B57A55"/>
    <w:rsid w:val="00B57A96"/>
    <w:rsid w:val="00B57B02"/>
    <w:rsid w:val="00B57D63"/>
    <w:rsid w:val="00B57D7F"/>
    <w:rsid w:val="00B57E24"/>
    <w:rsid w:val="00B57EE2"/>
    <w:rsid w:val="00B600B1"/>
    <w:rsid w:val="00B60156"/>
    <w:rsid w:val="00B603CF"/>
    <w:rsid w:val="00B603DE"/>
    <w:rsid w:val="00B60404"/>
    <w:rsid w:val="00B60537"/>
    <w:rsid w:val="00B606A4"/>
    <w:rsid w:val="00B606BA"/>
    <w:rsid w:val="00B606D8"/>
    <w:rsid w:val="00B60898"/>
    <w:rsid w:val="00B608CE"/>
    <w:rsid w:val="00B60952"/>
    <w:rsid w:val="00B6097D"/>
    <w:rsid w:val="00B609CD"/>
    <w:rsid w:val="00B609DA"/>
    <w:rsid w:val="00B609FE"/>
    <w:rsid w:val="00B60A09"/>
    <w:rsid w:val="00B60AFC"/>
    <w:rsid w:val="00B60B77"/>
    <w:rsid w:val="00B60CD8"/>
    <w:rsid w:val="00B60E37"/>
    <w:rsid w:val="00B60E6B"/>
    <w:rsid w:val="00B60EAE"/>
    <w:rsid w:val="00B60FD9"/>
    <w:rsid w:val="00B610C6"/>
    <w:rsid w:val="00B612EA"/>
    <w:rsid w:val="00B6130E"/>
    <w:rsid w:val="00B6137A"/>
    <w:rsid w:val="00B61474"/>
    <w:rsid w:val="00B614A9"/>
    <w:rsid w:val="00B617AD"/>
    <w:rsid w:val="00B617B5"/>
    <w:rsid w:val="00B617B9"/>
    <w:rsid w:val="00B617FE"/>
    <w:rsid w:val="00B61816"/>
    <w:rsid w:val="00B61936"/>
    <w:rsid w:val="00B619A0"/>
    <w:rsid w:val="00B619ED"/>
    <w:rsid w:val="00B61B3E"/>
    <w:rsid w:val="00B61BE7"/>
    <w:rsid w:val="00B61C1B"/>
    <w:rsid w:val="00B61C24"/>
    <w:rsid w:val="00B61C40"/>
    <w:rsid w:val="00B61C66"/>
    <w:rsid w:val="00B61CAF"/>
    <w:rsid w:val="00B61D06"/>
    <w:rsid w:val="00B61D48"/>
    <w:rsid w:val="00B61D83"/>
    <w:rsid w:val="00B61E38"/>
    <w:rsid w:val="00B61EC1"/>
    <w:rsid w:val="00B61F5D"/>
    <w:rsid w:val="00B62077"/>
    <w:rsid w:val="00B622AD"/>
    <w:rsid w:val="00B622D8"/>
    <w:rsid w:val="00B6231C"/>
    <w:rsid w:val="00B6232F"/>
    <w:rsid w:val="00B6239C"/>
    <w:rsid w:val="00B625C7"/>
    <w:rsid w:val="00B62604"/>
    <w:rsid w:val="00B6268A"/>
    <w:rsid w:val="00B6270D"/>
    <w:rsid w:val="00B62710"/>
    <w:rsid w:val="00B62795"/>
    <w:rsid w:val="00B627D9"/>
    <w:rsid w:val="00B62852"/>
    <w:rsid w:val="00B62A4B"/>
    <w:rsid w:val="00B62AF5"/>
    <w:rsid w:val="00B62B15"/>
    <w:rsid w:val="00B62BBB"/>
    <w:rsid w:val="00B62BD2"/>
    <w:rsid w:val="00B62C36"/>
    <w:rsid w:val="00B62D1E"/>
    <w:rsid w:val="00B62DDD"/>
    <w:rsid w:val="00B62DE9"/>
    <w:rsid w:val="00B62DF2"/>
    <w:rsid w:val="00B62DFF"/>
    <w:rsid w:val="00B62E45"/>
    <w:rsid w:val="00B62E8A"/>
    <w:rsid w:val="00B62FAC"/>
    <w:rsid w:val="00B630AC"/>
    <w:rsid w:val="00B63160"/>
    <w:rsid w:val="00B63286"/>
    <w:rsid w:val="00B6332F"/>
    <w:rsid w:val="00B63335"/>
    <w:rsid w:val="00B633B8"/>
    <w:rsid w:val="00B63489"/>
    <w:rsid w:val="00B63642"/>
    <w:rsid w:val="00B636C4"/>
    <w:rsid w:val="00B636D4"/>
    <w:rsid w:val="00B6375F"/>
    <w:rsid w:val="00B63776"/>
    <w:rsid w:val="00B6390D"/>
    <w:rsid w:val="00B63921"/>
    <w:rsid w:val="00B6397A"/>
    <w:rsid w:val="00B639A4"/>
    <w:rsid w:val="00B63C7D"/>
    <w:rsid w:val="00B63DAF"/>
    <w:rsid w:val="00B63DCF"/>
    <w:rsid w:val="00B63DD0"/>
    <w:rsid w:val="00B63ED0"/>
    <w:rsid w:val="00B63F1A"/>
    <w:rsid w:val="00B63F76"/>
    <w:rsid w:val="00B63F98"/>
    <w:rsid w:val="00B64000"/>
    <w:rsid w:val="00B6405A"/>
    <w:rsid w:val="00B6416B"/>
    <w:rsid w:val="00B64419"/>
    <w:rsid w:val="00B6443C"/>
    <w:rsid w:val="00B64534"/>
    <w:rsid w:val="00B64675"/>
    <w:rsid w:val="00B64796"/>
    <w:rsid w:val="00B647EE"/>
    <w:rsid w:val="00B649BB"/>
    <w:rsid w:val="00B64B06"/>
    <w:rsid w:val="00B64B14"/>
    <w:rsid w:val="00B64B4C"/>
    <w:rsid w:val="00B64B8F"/>
    <w:rsid w:val="00B64BBC"/>
    <w:rsid w:val="00B64BEF"/>
    <w:rsid w:val="00B64C52"/>
    <w:rsid w:val="00B64C91"/>
    <w:rsid w:val="00B64D10"/>
    <w:rsid w:val="00B64DB4"/>
    <w:rsid w:val="00B650CF"/>
    <w:rsid w:val="00B651E0"/>
    <w:rsid w:val="00B65233"/>
    <w:rsid w:val="00B6526A"/>
    <w:rsid w:val="00B652E2"/>
    <w:rsid w:val="00B653B0"/>
    <w:rsid w:val="00B65415"/>
    <w:rsid w:val="00B65473"/>
    <w:rsid w:val="00B6561A"/>
    <w:rsid w:val="00B65697"/>
    <w:rsid w:val="00B657C1"/>
    <w:rsid w:val="00B658F8"/>
    <w:rsid w:val="00B6591E"/>
    <w:rsid w:val="00B65A16"/>
    <w:rsid w:val="00B65A36"/>
    <w:rsid w:val="00B65A49"/>
    <w:rsid w:val="00B65A9E"/>
    <w:rsid w:val="00B65B83"/>
    <w:rsid w:val="00B65C63"/>
    <w:rsid w:val="00B65C8D"/>
    <w:rsid w:val="00B65D03"/>
    <w:rsid w:val="00B65D04"/>
    <w:rsid w:val="00B65E63"/>
    <w:rsid w:val="00B65E97"/>
    <w:rsid w:val="00B65EA5"/>
    <w:rsid w:val="00B65FAB"/>
    <w:rsid w:val="00B66049"/>
    <w:rsid w:val="00B660C1"/>
    <w:rsid w:val="00B66242"/>
    <w:rsid w:val="00B662BE"/>
    <w:rsid w:val="00B66311"/>
    <w:rsid w:val="00B6632B"/>
    <w:rsid w:val="00B663D3"/>
    <w:rsid w:val="00B664E5"/>
    <w:rsid w:val="00B66589"/>
    <w:rsid w:val="00B66609"/>
    <w:rsid w:val="00B66748"/>
    <w:rsid w:val="00B66755"/>
    <w:rsid w:val="00B668AE"/>
    <w:rsid w:val="00B668B4"/>
    <w:rsid w:val="00B668E3"/>
    <w:rsid w:val="00B668F9"/>
    <w:rsid w:val="00B669B2"/>
    <w:rsid w:val="00B66A35"/>
    <w:rsid w:val="00B66A65"/>
    <w:rsid w:val="00B66A87"/>
    <w:rsid w:val="00B66AA6"/>
    <w:rsid w:val="00B66B95"/>
    <w:rsid w:val="00B66BD4"/>
    <w:rsid w:val="00B66C71"/>
    <w:rsid w:val="00B66CF4"/>
    <w:rsid w:val="00B66D3E"/>
    <w:rsid w:val="00B66EDE"/>
    <w:rsid w:val="00B66EFB"/>
    <w:rsid w:val="00B66F3A"/>
    <w:rsid w:val="00B66F3E"/>
    <w:rsid w:val="00B66FA0"/>
    <w:rsid w:val="00B66FA7"/>
    <w:rsid w:val="00B66FC7"/>
    <w:rsid w:val="00B67065"/>
    <w:rsid w:val="00B670AA"/>
    <w:rsid w:val="00B67103"/>
    <w:rsid w:val="00B672C6"/>
    <w:rsid w:val="00B67381"/>
    <w:rsid w:val="00B6744C"/>
    <w:rsid w:val="00B6747E"/>
    <w:rsid w:val="00B6780F"/>
    <w:rsid w:val="00B67854"/>
    <w:rsid w:val="00B678EC"/>
    <w:rsid w:val="00B6790C"/>
    <w:rsid w:val="00B679DD"/>
    <w:rsid w:val="00B67B06"/>
    <w:rsid w:val="00B67C89"/>
    <w:rsid w:val="00B67D86"/>
    <w:rsid w:val="00B67E8E"/>
    <w:rsid w:val="00B67EEF"/>
    <w:rsid w:val="00B67F3D"/>
    <w:rsid w:val="00B7013B"/>
    <w:rsid w:val="00B702F1"/>
    <w:rsid w:val="00B70355"/>
    <w:rsid w:val="00B70376"/>
    <w:rsid w:val="00B70408"/>
    <w:rsid w:val="00B70593"/>
    <w:rsid w:val="00B70688"/>
    <w:rsid w:val="00B70831"/>
    <w:rsid w:val="00B70861"/>
    <w:rsid w:val="00B708CC"/>
    <w:rsid w:val="00B708CD"/>
    <w:rsid w:val="00B7092F"/>
    <w:rsid w:val="00B70995"/>
    <w:rsid w:val="00B70AD5"/>
    <w:rsid w:val="00B70AE0"/>
    <w:rsid w:val="00B70AFD"/>
    <w:rsid w:val="00B70B0D"/>
    <w:rsid w:val="00B70B7A"/>
    <w:rsid w:val="00B70BAD"/>
    <w:rsid w:val="00B70D6C"/>
    <w:rsid w:val="00B70E86"/>
    <w:rsid w:val="00B70E9F"/>
    <w:rsid w:val="00B70ED5"/>
    <w:rsid w:val="00B70F47"/>
    <w:rsid w:val="00B71003"/>
    <w:rsid w:val="00B71017"/>
    <w:rsid w:val="00B710A4"/>
    <w:rsid w:val="00B710C9"/>
    <w:rsid w:val="00B712B0"/>
    <w:rsid w:val="00B712D0"/>
    <w:rsid w:val="00B7131E"/>
    <w:rsid w:val="00B71326"/>
    <w:rsid w:val="00B71499"/>
    <w:rsid w:val="00B7156E"/>
    <w:rsid w:val="00B71619"/>
    <w:rsid w:val="00B7165F"/>
    <w:rsid w:val="00B71847"/>
    <w:rsid w:val="00B71887"/>
    <w:rsid w:val="00B718C3"/>
    <w:rsid w:val="00B7192B"/>
    <w:rsid w:val="00B71961"/>
    <w:rsid w:val="00B71969"/>
    <w:rsid w:val="00B71A23"/>
    <w:rsid w:val="00B71B22"/>
    <w:rsid w:val="00B71BAE"/>
    <w:rsid w:val="00B71C6D"/>
    <w:rsid w:val="00B71C9C"/>
    <w:rsid w:val="00B71CFA"/>
    <w:rsid w:val="00B71D71"/>
    <w:rsid w:val="00B71E58"/>
    <w:rsid w:val="00B71EBD"/>
    <w:rsid w:val="00B71ED3"/>
    <w:rsid w:val="00B71F19"/>
    <w:rsid w:val="00B71F4B"/>
    <w:rsid w:val="00B71F9D"/>
    <w:rsid w:val="00B720B7"/>
    <w:rsid w:val="00B720C6"/>
    <w:rsid w:val="00B721A7"/>
    <w:rsid w:val="00B721D4"/>
    <w:rsid w:val="00B722EA"/>
    <w:rsid w:val="00B7231F"/>
    <w:rsid w:val="00B72336"/>
    <w:rsid w:val="00B72387"/>
    <w:rsid w:val="00B7240D"/>
    <w:rsid w:val="00B72435"/>
    <w:rsid w:val="00B724A0"/>
    <w:rsid w:val="00B7253B"/>
    <w:rsid w:val="00B72569"/>
    <w:rsid w:val="00B7271F"/>
    <w:rsid w:val="00B7276B"/>
    <w:rsid w:val="00B7276E"/>
    <w:rsid w:val="00B727FD"/>
    <w:rsid w:val="00B7281A"/>
    <w:rsid w:val="00B72855"/>
    <w:rsid w:val="00B7293A"/>
    <w:rsid w:val="00B72A93"/>
    <w:rsid w:val="00B72AA9"/>
    <w:rsid w:val="00B72B81"/>
    <w:rsid w:val="00B72BAF"/>
    <w:rsid w:val="00B72BCA"/>
    <w:rsid w:val="00B72C5B"/>
    <w:rsid w:val="00B72C5D"/>
    <w:rsid w:val="00B72C6F"/>
    <w:rsid w:val="00B72DC5"/>
    <w:rsid w:val="00B72E3A"/>
    <w:rsid w:val="00B7305A"/>
    <w:rsid w:val="00B7320E"/>
    <w:rsid w:val="00B73251"/>
    <w:rsid w:val="00B73478"/>
    <w:rsid w:val="00B734AF"/>
    <w:rsid w:val="00B73511"/>
    <w:rsid w:val="00B73713"/>
    <w:rsid w:val="00B737BB"/>
    <w:rsid w:val="00B737F6"/>
    <w:rsid w:val="00B73865"/>
    <w:rsid w:val="00B73AAA"/>
    <w:rsid w:val="00B73BFF"/>
    <w:rsid w:val="00B73DC3"/>
    <w:rsid w:val="00B73FAF"/>
    <w:rsid w:val="00B7420F"/>
    <w:rsid w:val="00B743A1"/>
    <w:rsid w:val="00B743E2"/>
    <w:rsid w:val="00B74415"/>
    <w:rsid w:val="00B74447"/>
    <w:rsid w:val="00B7457A"/>
    <w:rsid w:val="00B745A2"/>
    <w:rsid w:val="00B7465C"/>
    <w:rsid w:val="00B7478A"/>
    <w:rsid w:val="00B747A5"/>
    <w:rsid w:val="00B748D5"/>
    <w:rsid w:val="00B748EE"/>
    <w:rsid w:val="00B74AF7"/>
    <w:rsid w:val="00B74B35"/>
    <w:rsid w:val="00B74C6C"/>
    <w:rsid w:val="00B74D16"/>
    <w:rsid w:val="00B74E1D"/>
    <w:rsid w:val="00B74EE5"/>
    <w:rsid w:val="00B74F51"/>
    <w:rsid w:val="00B74FAF"/>
    <w:rsid w:val="00B75086"/>
    <w:rsid w:val="00B750D2"/>
    <w:rsid w:val="00B7518F"/>
    <w:rsid w:val="00B751B6"/>
    <w:rsid w:val="00B752CD"/>
    <w:rsid w:val="00B75438"/>
    <w:rsid w:val="00B75464"/>
    <w:rsid w:val="00B754E0"/>
    <w:rsid w:val="00B754EC"/>
    <w:rsid w:val="00B7555F"/>
    <w:rsid w:val="00B7556D"/>
    <w:rsid w:val="00B75650"/>
    <w:rsid w:val="00B7565E"/>
    <w:rsid w:val="00B75679"/>
    <w:rsid w:val="00B7568E"/>
    <w:rsid w:val="00B7569E"/>
    <w:rsid w:val="00B757AD"/>
    <w:rsid w:val="00B757BE"/>
    <w:rsid w:val="00B757E5"/>
    <w:rsid w:val="00B75849"/>
    <w:rsid w:val="00B758C6"/>
    <w:rsid w:val="00B758F7"/>
    <w:rsid w:val="00B758FF"/>
    <w:rsid w:val="00B75918"/>
    <w:rsid w:val="00B75972"/>
    <w:rsid w:val="00B759F2"/>
    <w:rsid w:val="00B75B93"/>
    <w:rsid w:val="00B75C00"/>
    <w:rsid w:val="00B75DA2"/>
    <w:rsid w:val="00B76060"/>
    <w:rsid w:val="00B760B2"/>
    <w:rsid w:val="00B7614E"/>
    <w:rsid w:val="00B761E3"/>
    <w:rsid w:val="00B76260"/>
    <w:rsid w:val="00B76264"/>
    <w:rsid w:val="00B762BB"/>
    <w:rsid w:val="00B762CC"/>
    <w:rsid w:val="00B76350"/>
    <w:rsid w:val="00B763FC"/>
    <w:rsid w:val="00B76427"/>
    <w:rsid w:val="00B764A5"/>
    <w:rsid w:val="00B76506"/>
    <w:rsid w:val="00B76597"/>
    <w:rsid w:val="00B7663D"/>
    <w:rsid w:val="00B7680E"/>
    <w:rsid w:val="00B7681C"/>
    <w:rsid w:val="00B76858"/>
    <w:rsid w:val="00B7691A"/>
    <w:rsid w:val="00B76989"/>
    <w:rsid w:val="00B769A5"/>
    <w:rsid w:val="00B769E5"/>
    <w:rsid w:val="00B76A28"/>
    <w:rsid w:val="00B76A89"/>
    <w:rsid w:val="00B76AA3"/>
    <w:rsid w:val="00B76BB4"/>
    <w:rsid w:val="00B76BE2"/>
    <w:rsid w:val="00B76C0E"/>
    <w:rsid w:val="00B76D1D"/>
    <w:rsid w:val="00B76D57"/>
    <w:rsid w:val="00B76E14"/>
    <w:rsid w:val="00B76E68"/>
    <w:rsid w:val="00B76EAA"/>
    <w:rsid w:val="00B76EAE"/>
    <w:rsid w:val="00B76EC8"/>
    <w:rsid w:val="00B76FC7"/>
    <w:rsid w:val="00B77009"/>
    <w:rsid w:val="00B77050"/>
    <w:rsid w:val="00B770C3"/>
    <w:rsid w:val="00B771A8"/>
    <w:rsid w:val="00B7720F"/>
    <w:rsid w:val="00B7729D"/>
    <w:rsid w:val="00B77527"/>
    <w:rsid w:val="00B776C6"/>
    <w:rsid w:val="00B77704"/>
    <w:rsid w:val="00B77768"/>
    <w:rsid w:val="00B777E2"/>
    <w:rsid w:val="00B778E3"/>
    <w:rsid w:val="00B778E4"/>
    <w:rsid w:val="00B77A97"/>
    <w:rsid w:val="00B77A9B"/>
    <w:rsid w:val="00B77B40"/>
    <w:rsid w:val="00B77B4C"/>
    <w:rsid w:val="00B77C48"/>
    <w:rsid w:val="00B77C53"/>
    <w:rsid w:val="00B77CE4"/>
    <w:rsid w:val="00B77D14"/>
    <w:rsid w:val="00B77D24"/>
    <w:rsid w:val="00B77D91"/>
    <w:rsid w:val="00B77DC2"/>
    <w:rsid w:val="00B77EB9"/>
    <w:rsid w:val="00B77F26"/>
    <w:rsid w:val="00B77F86"/>
    <w:rsid w:val="00B8002D"/>
    <w:rsid w:val="00B802AC"/>
    <w:rsid w:val="00B80532"/>
    <w:rsid w:val="00B80638"/>
    <w:rsid w:val="00B80717"/>
    <w:rsid w:val="00B807D8"/>
    <w:rsid w:val="00B807EB"/>
    <w:rsid w:val="00B80829"/>
    <w:rsid w:val="00B8083F"/>
    <w:rsid w:val="00B80840"/>
    <w:rsid w:val="00B8088B"/>
    <w:rsid w:val="00B80963"/>
    <w:rsid w:val="00B809F4"/>
    <w:rsid w:val="00B80B0E"/>
    <w:rsid w:val="00B80B5A"/>
    <w:rsid w:val="00B80BF4"/>
    <w:rsid w:val="00B80CD5"/>
    <w:rsid w:val="00B80D22"/>
    <w:rsid w:val="00B80DA0"/>
    <w:rsid w:val="00B80E04"/>
    <w:rsid w:val="00B80E06"/>
    <w:rsid w:val="00B80FB4"/>
    <w:rsid w:val="00B80FC6"/>
    <w:rsid w:val="00B8106B"/>
    <w:rsid w:val="00B811BE"/>
    <w:rsid w:val="00B81228"/>
    <w:rsid w:val="00B81243"/>
    <w:rsid w:val="00B8125F"/>
    <w:rsid w:val="00B8130D"/>
    <w:rsid w:val="00B8134C"/>
    <w:rsid w:val="00B81374"/>
    <w:rsid w:val="00B813B4"/>
    <w:rsid w:val="00B813E4"/>
    <w:rsid w:val="00B81429"/>
    <w:rsid w:val="00B814B6"/>
    <w:rsid w:val="00B814B8"/>
    <w:rsid w:val="00B814C1"/>
    <w:rsid w:val="00B814CE"/>
    <w:rsid w:val="00B814FC"/>
    <w:rsid w:val="00B8158F"/>
    <w:rsid w:val="00B815FF"/>
    <w:rsid w:val="00B816B4"/>
    <w:rsid w:val="00B8175A"/>
    <w:rsid w:val="00B81949"/>
    <w:rsid w:val="00B819F6"/>
    <w:rsid w:val="00B81A32"/>
    <w:rsid w:val="00B81B35"/>
    <w:rsid w:val="00B81BE8"/>
    <w:rsid w:val="00B81D12"/>
    <w:rsid w:val="00B81DCA"/>
    <w:rsid w:val="00B81DD0"/>
    <w:rsid w:val="00B81DF9"/>
    <w:rsid w:val="00B81E9D"/>
    <w:rsid w:val="00B81F1A"/>
    <w:rsid w:val="00B81F38"/>
    <w:rsid w:val="00B81F5E"/>
    <w:rsid w:val="00B81F79"/>
    <w:rsid w:val="00B81FB2"/>
    <w:rsid w:val="00B82198"/>
    <w:rsid w:val="00B82225"/>
    <w:rsid w:val="00B8229A"/>
    <w:rsid w:val="00B822DA"/>
    <w:rsid w:val="00B8234C"/>
    <w:rsid w:val="00B824CC"/>
    <w:rsid w:val="00B8255D"/>
    <w:rsid w:val="00B8258E"/>
    <w:rsid w:val="00B8283A"/>
    <w:rsid w:val="00B82922"/>
    <w:rsid w:val="00B829A4"/>
    <w:rsid w:val="00B82A1A"/>
    <w:rsid w:val="00B82A76"/>
    <w:rsid w:val="00B82AB1"/>
    <w:rsid w:val="00B82BDB"/>
    <w:rsid w:val="00B82C4A"/>
    <w:rsid w:val="00B82D0A"/>
    <w:rsid w:val="00B82D21"/>
    <w:rsid w:val="00B82E99"/>
    <w:rsid w:val="00B8301C"/>
    <w:rsid w:val="00B83108"/>
    <w:rsid w:val="00B8318E"/>
    <w:rsid w:val="00B831A3"/>
    <w:rsid w:val="00B831AC"/>
    <w:rsid w:val="00B8322C"/>
    <w:rsid w:val="00B83261"/>
    <w:rsid w:val="00B834FD"/>
    <w:rsid w:val="00B8350E"/>
    <w:rsid w:val="00B8353B"/>
    <w:rsid w:val="00B83561"/>
    <w:rsid w:val="00B8360D"/>
    <w:rsid w:val="00B83672"/>
    <w:rsid w:val="00B8367C"/>
    <w:rsid w:val="00B83782"/>
    <w:rsid w:val="00B839DD"/>
    <w:rsid w:val="00B83A6A"/>
    <w:rsid w:val="00B83AE1"/>
    <w:rsid w:val="00B83AF1"/>
    <w:rsid w:val="00B83B21"/>
    <w:rsid w:val="00B83B62"/>
    <w:rsid w:val="00B83BCB"/>
    <w:rsid w:val="00B83CA5"/>
    <w:rsid w:val="00B83D69"/>
    <w:rsid w:val="00B83D8C"/>
    <w:rsid w:val="00B83DE7"/>
    <w:rsid w:val="00B83FA5"/>
    <w:rsid w:val="00B8406B"/>
    <w:rsid w:val="00B8407F"/>
    <w:rsid w:val="00B840BC"/>
    <w:rsid w:val="00B840DB"/>
    <w:rsid w:val="00B84190"/>
    <w:rsid w:val="00B842C6"/>
    <w:rsid w:val="00B84395"/>
    <w:rsid w:val="00B84405"/>
    <w:rsid w:val="00B8445D"/>
    <w:rsid w:val="00B844A7"/>
    <w:rsid w:val="00B844C0"/>
    <w:rsid w:val="00B844C5"/>
    <w:rsid w:val="00B844D1"/>
    <w:rsid w:val="00B84546"/>
    <w:rsid w:val="00B84559"/>
    <w:rsid w:val="00B84641"/>
    <w:rsid w:val="00B846A8"/>
    <w:rsid w:val="00B84749"/>
    <w:rsid w:val="00B84764"/>
    <w:rsid w:val="00B84793"/>
    <w:rsid w:val="00B84803"/>
    <w:rsid w:val="00B84A7A"/>
    <w:rsid w:val="00B84AC2"/>
    <w:rsid w:val="00B84D53"/>
    <w:rsid w:val="00B84DD2"/>
    <w:rsid w:val="00B84E19"/>
    <w:rsid w:val="00B84E37"/>
    <w:rsid w:val="00B84E6E"/>
    <w:rsid w:val="00B85039"/>
    <w:rsid w:val="00B8504B"/>
    <w:rsid w:val="00B851D4"/>
    <w:rsid w:val="00B852F2"/>
    <w:rsid w:val="00B8535F"/>
    <w:rsid w:val="00B85514"/>
    <w:rsid w:val="00B855DE"/>
    <w:rsid w:val="00B8562E"/>
    <w:rsid w:val="00B856DC"/>
    <w:rsid w:val="00B8571C"/>
    <w:rsid w:val="00B8576B"/>
    <w:rsid w:val="00B85845"/>
    <w:rsid w:val="00B8589B"/>
    <w:rsid w:val="00B858BF"/>
    <w:rsid w:val="00B85905"/>
    <w:rsid w:val="00B85914"/>
    <w:rsid w:val="00B859C0"/>
    <w:rsid w:val="00B85B4E"/>
    <w:rsid w:val="00B85B8E"/>
    <w:rsid w:val="00B85DAE"/>
    <w:rsid w:val="00B85E26"/>
    <w:rsid w:val="00B85E93"/>
    <w:rsid w:val="00B85ED7"/>
    <w:rsid w:val="00B8601E"/>
    <w:rsid w:val="00B86029"/>
    <w:rsid w:val="00B860B2"/>
    <w:rsid w:val="00B8619E"/>
    <w:rsid w:val="00B86218"/>
    <w:rsid w:val="00B86441"/>
    <w:rsid w:val="00B86544"/>
    <w:rsid w:val="00B865C1"/>
    <w:rsid w:val="00B8660C"/>
    <w:rsid w:val="00B86620"/>
    <w:rsid w:val="00B86686"/>
    <w:rsid w:val="00B86706"/>
    <w:rsid w:val="00B86761"/>
    <w:rsid w:val="00B8681D"/>
    <w:rsid w:val="00B86905"/>
    <w:rsid w:val="00B86960"/>
    <w:rsid w:val="00B869BE"/>
    <w:rsid w:val="00B86A39"/>
    <w:rsid w:val="00B86AEF"/>
    <w:rsid w:val="00B86B5C"/>
    <w:rsid w:val="00B86B72"/>
    <w:rsid w:val="00B86DD1"/>
    <w:rsid w:val="00B86F86"/>
    <w:rsid w:val="00B86F87"/>
    <w:rsid w:val="00B87165"/>
    <w:rsid w:val="00B87224"/>
    <w:rsid w:val="00B87287"/>
    <w:rsid w:val="00B87388"/>
    <w:rsid w:val="00B87484"/>
    <w:rsid w:val="00B87551"/>
    <w:rsid w:val="00B875BC"/>
    <w:rsid w:val="00B8765B"/>
    <w:rsid w:val="00B876CA"/>
    <w:rsid w:val="00B8773B"/>
    <w:rsid w:val="00B87767"/>
    <w:rsid w:val="00B877BE"/>
    <w:rsid w:val="00B8784C"/>
    <w:rsid w:val="00B878B4"/>
    <w:rsid w:val="00B878CA"/>
    <w:rsid w:val="00B878CD"/>
    <w:rsid w:val="00B87A19"/>
    <w:rsid w:val="00B87E7C"/>
    <w:rsid w:val="00B87F6F"/>
    <w:rsid w:val="00B87FCF"/>
    <w:rsid w:val="00B900EF"/>
    <w:rsid w:val="00B90118"/>
    <w:rsid w:val="00B90150"/>
    <w:rsid w:val="00B901BE"/>
    <w:rsid w:val="00B9021F"/>
    <w:rsid w:val="00B90248"/>
    <w:rsid w:val="00B9028C"/>
    <w:rsid w:val="00B902F2"/>
    <w:rsid w:val="00B9043C"/>
    <w:rsid w:val="00B90532"/>
    <w:rsid w:val="00B90597"/>
    <w:rsid w:val="00B9059C"/>
    <w:rsid w:val="00B905C3"/>
    <w:rsid w:val="00B90605"/>
    <w:rsid w:val="00B906BE"/>
    <w:rsid w:val="00B906CB"/>
    <w:rsid w:val="00B90779"/>
    <w:rsid w:val="00B907CF"/>
    <w:rsid w:val="00B90844"/>
    <w:rsid w:val="00B90891"/>
    <w:rsid w:val="00B908B2"/>
    <w:rsid w:val="00B908C5"/>
    <w:rsid w:val="00B9091B"/>
    <w:rsid w:val="00B90A5A"/>
    <w:rsid w:val="00B90C8B"/>
    <w:rsid w:val="00B910DB"/>
    <w:rsid w:val="00B910E0"/>
    <w:rsid w:val="00B91154"/>
    <w:rsid w:val="00B91159"/>
    <w:rsid w:val="00B91356"/>
    <w:rsid w:val="00B91399"/>
    <w:rsid w:val="00B9145C"/>
    <w:rsid w:val="00B91498"/>
    <w:rsid w:val="00B91554"/>
    <w:rsid w:val="00B91578"/>
    <w:rsid w:val="00B91672"/>
    <w:rsid w:val="00B916D8"/>
    <w:rsid w:val="00B9170E"/>
    <w:rsid w:val="00B91752"/>
    <w:rsid w:val="00B917D4"/>
    <w:rsid w:val="00B9185B"/>
    <w:rsid w:val="00B918D6"/>
    <w:rsid w:val="00B91984"/>
    <w:rsid w:val="00B91990"/>
    <w:rsid w:val="00B91B39"/>
    <w:rsid w:val="00B91C58"/>
    <w:rsid w:val="00B91CB1"/>
    <w:rsid w:val="00B91CBD"/>
    <w:rsid w:val="00B91D1A"/>
    <w:rsid w:val="00B91D85"/>
    <w:rsid w:val="00B91DD0"/>
    <w:rsid w:val="00B91E48"/>
    <w:rsid w:val="00B91E4B"/>
    <w:rsid w:val="00B91F4A"/>
    <w:rsid w:val="00B92001"/>
    <w:rsid w:val="00B92136"/>
    <w:rsid w:val="00B92157"/>
    <w:rsid w:val="00B9217A"/>
    <w:rsid w:val="00B921C6"/>
    <w:rsid w:val="00B9231B"/>
    <w:rsid w:val="00B9232E"/>
    <w:rsid w:val="00B9234F"/>
    <w:rsid w:val="00B9238B"/>
    <w:rsid w:val="00B92397"/>
    <w:rsid w:val="00B9244B"/>
    <w:rsid w:val="00B9249B"/>
    <w:rsid w:val="00B924DE"/>
    <w:rsid w:val="00B92653"/>
    <w:rsid w:val="00B92676"/>
    <w:rsid w:val="00B926B6"/>
    <w:rsid w:val="00B926DD"/>
    <w:rsid w:val="00B9294D"/>
    <w:rsid w:val="00B929CF"/>
    <w:rsid w:val="00B92AD3"/>
    <w:rsid w:val="00B92D67"/>
    <w:rsid w:val="00B92D99"/>
    <w:rsid w:val="00B92E05"/>
    <w:rsid w:val="00B92EBD"/>
    <w:rsid w:val="00B92EF0"/>
    <w:rsid w:val="00B92EF6"/>
    <w:rsid w:val="00B93139"/>
    <w:rsid w:val="00B931CF"/>
    <w:rsid w:val="00B9328B"/>
    <w:rsid w:val="00B932BD"/>
    <w:rsid w:val="00B93387"/>
    <w:rsid w:val="00B933EC"/>
    <w:rsid w:val="00B934E4"/>
    <w:rsid w:val="00B93535"/>
    <w:rsid w:val="00B93601"/>
    <w:rsid w:val="00B9366C"/>
    <w:rsid w:val="00B93864"/>
    <w:rsid w:val="00B93897"/>
    <w:rsid w:val="00B938BE"/>
    <w:rsid w:val="00B9397E"/>
    <w:rsid w:val="00B939FF"/>
    <w:rsid w:val="00B93A12"/>
    <w:rsid w:val="00B93A49"/>
    <w:rsid w:val="00B93A67"/>
    <w:rsid w:val="00B93B24"/>
    <w:rsid w:val="00B93B92"/>
    <w:rsid w:val="00B93C02"/>
    <w:rsid w:val="00B93C03"/>
    <w:rsid w:val="00B93D1D"/>
    <w:rsid w:val="00B93D9C"/>
    <w:rsid w:val="00B93F33"/>
    <w:rsid w:val="00B93F3A"/>
    <w:rsid w:val="00B93F4D"/>
    <w:rsid w:val="00B93FFC"/>
    <w:rsid w:val="00B940FD"/>
    <w:rsid w:val="00B941B9"/>
    <w:rsid w:val="00B941E2"/>
    <w:rsid w:val="00B941FF"/>
    <w:rsid w:val="00B9426B"/>
    <w:rsid w:val="00B942AE"/>
    <w:rsid w:val="00B942B4"/>
    <w:rsid w:val="00B94394"/>
    <w:rsid w:val="00B94495"/>
    <w:rsid w:val="00B944E6"/>
    <w:rsid w:val="00B947C4"/>
    <w:rsid w:val="00B948B7"/>
    <w:rsid w:val="00B94906"/>
    <w:rsid w:val="00B94A0F"/>
    <w:rsid w:val="00B94A6C"/>
    <w:rsid w:val="00B94A86"/>
    <w:rsid w:val="00B94AE1"/>
    <w:rsid w:val="00B94B13"/>
    <w:rsid w:val="00B94B53"/>
    <w:rsid w:val="00B94B99"/>
    <w:rsid w:val="00B94C30"/>
    <w:rsid w:val="00B94CCB"/>
    <w:rsid w:val="00B94CE6"/>
    <w:rsid w:val="00B94D4D"/>
    <w:rsid w:val="00B94E15"/>
    <w:rsid w:val="00B94EAA"/>
    <w:rsid w:val="00B94EE1"/>
    <w:rsid w:val="00B94FA0"/>
    <w:rsid w:val="00B94FEC"/>
    <w:rsid w:val="00B9502D"/>
    <w:rsid w:val="00B950C3"/>
    <w:rsid w:val="00B950D7"/>
    <w:rsid w:val="00B950F3"/>
    <w:rsid w:val="00B95127"/>
    <w:rsid w:val="00B9519A"/>
    <w:rsid w:val="00B951CF"/>
    <w:rsid w:val="00B952C5"/>
    <w:rsid w:val="00B952F8"/>
    <w:rsid w:val="00B9536C"/>
    <w:rsid w:val="00B95560"/>
    <w:rsid w:val="00B955F1"/>
    <w:rsid w:val="00B956E8"/>
    <w:rsid w:val="00B95706"/>
    <w:rsid w:val="00B957DC"/>
    <w:rsid w:val="00B958DE"/>
    <w:rsid w:val="00B958F4"/>
    <w:rsid w:val="00B95995"/>
    <w:rsid w:val="00B95B3D"/>
    <w:rsid w:val="00B95C97"/>
    <w:rsid w:val="00B95D21"/>
    <w:rsid w:val="00B95DB3"/>
    <w:rsid w:val="00B95DCC"/>
    <w:rsid w:val="00B95DCF"/>
    <w:rsid w:val="00B95E0F"/>
    <w:rsid w:val="00B95E15"/>
    <w:rsid w:val="00B95E3F"/>
    <w:rsid w:val="00B95E6B"/>
    <w:rsid w:val="00B95F6A"/>
    <w:rsid w:val="00B95FD1"/>
    <w:rsid w:val="00B960BA"/>
    <w:rsid w:val="00B961DC"/>
    <w:rsid w:val="00B96225"/>
    <w:rsid w:val="00B96248"/>
    <w:rsid w:val="00B9627A"/>
    <w:rsid w:val="00B9633A"/>
    <w:rsid w:val="00B963A0"/>
    <w:rsid w:val="00B963E2"/>
    <w:rsid w:val="00B9641D"/>
    <w:rsid w:val="00B966BC"/>
    <w:rsid w:val="00B9676A"/>
    <w:rsid w:val="00B9678C"/>
    <w:rsid w:val="00B967E6"/>
    <w:rsid w:val="00B96879"/>
    <w:rsid w:val="00B96A0A"/>
    <w:rsid w:val="00B96A56"/>
    <w:rsid w:val="00B96BC4"/>
    <w:rsid w:val="00B96C53"/>
    <w:rsid w:val="00B96E74"/>
    <w:rsid w:val="00B96EBD"/>
    <w:rsid w:val="00B96EC4"/>
    <w:rsid w:val="00B96F4C"/>
    <w:rsid w:val="00B96F64"/>
    <w:rsid w:val="00B96F94"/>
    <w:rsid w:val="00B96FE7"/>
    <w:rsid w:val="00B970F4"/>
    <w:rsid w:val="00B9712D"/>
    <w:rsid w:val="00B97297"/>
    <w:rsid w:val="00B97301"/>
    <w:rsid w:val="00B97658"/>
    <w:rsid w:val="00B97668"/>
    <w:rsid w:val="00B97680"/>
    <w:rsid w:val="00B976C9"/>
    <w:rsid w:val="00B976E2"/>
    <w:rsid w:val="00B9775B"/>
    <w:rsid w:val="00B97776"/>
    <w:rsid w:val="00B978D9"/>
    <w:rsid w:val="00B97A10"/>
    <w:rsid w:val="00B97A19"/>
    <w:rsid w:val="00B97C49"/>
    <w:rsid w:val="00B97CFD"/>
    <w:rsid w:val="00B97D9D"/>
    <w:rsid w:val="00B97EEF"/>
    <w:rsid w:val="00B97F23"/>
    <w:rsid w:val="00B97FEF"/>
    <w:rsid w:val="00BA00BF"/>
    <w:rsid w:val="00BA02C7"/>
    <w:rsid w:val="00BA0381"/>
    <w:rsid w:val="00BA063F"/>
    <w:rsid w:val="00BA0647"/>
    <w:rsid w:val="00BA06BE"/>
    <w:rsid w:val="00BA0750"/>
    <w:rsid w:val="00BA0792"/>
    <w:rsid w:val="00BA0799"/>
    <w:rsid w:val="00BA0885"/>
    <w:rsid w:val="00BA08F5"/>
    <w:rsid w:val="00BA094F"/>
    <w:rsid w:val="00BA0955"/>
    <w:rsid w:val="00BA09CA"/>
    <w:rsid w:val="00BA0B3D"/>
    <w:rsid w:val="00BA0B79"/>
    <w:rsid w:val="00BA0BAE"/>
    <w:rsid w:val="00BA0D00"/>
    <w:rsid w:val="00BA0D6E"/>
    <w:rsid w:val="00BA0D7F"/>
    <w:rsid w:val="00BA0DC0"/>
    <w:rsid w:val="00BA0DCA"/>
    <w:rsid w:val="00BA0DCE"/>
    <w:rsid w:val="00BA0E45"/>
    <w:rsid w:val="00BA0E99"/>
    <w:rsid w:val="00BA0F22"/>
    <w:rsid w:val="00BA0F59"/>
    <w:rsid w:val="00BA0FD1"/>
    <w:rsid w:val="00BA11A7"/>
    <w:rsid w:val="00BA1229"/>
    <w:rsid w:val="00BA13EA"/>
    <w:rsid w:val="00BA1569"/>
    <w:rsid w:val="00BA15B7"/>
    <w:rsid w:val="00BA15EF"/>
    <w:rsid w:val="00BA1683"/>
    <w:rsid w:val="00BA16D1"/>
    <w:rsid w:val="00BA194E"/>
    <w:rsid w:val="00BA1A06"/>
    <w:rsid w:val="00BA1BFB"/>
    <w:rsid w:val="00BA1C4B"/>
    <w:rsid w:val="00BA1E73"/>
    <w:rsid w:val="00BA1F54"/>
    <w:rsid w:val="00BA1FDE"/>
    <w:rsid w:val="00BA1FE7"/>
    <w:rsid w:val="00BA1FF6"/>
    <w:rsid w:val="00BA1FFB"/>
    <w:rsid w:val="00BA2125"/>
    <w:rsid w:val="00BA2149"/>
    <w:rsid w:val="00BA2157"/>
    <w:rsid w:val="00BA2252"/>
    <w:rsid w:val="00BA228E"/>
    <w:rsid w:val="00BA22F8"/>
    <w:rsid w:val="00BA2345"/>
    <w:rsid w:val="00BA24FA"/>
    <w:rsid w:val="00BA2637"/>
    <w:rsid w:val="00BA26C0"/>
    <w:rsid w:val="00BA2741"/>
    <w:rsid w:val="00BA2803"/>
    <w:rsid w:val="00BA28F8"/>
    <w:rsid w:val="00BA2A07"/>
    <w:rsid w:val="00BA2A63"/>
    <w:rsid w:val="00BA2A82"/>
    <w:rsid w:val="00BA2B3F"/>
    <w:rsid w:val="00BA2BC7"/>
    <w:rsid w:val="00BA2C53"/>
    <w:rsid w:val="00BA2CB3"/>
    <w:rsid w:val="00BA2D61"/>
    <w:rsid w:val="00BA2E2A"/>
    <w:rsid w:val="00BA2F0F"/>
    <w:rsid w:val="00BA2F21"/>
    <w:rsid w:val="00BA2FA3"/>
    <w:rsid w:val="00BA2FCB"/>
    <w:rsid w:val="00BA3021"/>
    <w:rsid w:val="00BA302E"/>
    <w:rsid w:val="00BA3094"/>
    <w:rsid w:val="00BA313A"/>
    <w:rsid w:val="00BA319C"/>
    <w:rsid w:val="00BA321F"/>
    <w:rsid w:val="00BA3357"/>
    <w:rsid w:val="00BA34C3"/>
    <w:rsid w:val="00BA34C9"/>
    <w:rsid w:val="00BA3529"/>
    <w:rsid w:val="00BA35AD"/>
    <w:rsid w:val="00BA3606"/>
    <w:rsid w:val="00BA384C"/>
    <w:rsid w:val="00BA39AB"/>
    <w:rsid w:val="00BA3AD2"/>
    <w:rsid w:val="00BA3B2A"/>
    <w:rsid w:val="00BA3CA5"/>
    <w:rsid w:val="00BA3DA0"/>
    <w:rsid w:val="00BA3DCA"/>
    <w:rsid w:val="00BA41E2"/>
    <w:rsid w:val="00BA421B"/>
    <w:rsid w:val="00BA42EA"/>
    <w:rsid w:val="00BA43E2"/>
    <w:rsid w:val="00BA4418"/>
    <w:rsid w:val="00BA4422"/>
    <w:rsid w:val="00BA4445"/>
    <w:rsid w:val="00BA44BC"/>
    <w:rsid w:val="00BA45D1"/>
    <w:rsid w:val="00BA467D"/>
    <w:rsid w:val="00BA4836"/>
    <w:rsid w:val="00BA485C"/>
    <w:rsid w:val="00BA487D"/>
    <w:rsid w:val="00BA4B78"/>
    <w:rsid w:val="00BA4B95"/>
    <w:rsid w:val="00BA4BE0"/>
    <w:rsid w:val="00BA4DC7"/>
    <w:rsid w:val="00BA4DCE"/>
    <w:rsid w:val="00BA4DEE"/>
    <w:rsid w:val="00BA4E1E"/>
    <w:rsid w:val="00BA4E45"/>
    <w:rsid w:val="00BA4E6D"/>
    <w:rsid w:val="00BA4EBC"/>
    <w:rsid w:val="00BA4EC7"/>
    <w:rsid w:val="00BA4F50"/>
    <w:rsid w:val="00BA4F62"/>
    <w:rsid w:val="00BA5005"/>
    <w:rsid w:val="00BA5052"/>
    <w:rsid w:val="00BA505F"/>
    <w:rsid w:val="00BA5060"/>
    <w:rsid w:val="00BA50C0"/>
    <w:rsid w:val="00BA5108"/>
    <w:rsid w:val="00BA52B3"/>
    <w:rsid w:val="00BA53C0"/>
    <w:rsid w:val="00BA54AD"/>
    <w:rsid w:val="00BA553A"/>
    <w:rsid w:val="00BA55F7"/>
    <w:rsid w:val="00BA5681"/>
    <w:rsid w:val="00BA57ED"/>
    <w:rsid w:val="00BA597D"/>
    <w:rsid w:val="00BA59FB"/>
    <w:rsid w:val="00BA5BA5"/>
    <w:rsid w:val="00BA5E7A"/>
    <w:rsid w:val="00BA6056"/>
    <w:rsid w:val="00BA60E2"/>
    <w:rsid w:val="00BA6104"/>
    <w:rsid w:val="00BA61B8"/>
    <w:rsid w:val="00BA61E7"/>
    <w:rsid w:val="00BA61F0"/>
    <w:rsid w:val="00BA623F"/>
    <w:rsid w:val="00BA630F"/>
    <w:rsid w:val="00BA6320"/>
    <w:rsid w:val="00BA6338"/>
    <w:rsid w:val="00BA6341"/>
    <w:rsid w:val="00BA64ED"/>
    <w:rsid w:val="00BA66B8"/>
    <w:rsid w:val="00BA673C"/>
    <w:rsid w:val="00BA673D"/>
    <w:rsid w:val="00BA6794"/>
    <w:rsid w:val="00BA67AC"/>
    <w:rsid w:val="00BA67D6"/>
    <w:rsid w:val="00BA6940"/>
    <w:rsid w:val="00BA6955"/>
    <w:rsid w:val="00BA6965"/>
    <w:rsid w:val="00BA69BD"/>
    <w:rsid w:val="00BA69C7"/>
    <w:rsid w:val="00BA6A9C"/>
    <w:rsid w:val="00BA6BB3"/>
    <w:rsid w:val="00BA6D1D"/>
    <w:rsid w:val="00BA6DC2"/>
    <w:rsid w:val="00BA6E95"/>
    <w:rsid w:val="00BA6EA6"/>
    <w:rsid w:val="00BA6F7A"/>
    <w:rsid w:val="00BA6FD7"/>
    <w:rsid w:val="00BA705A"/>
    <w:rsid w:val="00BA7197"/>
    <w:rsid w:val="00BA71DC"/>
    <w:rsid w:val="00BA726E"/>
    <w:rsid w:val="00BA729B"/>
    <w:rsid w:val="00BA7689"/>
    <w:rsid w:val="00BA76F8"/>
    <w:rsid w:val="00BA7835"/>
    <w:rsid w:val="00BA7A05"/>
    <w:rsid w:val="00BA7A53"/>
    <w:rsid w:val="00BA7A59"/>
    <w:rsid w:val="00BA7A64"/>
    <w:rsid w:val="00BA7AE6"/>
    <w:rsid w:val="00BA7B53"/>
    <w:rsid w:val="00BA7CB2"/>
    <w:rsid w:val="00BA7DEA"/>
    <w:rsid w:val="00BA7EA7"/>
    <w:rsid w:val="00BB0119"/>
    <w:rsid w:val="00BB011D"/>
    <w:rsid w:val="00BB0123"/>
    <w:rsid w:val="00BB01AC"/>
    <w:rsid w:val="00BB01D5"/>
    <w:rsid w:val="00BB02A1"/>
    <w:rsid w:val="00BB0356"/>
    <w:rsid w:val="00BB035F"/>
    <w:rsid w:val="00BB040C"/>
    <w:rsid w:val="00BB05D7"/>
    <w:rsid w:val="00BB0658"/>
    <w:rsid w:val="00BB069F"/>
    <w:rsid w:val="00BB0785"/>
    <w:rsid w:val="00BB07F5"/>
    <w:rsid w:val="00BB0841"/>
    <w:rsid w:val="00BB09A7"/>
    <w:rsid w:val="00BB0A3E"/>
    <w:rsid w:val="00BB0B3E"/>
    <w:rsid w:val="00BB0B88"/>
    <w:rsid w:val="00BB0C3E"/>
    <w:rsid w:val="00BB0CAF"/>
    <w:rsid w:val="00BB0D6A"/>
    <w:rsid w:val="00BB0F85"/>
    <w:rsid w:val="00BB0F99"/>
    <w:rsid w:val="00BB1006"/>
    <w:rsid w:val="00BB10C6"/>
    <w:rsid w:val="00BB117D"/>
    <w:rsid w:val="00BB119D"/>
    <w:rsid w:val="00BB1351"/>
    <w:rsid w:val="00BB13A0"/>
    <w:rsid w:val="00BB141A"/>
    <w:rsid w:val="00BB14A3"/>
    <w:rsid w:val="00BB1537"/>
    <w:rsid w:val="00BB16F0"/>
    <w:rsid w:val="00BB17DA"/>
    <w:rsid w:val="00BB186E"/>
    <w:rsid w:val="00BB18FB"/>
    <w:rsid w:val="00BB19E5"/>
    <w:rsid w:val="00BB1A03"/>
    <w:rsid w:val="00BB1B78"/>
    <w:rsid w:val="00BB1B7E"/>
    <w:rsid w:val="00BB1BF1"/>
    <w:rsid w:val="00BB1CEA"/>
    <w:rsid w:val="00BB1D62"/>
    <w:rsid w:val="00BB1D6A"/>
    <w:rsid w:val="00BB1E7A"/>
    <w:rsid w:val="00BB1E96"/>
    <w:rsid w:val="00BB1EAF"/>
    <w:rsid w:val="00BB1EF2"/>
    <w:rsid w:val="00BB1F41"/>
    <w:rsid w:val="00BB1F64"/>
    <w:rsid w:val="00BB1F79"/>
    <w:rsid w:val="00BB1FFC"/>
    <w:rsid w:val="00BB2083"/>
    <w:rsid w:val="00BB20A3"/>
    <w:rsid w:val="00BB20F7"/>
    <w:rsid w:val="00BB2126"/>
    <w:rsid w:val="00BB215E"/>
    <w:rsid w:val="00BB21D2"/>
    <w:rsid w:val="00BB2215"/>
    <w:rsid w:val="00BB2339"/>
    <w:rsid w:val="00BB24A8"/>
    <w:rsid w:val="00BB24BE"/>
    <w:rsid w:val="00BB24F6"/>
    <w:rsid w:val="00BB25B1"/>
    <w:rsid w:val="00BB25E6"/>
    <w:rsid w:val="00BB26FF"/>
    <w:rsid w:val="00BB275D"/>
    <w:rsid w:val="00BB27B0"/>
    <w:rsid w:val="00BB27F0"/>
    <w:rsid w:val="00BB2846"/>
    <w:rsid w:val="00BB2857"/>
    <w:rsid w:val="00BB28A2"/>
    <w:rsid w:val="00BB28AF"/>
    <w:rsid w:val="00BB2A11"/>
    <w:rsid w:val="00BB2A81"/>
    <w:rsid w:val="00BB2C02"/>
    <w:rsid w:val="00BB2C1F"/>
    <w:rsid w:val="00BB2C43"/>
    <w:rsid w:val="00BB2D1A"/>
    <w:rsid w:val="00BB2D95"/>
    <w:rsid w:val="00BB2DB3"/>
    <w:rsid w:val="00BB2E71"/>
    <w:rsid w:val="00BB2EEA"/>
    <w:rsid w:val="00BB2F63"/>
    <w:rsid w:val="00BB306B"/>
    <w:rsid w:val="00BB318D"/>
    <w:rsid w:val="00BB3199"/>
    <w:rsid w:val="00BB31AD"/>
    <w:rsid w:val="00BB320D"/>
    <w:rsid w:val="00BB327E"/>
    <w:rsid w:val="00BB357C"/>
    <w:rsid w:val="00BB377A"/>
    <w:rsid w:val="00BB37CA"/>
    <w:rsid w:val="00BB37DC"/>
    <w:rsid w:val="00BB3812"/>
    <w:rsid w:val="00BB3813"/>
    <w:rsid w:val="00BB3830"/>
    <w:rsid w:val="00BB383E"/>
    <w:rsid w:val="00BB384F"/>
    <w:rsid w:val="00BB387E"/>
    <w:rsid w:val="00BB3995"/>
    <w:rsid w:val="00BB3A22"/>
    <w:rsid w:val="00BB3A98"/>
    <w:rsid w:val="00BB3ACD"/>
    <w:rsid w:val="00BB3C9D"/>
    <w:rsid w:val="00BB3CCB"/>
    <w:rsid w:val="00BB3CDA"/>
    <w:rsid w:val="00BB3E2F"/>
    <w:rsid w:val="00BB3E43"/>
    <w:rsid w:val="00BB4021"/>
    <w:rsid w:val="00BB4113"/>
    <w:rsid w:val="00BB4152"/>
    <w:rsid w:val="00BB41EF"/>
    <w:rsid w:val="00BB4458"/>
    <w:rsid w:val="00BB4622"/>
    <w:rsid w:val="00BB462C"/>
    <w:rsid w:val="00BB4648"/>
    <w:rsid w:val="00BB4748"/>
    <w:rsid w:val="00BB48DC"/>
    <w:rsid w:val="00BB4953"/>
    <w:rsid w:val="00BB49C5"/>
    <w:rsid w:val="00BB4A02"/>
    <w:rsid w:val="00BB4A74"/>
    <w:rsid w:val="00BB4AC1"/>
    <w:rsid w:val="00BB4C46"/>
    <w:rsid w:val="00BB4D53"/>
    <w:rsid w:val="00BB4E0F"/>
    <w:rsid w:val="00BB4E2B"/>
    <w:rsid w:val="00BB4E47"/>
    <w:rsid w:val="00BB4E94"/>
    <w:rsid w:val="00BB4EA6"/>
    <w:rsid w:val="00BB4FA1"/>
    <w:rsid w:val="00BB5018"/>
    <w:rsid w:val="00BB51B6"/>
    <w:rsid w:val="00BB51BC"/>
    <w:rsid w:val="00BB529E"/>
    <w:rsid w:val="00BB5373"/>
    <w:rsid w:val="00BB5383"/>
    <w:rsid w:val="00BB546B"/>
    <w:rsid w:val="00BB552A"/>
    <w:rsid w:val="00BB5590"/>
    <w:rsid w:val="00BB559D"/>
    <w:rsid w:val="00BB5660"/>
    <w:rsid w:val="00BB5682"/>
    <w:rsid w:val="00BB56EC"/>
    <w:rsid w:val="00BB571F"/>
    <w:rsid w:val="00BB57CC"/>
    <w:rsid w:val="00BB57EB"/>
    <w:rsid w:val="00BB58A3"/>
    <w:rsid w:val="00BB5B5E"/>
    <w:rsid w:val="00BB5CAC"/>
    <w:rsid w:val="00BB5DDA"/>
    <w:rsid w:val="00BB5E7F"/>
    <w:rsid w:val="00BB5EFC"/>
    <w:rsid w:val="00BB6118"/>
    <w:rsid w:val="00BB6228"/>
    <w:rsid w:val="00BB624A"/>
    <w:rsid w:val="00BB6285"/>
    <w:rsid w:val="00BB6387"/>
    <w:rsid w:val="00BB63DE"/>
    <w:rsid w:val="00BB63FC"/>
    <w:rsid w:val="00BB6480"/>
    <w:rsid w:val="00BB64AC"/>
    <w:rsid w:val="00BB653B"/>
    <w:rsid w:val="00BB65B4"/>
    <w:rsid w:val="00BB65C0"/>
    <w:rsid w:val="00BB6602"/>
    <w:rsid w:val="00BB6671"/>
    <w:rsid w:val="00BB66AA"/>
    <w:rsid w:val="00BB66E9"/>
    <w:rsid w:val="00BB680E"/>
    <w:rsid w:val="00BB69CD"/>
    <w:rsid w:val="00BB6A30"/>
    <w:rsid w:val="00BB6AC5"/>
    <w:rsid w:val="00BB6ACA"/>
    <w:rsid w:val="00BB6B36"/>
    <w:rsid w:val="00BB6B45"/>
    <w:rsid w:val="00BB6BC6"/>
    <w:rsid w:val="00BB6C72"/>
    <w:rsid w:val="00BB6E03"/>
    <w:rsid w:val="00BB6F37"/>
    <w:rsid w:val="00BB6F9B"/>
    <w:rsid w:val="00BB70A3"/>
    <w:rsid w:val="00BB7131"/>
    <w:rsid w:val="00BB71F6"/>
    <w:rsid w:val="00BB72F2"/>
    <w:rsid w:val="00BB7303"/>
    <w:rsid w:val="00BB741E"/>
    <w:rsid w:val="00BB7486"/>
    <w:rsid w:val="00BB7547"/>
    <w:rsid w:val="00BB7620"/>
    <w:rsid w:val="00BB7635"/>
    <w:rsid w:val="00BB7774"/>
    <w:rsid w:val="00BB7788"/>
    <w:rsid w:val="00BB778F"/>
    <w:rsid w:val="00BB77D4"/>
    <w:rsid w:val="00BB786E"/>
    <w:rsid w:val="00BB791D"/>
    <w:rsid w:val="00BB7A70"/>
    <w:rsid w:val="00BB7ADA"/>
    <w:rsid w:val="00BB7AE4"/>
    <w:rsid w:val="00BB7BAC"/>
    <w:rsid w:val="00BB7C10"/>
    <w:rsid w:val="00BB7C1C"/>
    <w:rsid w:val="00BB7CCF"/>
    <w:rsid w:val="00BB7E25"/>
    <w:rsid w:val="00BB7F07"/>
    <w:rsid w:val="00BB7F2A"/>
    <w:rsid w:val="00BB7F8A"/>
    <w:rsid w:val="00BC0116"/>
    <w:rsid w:val="00BC013A"/>
    <w:rsid w:val="00BC024B"/>
    <w:rsid w:val="00BC02A8"/>
    <w:rsid w:val="00BC0401"/>
    <w:rsid w:val="00BC040D"/>
    <w:rsid w:val="00BC041A"/>
    <w:rsid w:val="00BC0659"/>
    <w:rsid w:val="00BC06DB"/>
    <w:rsid w:val="00BC06F5"/>
    <w:rsid w:val="00BC0703"/>
    <w:rsid w:val="00BC0717"/>
    <w:rsid w:val="00BC075E"/>
    <w:rsid w:val="00BC0785"/>
    <w:rsid w:val="00BC0870"/>
    <w:rsid w:val="00BC08C1"/>
    <w:rsid w:val="00BC0958"/>
    <w:rsid w:val="00BC0973"/>
    <w:rsid w:val="00BC0A84"/>
    <w:rsid w:val="00BC0B19"/>
    <w:rsid w:val="00BC0BCE"/>
    <w:rsid w:val="00BC0C3A"/>
    <w:rsid w:val="00BC0CAD"/>
    <w:rsid w:val="00BC0CE1"/>
    <w:rsid w:val="00BC0D19"/>
    <w:rsid w:val="00BC0DBC"/>
    <w:rsid w:val="00BC0E58"/>
    <w:rsid w:val="00BC0E64"/>
    <w:rsid w:val="00BC0E8C"/>
    <w:rsid w:val="00BC0EB9"/>
    <w:rsid w:val="00BC0F16"/>
    <w:rsid w:val="00BC10FC"/>
    <w:rsid w:val="00BC11F7"/>
    <w:rsid w:val="00BC12B2"/>
    <w:rsid w:val="00BC1350"/>
    <w:rsid w:val="00BC137E"/>
    <w:rsid w:val="00BC143A"/>
    <w:rsid w:val="00BC1475"/>
    <w:rsid w:val="00BC157C"/>
    <w:rsid w:val="00BC15DE"/>
    <w:rsid w:val="00BC1659"/>
    <w:rsid w:val="00BC16F8"/>
    <w:rsid w:val="00BC1762"/>
    <w:rsid w:val="00BC17C8"/>
    <w:rsid w:val="00BC181F"/>
    <w:rsid w:val="00BC18EF"/>
    <w:rsid w:val="00BC1991"/>
    <w:rsid w:val="00BC1A23"/>
    <w:rsid w:val="00BC1B81"/>
    <w:rsid w:val="00BC1B98"/>
    <w:rsid w:val="00BC1CFC"/>
    <w:rsid w:val="00BC1DE1"/>
    <w:rsid w:val="00BC1DE4"/>
    <w:rsid w:val="00BC1E5E"/>
    <w:rsid w:val="00BC1F8F"/>
    <w:rsid w:val="00BC1FE4"/>
    <w:rsid w:val="00BC2033"/>
    <w:rsid w:val="00BC203A"/>
    <w:rsid w:val="00BC2043"/>
    <w:rsid w:val="00BC21DD"/>
    <w:rsid w:val="00BC21E4"/>
    <w:rsid w:val="00BC2226"/>
    <w:rsid w:val="00BC2238"/>
    <w:rsid w:val="00BC2254"/>
    <w:rsid w:val="00BC2289"/>
    <w:rsid w:val="00BC22AF"/>
    <w:rsid w:val="00BC2386"/>
    <w:rsid w:val="00BC2501"/>
    <w:rsid w:val="00BC2562"/>
    <w:rsid w:val="00BC285E"/>
    <w:rsid w:val="00BC2987"/>
    <w:rsid w:val="00BC29DE"/>
    <w:rsid w:val="00BC2C1F"/>
    <w:rsid w:val="00BC2CEC"/>
    <w:rsid w:val="00BC2DCB"/>
    <w:rsid w:val="00BC2F1C"/>
    <w:rsid w:val="00BC2FFB"/>
    <w:rsid w:val="00BC3012"/>
    <w:rsid w:val="00BC306E"/>
    <w:rsid w:val="00BC30E1"/>
    <w:rsid w:val="00BC3238"/>
    <w:rsid w:val="00BC3271"/>
    <w:rsid w:val="00BC328F"/>
    <w:rsid w:val="00BC334B"/>
    <w:rsid w:val="00BC347F"/>
    <w:rsid w:val="00BC34D6"/>
    <w:rsid w:val="00BC3593"/>
    <w:rsid w:val="00BC35A6"/>
    <w:rsid w:val="00BC35FB"/>
    <w:rsid w:val="00BC3678"/>
    <w:rsid w:val="00BC3692"/>
    <w:rsid w:val="00BC369C"/>
    <w:rsid w:val="00BC374B"/>
    <w:rsid w:val="00BC37AC"/>
    <w:rsid w:val="00BC381D"/>
    <w:rsid w:val="00BC383A"/>
    <w:rsid w:val="00BC3951"/>
    <w:rsid w:val="00BC3AA5"/>
    <w:rsid w:val="00BC3BBA"/>
    <w:rsid w:val="00BC3C89"/>
    <w:rsid w:val="00BC3D0E"/>
    <w:rsid w:val="00BC3D25"/>
    <w:rsid w:val="00BC3E37"/>
    <w:rsid w:val="00BC3EFA"/>
    <w:rsid w:val="00BC3F71"/>
    <w:rsid w:val="00BC4145"/>
    <w:rsid w:val="00BC41B9"/>
    <w:rsid w:val="00BC41D3"/>
    <w:rsid w:val="00BC41EE"/>
    <w:rsid w:val="00BC4251"/>
    <w:rsid w:val="00BC42DA"/>
    <w:rsid w:val="00BC42F9"/>
    <w:rsid w:val="00BC4326"/>
    <w:rsid w:val="00BC4342"/>
    <w:rsid w:val="00BC454A"/>
    <w:rsid w:val="00BC46BE"/>
    <w:rsid w:val="00BC4735"/>
    <w:rsid w:val="00BC4752"/>
    <w:rsid w:val="00BC47C2"/>
    <w:rsid w:val="00BC4869"/>
    <w:rsid w:val="00BC48A4"/>
    <w:rsid w:val="00BC48A6"/>
    <w:rsid w:val="00BC4972"/>
    <w:rsid w:val="00BC49A2"/>
    <w:rsid w:val="00BC4A2B"/>
    <w:rsid w:val="00BC4AF2"/>
    <w:rsid w:val="00BC4B3B"/>
    <w:rsid w:val="00BC4BF3"/>
    <w:rsid w:val="00BC4C5D"/>
    <w:rsid w:val="00BC4CC8"/>
    <w:rsid w:val="00BC4D2E"/>
    <w:rsid w:val="00BC4D34"/>
    <w:rsid w:val="00BC4E15"/>
    <w:rsid w:val="00BC4E18"/>
    <w:rsid w:val="00BC4E25"/>
    <w:rsid w:val="00BC4E2F"/>
    <w:rsid w:val="00BC4E67"/>
    <w:rsid w:val="00BC4F69"/>
    <w:rsid w:val="00BC51C2"/>
    <w:rsid w:val="00BC53F0"/>
    <w:rsid w:val="00BC5496"/>
    <w:rsid w:val="00BC549D"/>
    <w:rsid w:val="00BC54B8"/>
    <w:rsid w:val="00BC55B1"/>
    <w:rsid w:val="00BC57E0"/>
    <w:rsid w:val="00BC59BB"/>
    <w:rsid w:val="00BC59E6"/>
    <w:rsid w:val="00BC5A26"/>
    <w:rsid w:val="00BC5A39"/>
    <w:rsid w:val="00BC5ACC"/>
    <w:rsid w:val="00BC5B7F"/>
    <w:rsid w:val="00BC5CE1"/>
    <w:rsid w:val="00BC5D24"/>
    <w:rsid w:val="00BC5E92"/>
    <w:rsid w:val="00BC5EBF"/>
    <w:rsid w:val="00BC5EFF"/>
    <w:rsid w:val="00BC60EA"/>
    <w:rsid w:val="00BC60F3"/>
    <w:rsid w:val="00BC611B"/>
    <w:rsid w:val="00BC62EE"/>
    <w:rsid w:val="00BC633C"/>
    <w:rsid w:val="00BC637B"/>
    <w:rsid w:val="00BC63E1"/>
    <w:rsid w:val="00BC64FF"/>
    <w:rsid w:val="00BC6553"/>
    <w:rsid w:val="00BC6567"/>
    <w:rsid w:val="00BC656F"/>
    <w:rsid w:val="00BC6574"/>
    <w:rsid w:val="00BC6610"/>
    <w:rsid w:val="00BC664A"/>
    <w:rsid w:val="00BC6753"/>
    <w:rsid w:val="00BC67CE"/>
    <w:rsid w:val="00BC6897"/>
    <w:rsid w:val="00BC68CC"/>
    <w:rsid w:val="00BC68F6"/>
    <w:rsid w:val="00BC691D"/>
    <w:rsid w:val="00BC6974"/>
    <w:rsid w:val="00BC69FE"/>
    <w:rsid w:val="00BC6A04"/>
    <w:rsid w:val="00BC6BA9"/>
    <w:rsid w:val="00BC6CC4"/>
    <w:rsid w:val="00BC6CEB"/>
    <w:rsid w:val="00BC6D05"/>
    <w:rsid w:val="00BC6D0E"/>
    <w:rsid w:val="00BC6DBC"/>
    <w:rsid w:val="00BC6F61"/>
    <w:rsid w:val="00BC7049"/>
    <w:rsid w:val="00BC717F"/>
    <w:rsid w:val="00BC7239"/>
    <w:rsid w:val="00BC72ED"/>
    <w:rsid w:val="00BC734F"/>
    <w:rsid w:val="00BC73EA"/>
    <w:rsid w:val="00BC7565"/>
    <w:rsid w:val="00BC75ED"/>
    <w:rsid w:val="00BC761D"/>
    <w:rsid w:val="00BC7634"/>
    <w:rsid w:val="00BC766D"/>
    <w:rsid w:val="00BC76C9"/>
    <w:rsid w:val="00BC76E4"/>
    <w:rsid w:val="00BC7700"/>
    <w:rsid w:val="00BC7720"/>
    <w:rsid w:val="00BC7784"/>
    <w:rsid w:val="00BC7793"/>
    <w:rsid w:val="00BC77B4"/>
    <w:rsid w:val="00BC798E"/>
    <w:rsid w:val="00BC7CC9"/>
    <w:rsid w:val="00BC7D06"/>
    <w:rsid w:val="00BC7F23"/>
    <w:rsid w:val="00BD008A"/>
    <w:rsid w:val="00BD014C"/>
    <w:rsid w:val="00BD01D1"/>
    <w:rsid w:val="00BD02C0"/>
    <w:rsid w:val="00BD033A"/>
    <w:rsid w:val="00BD03B9"/>
    <w:rsid w:val="00BD03F6"/>
    <w:rsid w:val="00BD0418"/>
    <w:rsid w:val="00BD041A"/>
    <w:rsid w:val="00BD04C2"/>
    <w:rsid w:val="00BD054C"/>
    <w:rsid w:val="00BD05EC"/>
    <w:rsid w:val="00BD0650"/>
    <w:rsid w:val="00BD065B"/>
    <w:rsid w:val="00BD071A"/>
    <w:rsid w:val="00BD071B"/>
    <w:rsid w:val="00BD0799"/>
    <w:rsid w:val="00BD07AA"/>
    <w:rsid w:val="00BD07D2"/>
    <w:rsid w:val="00BD08CD"/>
    <w:rsid w:val="00BD08ED"/>
    <w:rsid w:val="00BD0A04"/>
    <w:rsid w:val="00BD0A0C"/>
    <w:rsid w:val="00BD0A8D"/>
    <w:rsid w:val="00BD0A94"/>
    <w:rsid w:val="00BD0AD4"/>
    <w:rsid w:val="00BD0B85"/>
    <w:rsid w:val="00BD0BB6"/>
    <w:rsid w:val="00BD0BD8"/>
    <w:rsid w:val="00BD0C83"/>
    <w:rsid w:val="00BD0D4B"/>
    <w:rsid w:val="00BD0D4F"/>
    <w:rsid w:val="00BD0E17"/>
    <w:rsid w:val="00BD0ED7"/>
    <w:rsid w:val="00BD0EE2"/>
    <w:rsid w:val="00BD0F04"/>
    <w:rsid w:val="00BD0F27"/>
    <w:rsid w:val="00BD0F50"/>
    <w:rsid w:val="00BD1075"/>
    <w:rsid w:val="00BD10B4"/>
    <w:rsid w:val="00BD1128"/>
    <w:rsid w:val="00BD125A"/>
    <w:rsid w:val="00BD140A"/>
    <w:rsid w:val="00BD1480"/>
    <w:rsid w:val="00BD148A"/>
    <w:rsid w:val="00BD1503"/>
    <w:rsid w:val="00BD15B7"/>
    <w:rsid w:val="00BD1660"/>
    <w:rsid w:val="00BD17C4"/>
    <w:rsid w:val="00BD18E7"/>
    <w:rsid w:val="00BD19E2"/>
    <w:rsid w:val="00BD1A86"/>
    <w:rsid w:val="00BD1B64"/>
    <w:rsid w:val="00BD1BAC"/>
    <w:rsid w:val="00BD1BE1"/>
    <w:rsid w:val="00BD1C63"/>
    <w:rsid w:val="00BD1C7E"/>
    <w:rsid w:val="00BD1CA1"/>
    <w:rsid w:val="00BD1CC4"/>
    <w:rsid w:val="00BD1D47"/>
    <w:rsid w:val="00BD1E36"/>
    <w:rsid w:val="00BD1E62"/>
    <w:rsid w:val="00BD1F20"/>
    <w:rsid w:val="00BD1F28"/>
    <w:rsid w:val="00BD2010"/>
    <w:rsid w:val="00BD20CA"/>
    <w:rsid w:val="00BD22B6"/>
    <w:rsid w:val="00BD23D7"/>
    <w:rsid w:val="00BD23EB"/>
    <w:rsid w:val="00BD24A0"/>
    <w:rsid w:val="00BD24EB"/>
    <w:rsid w:val="00BD2561"/>
    <w:rsid w:val="00BD257E"/>
    <w:rsid w:val="00BD258F"/>
    <w:rsid w:val="00BD26C0"/>
    <w:rsid w:val="00BD2A08"/>
    <w:rsid w:val="00BD2A15"/>
    <w:rsid w:val="00BD2AAD"/>
    <w:rsid w:val="00BD2AF5"/>
    <w:rsid w:val="00BD2B6F"/>
    <w:rsid w:val="00BD2C74"/>
    <w:rsid w:val="00BD2CE9"/>
    <w:rsid w:val="00BD2DC5"/>
    <w:rsid w:val="00BD2DD2"/>
    <w:rsid w:val="00BD2F08"/>
    <w:rsid w:val="00BD2F67"/>
    <w:rsid w:val="00BD2F69"/>
    <w:rsid w:val="00BD3005"/>
    <w:rsid w:val="00BD304F"/>
    <w:rsid w:val="00BD3202"/>
    <w:rsid w:val="00BD320D"/>
    <w:rsid w:val="00BD3227"/>
    <w:rsid w:val="00BD32F4"/>
    <w:rsid w:val="00BD332F"/>
    <w:rsid w:val="00BD3376"/>
    <w:rsid w:val="00BD33A7"/>
    <w:rsid w:val="00BD33D4"/>
    <w:rsid w:val="00BD341F"/>
    <w:rsid w:val="00BD3508"/>
    <w:rsid w:val="00BD3514"/>
    <w:rsid w:val="00BD3551"/>
    <w:rsid w:val="00BD36D1"/>
    <w:rsid w:val="00BD376A"/>
    <w:rsid w:val="00BD38C6"/>
    <w:rsid w:val="00BD39AA"/>
    <w:rsid w:val="00BD3A09"/>
    <w:rsid w:val="00BD3A63"/>
    <w:rsid w:val="00BD3B2B"/>
    <w:rsid w:val="00BD3B2E"/>
    <w:rsid w:val="00BD3BDD"/>
    <w:rsid w:val="00BD3CE3"/>
    <w:rsid w:val="00BD3E12"/>
    <w:rsid w:val="00BD3E1D"/>
    <w:rsid w:val="00BD3EF6"/>
    <w:rsid w:val="00BD3FD0"/>
    <w:rsid w:val="00BD3FE2"/>
    <w:rsid w:val="00BD3FE8"/>
    <w:rsid w:val="00BD403A"/>
    <w:rsid w:val="00BD40B1"/>
    <w:rsid w:val="00BD40DE"/>
    <w:rsid w:val="00BD419A"/>
    <w:rsid w:val="00BD419E"/>
    <w:rsid w:val="00BD41BE"/>
    <w:rsid w:val="00BD431B"/>
    <w:rsid w:val="00BD43C0"/>
    <w:rsid w:val="00BD4495"/>
    <w:rsid w:val="00BD4578"/>
    <w:rsid w:val="00BD45A0"/>
    <w:rsid w:val="00BD45D9"/>
    <w:rsid w:val="00BD45EE"/>
    <w:rsid w:val="00BD45FE"/>
    <w:rsid w:val="00BD4601"/>
    <w:rsid w:val="00BD48DC"/>
    <w:rsid w:val="00BD4981"/>
    <w:rsid w:val="00BD4A06"/>
    <w:rsid w:val="00BD4A7C"/>
    <w:rsid w:val="00BD4B97"/>
    <w:rsid w:val="00BD4BC2"/>
    <w:rsid w:val="00BD4D93"/>
    <w:rsid w:val="00BD4DBC"/>
    <w:rsid w:val="00BD4DCB"/>
    <w:rsid w:val="00BD4DFA"/>
    <w:rsid w:val="00BD4E48"/>
    <w:rsid w:val="00BD4F61"/>
    <w:rsid w:val="00BD4FDA"/>
    <w:rsid w:val="00BD500D"/>
    <w:rsid w:val="00BD5070"/>
    <w:rsid w:val="00BD5071"/>
    <w:rsid w:val="00BD50E6"/>
    <w:rsid w:val="00BD521D"/>
    <w:rsid w:val="00BD526B"/>
    <w:rsid w:val="00BD5285"/>
    <w:rsid w:val="00BD5306"/>
    <w:rsid w:val="00BD53CB"/>
    <w:rsid w:val="00BD5432"/>
    <w:rsid w:val="00BD55F8"/>
    <w:rsid w:val="00BD5623"/>
    <w:rsid w:val="00BD56A6"/>
    <w:rsid w:val="00BD5744"/>
    <w:rsid w:val="00BD5860"/>
    <w:rsid w:val="00BD58F8"/>
    <w:rsid w:val="00BD592D"/>
    <w:rsid w:val="00BD594A"/>
    <w:rsid w:val="00BD5AF4"/>
    <w:rsid w:val="00BD5C72"/>
    <w:rsid w:val="00BD5D18"/>
    <w:rsid w:val="00BD5DE1"/>
    <w:rsid w:val="00BD5E42"/>
    <w:rsid w:val="00BD5EE3"/>
    <w:rsid w:val="00BD5EF4"/>
    <w:rsid w:val="00BD5F44"/>
    <w:rsid w:val="00BD5FF0"/>
    <w:rsid w:val="00BD5FF7"/>
    <w:rsid w:val="00BD603F"/>
    <w:rsid w:val="00BD619A"/>
    <w:rsid w:val="00BD61B2"/>
    <w:rsid w:val="00BD61DA"/>
    <w:rsid w:val="00BD626C"/>
    <w:rsid w:val="00BD6306"/>
    <w:rsid w:val="00BD6383"/>
    <w:rsid w:val="00BD64AD"/>
    <w:rsid w:val="00BD65B4"/>
    <w:rsid w:val="00BD660C"/>
    <w:rsid w:val="00BD66EA"/>
    <w:rsid w:val="00BD66F5"/>
    <w:rsid w:val="00BD66F7"/>
    <w:rsid w:val="00BD6812"/>
    <w:rsid w:val="00BD68C0"/>
    <w:rsid w:val="00BD69A8"/>
    <w:rsid w:val="00BD6B55"/>
    <w:rsid w:val="00BD6BF7"/>
    <w:rsid w:val="00BD6CA6"/>
    <w:rsid w:val="00BD6CAF"/>
    <w:rsid w:val="00BD6CBD"/>
    <w:rsid w:val="00BD6CF1"/>
    <w:rsid w:val="00BD6DC3"/>
    <w:rsid w:val="00BD6E6F"/>
    <w:rsid w:val="00BD6EE1"/>
    <w:rsid w:val="00BD6FEC"/>
    <w:rsid w:val="00BD708E"/>
    <w:rsid w:val="00BD70CA"/>
    <w:rsid w:val="00BD71AA"/>
    <w:rsid w:val="00BD71C3"/>
    <w:rsid w:val="00BD7281"/>
    <w:rsid w:val="00BD72E1"/>
    <w:rsid w:val="00BD7353"/>
    <w:rsid w:val="00BD7402"/>
    <w:rsid w:val="00BD76A9"/>
    <w:rsid w:val="00BD7785"/>
    <w:rsid w:val="00BD77CA"/>
    <w:rsid w:val="00BD794C"/>
    <w:rsid w:val="00BD7C1D"/>
    <w:rsid w:val="00BD7C8F"/>
    <w:rsid w:val="00BD7CD4"/>
    <w:rsid w:val="00BD7DE0"/>
    <w:rsid w:val="00BD7E95"/>
    <w:rsid w:val="00BD7EAA"/>
    <w:rsid w:val="00BD7F59"/>
    <w:rsid w:val="00BE0047"/>
    <w:rsid w:val="00BE009C"/>
    <w:rsid w:val="00BE01CD"/>
    <w:rsid w:val="00BE02C3"/>
    <w:rsid w:val="00BE02F1"/>
    <w:rsid w:val="00BE0304"/>
    <w:rsid w:val="00BE03DA"/>
    <w:rsid w:val="00BE0427"/>
    <w:rsid w:val="00BE0475"/>
    <w:rsid w:val="00BE04ED"/>
    <w:rsid w:val="00BE061B"/>
    <w:rsid w:val="00BE06E7"/>
    <w:rsid w:val="00BE06F8"/>
    <w:rsid w:val="00BE0928"/>
    <w:rsid w:val="00BE0A53"/>
    <w:rsid w:val="00BE0A97"/>
    <w:rsid w:val="00BE0B6F"/>
    <w:rsid w:val="00BE0C1D"/>
    <w:rsid w:val="00BE0C3E"/>
    <w:rsid w:val="00BE0D8D"/>
    <w:rsid w:val="00BE0DA0"/>
    <w:rsid w:val="00BE0E44"/>
    <w:rsid w:val="00BE0EBC"/>
    <w:rsid w:val="00BE0F13"/>
    <w:rsid w:val="00BE1005"/>
    <w:rsid w:val="00BE1046"/>
    <w:rsid w:val="00BE1073"/>
    <w:rsid w:val="00BE10B8"/>
    <w:rsid w:val="00BE114A"/>
    <w:rsid w:val="00BE124B"/>
    <w:rsid w:val="00BE1384"/>
    <w:rsid w:val="00BE1438"/>
    <w:rsid w:val="00BE14D1"/>
    <w:rsid w:val="00BE153E"/>
    <w:rsid w:val="00BE157E"/>
    <w:rsid w:val="00BE158C"/>
    <w:rsid w:val="00BE15D0"/>
    <w:rsid w:val="00BE1690"/>
    <w:rsid w:val="00BE16A4"/>
    <w:rsid w:val="00BE179B"/>
    <w:rsid w:val="00BE1801"/>
    <w:rsid w:val="00BE1A80"/>
    <w:rsid w:val="00BE1B4B"/>
    <w:rsid w:val="00BE1BBA"/>
    <w:rsid w:val="00BE1CA5"/>
    <w:rsid w:val="00BE1CE4"/>
    <w:rsid w:val="00BE1D72"/>
    <w:rsid w:val="00BE1D99"/>
    <w:rsid w:val="00BE1EA6"/>
    <w:rsid w:val="00BE1F2A"/>
    <w:rsid w:val="00BE202C"/>
    <w:rsid w:val="00BE206C"/>
    <w:rsid w:val="00BE20CD"/>
    <w:rsid w:val="00BE20E7"/>
    <w:rsid w:val="00BE23FF"/>
    <w:rsid w:val="00BE2451"/>
    <w:rsid w:val="00BE24A4"/>
    <w:rsid w:val="00BE24E3"/>
    <w:rsid w:val="00BE2659"/>
    <w:rsid w:val="00BE26B7"/>
    <w:rsid w:val="00BE26C9"/>
    <w:rsid w:val="00BE270F"/>
    <w:rsid w:val="00BE27E7"/>
    <w:rsid w:val="00BE2984"/>
    <w:rsid w:val="00BE29F9"/>
    <w:rsid w:val="00BE29FB"/>
    <w:rsid w:val="00BE2A05"/>
    <w:rsid w:val="00BE2A30"/>
    <w:rsid w:val="00BE2B1E"/>
    <w:rsid w:val="00BE2BFC"/>
    <w:rsid w:val="00BE2C07"/>
    <w:rsid w:val="00BE2D2B"/>
    <w:rsid w:val="00BE2E47"/>
    <w:rsid w:val="00BE2F0D"/>
    <w:rsid w:val="00BE2F48"/>
    <w:rsid w:val="00BE2F95"/>
    <w:rsid w:val="00BE3030"/>
    <w:rsid w:val="00BE3349"/>
    <w:rsid w:val="00BE3448"/>
    <w:rsid w:val="00BE347F"/>
    <w:rsid w:val="00BE34C2"/>
    <w:rsid w:val="00BE354D"/>
    <w:rsid w:val="00BE3554"/>
    <w:rsid w:val="00BE35A1"/>
    <w:rsid w:val="00BE36F6"/>
    <w:rsid w:val="00BE3999"/>
    <w:rsid w:val="00BE3A68"/>
    <w:rsid w:val="00BE3B6B"/>
    <w:rsid w:val="00BE3B98"/>
    <w:rsid w:val="00BE3BDE"/>
    <w:rsid w:val="00BE3C21"/>
    <w:rsid w:val="00BE3C7A"/>
    <w:rsid w:val="00BE3D4B"/>
    <w:rsid w:val="00BE3EBD"/>
    <w:rsid w:val="00BE3FE3"/>
    <w:rsid w:val="00BE404F"/>
    <w:rsid w:val="00BE410D"/>
    <w:rsid w:val="00BE414D"/>
    <w:rsid w:val="00BE41BC"/>
    <w:rsid w:val="00BE4398"/>
    <w:rsid w:val="00BE43BB"/>
    <w:rsid w:val="00BE47A1"/>
    <w:rsid w:val="00BE47BF"/>
    <w:rsid w:val="00BE47CA"/>
    <w:rsid w:val="00BE48AF"/>
    <w:rsid w:val="00BE48FD"/>
    <w:rsid w:val="00BE4949"/>
    <w:rsid w:val="00BE4A51"/>
    <w:rsid w:val="00BE4BB7"/>
    <w:rsid w:val="00BE4DEA"/>
    <w:rsid w:val="00BE4E23"/>
    <w:rsid w:val="00BE4E59"/>
    <w:rsid w:val="00BE5067"/>
    <w:rsid w:val="00BE506C"/>
    <w:rsid w:val="00BE507F"/>
    <w:rsid w:val="00BE51CF"/>
    <w:rsid w:val="00BE52AA"/>
    <w:rsid w:val="00BE5374"/>
    <w:rsid w:val="00BE5383"/>
    <w:rsid w:val="00BE54B1"/>
    <w:rsid w:val="00BE5524"/>
    <w:rsid w:val="00BE5553"/>
    <w:rsid w:val="00BE5617"/>
    <w:rsid w:val="00BE5637"/>
    <w:rsid w:val="00BE5956"/>
    <w:rsid w:val="00BE5A16"/>
    <w:rsid w:val="00BE5A18"/>
    <w:rsid w:val="00BE5CAA"/>
    <w:rsid w:val="00BE5CF4"/>
    <w:rsid w:val="00BE5E16"/>
    <w:rsid w:val="00BE5F4E"/>
    <w:rsid w:val="00BE5F93"/>
    <w:rsid w:val="00BE5FF4"/>
    <w:rsid w:val="00BE5FFE"/>
    <w:rsid w:val="00BE6052"/>
    <w:rsid w:val="00BE608E"/>
    <w:rsid w:val="00BE60D0"/>
    <w:rsid w:val="00BE613E"/>
    <w:rsid w:val="00BE61D9"/>
    <w:rsid w:val="00BE625C"/>
    <w:rsid w:val="00BE627A"/>
    <w:rsid w:val="00BE62F2"/>
    <w:rsid w:val="00BE6596"/>
    <w:rsid w:val="00BE65E8"/>
    <w:rsid w:val="00BE671B"/>
    <w:rsid w:val="00BE6960"/>
    <w:rsid w:val="00BE6B2B"/>
    <w:rsid w:val="00BE6BD8"/>
    <w:rsid w:val="00BE6CE8"/>
    <w:rsid w:val="00BE6D62"/>
    <w:rsid w:val="00BE6EC3"/>
    <w:rsid w:val="00BE7035"/>
    <w:rsid w:val="00BE7329"/>
    <w:rsid w:val="00BE744C"/>
    <w:rsid w:val="00BE7485"/>
    <w:rsid w:val="00BE74FE"/>
    <w:rsid w:val="00BE757B"/>
    <w:rsid w:val="00BE7638"/>
    <w:rsid w:val="00BE7660"/>
    <w:rsid w:val="00BE7680"/>
    <w:rsid w:val="00BE768C"/>
    <w:rsid w:val="00BE774E"/>
    <w:rsid w:val="00BE7798"/>
    <w:rsid w:val="00BE7881"/>
    <w:rsid w:val="00BE7913"/>
    <w:rsid w:val="00BE7927"/>
    <w:rsid w:val="00BE7957"/>
    <w:rsid w:val="00BE7B21"/>
    <w:rsid w:val="00BE7B5F"/>
    <w:rsid w:val="00BE7D2B"/>
    <w:rsid w:val="00BE7E09"/>
    <w:rsid w:val="00BE7F03"/>
    <w:rsid w:val="00BE7F0C"/>
    <w:rsid w:val="00BE7F29"/>
    <w:rsid w:val="00BF0030"/>
    <w:rsid w:val="00BF0095"/>
    <w:rsid w:val="00BF01C7"/>
    <w:rsid w:val="00BF01C8"/>
    <w:rsid w:val="00BF01F4"/>
    <w:rsid w:val="00BF0201"/>
    <w:rsid w:val="00BF0221"/>
    <w:rsid w:val="00BF0226"/>
    <w:rsid w:val="00BF030F"/>
    <w:rsid w:val="00BF033C"/>
    <w:rsid w:val="00BF0342"/>
    <w:rsid w:val="00BF03F3"/>
    <w:rsid w:val="00BF0476"/>
    <w:rsid w:val="00BF04C7"/>
    <w:rsid w:val="00BF04E6"/>
    <w:rsid w:val="00BF0593"/>
    <w:rsid w:val="00BF05AE"/>
    <w:rsid w:val="00BF06D9"/>
    <w:rsid w:val="00BF0769"/>
    <w:rsid w:val="00BF0784"/>
    <w:rsid w:val="00BF0796"/>
    <w:rsid w:val="00BF0854"/>
    <w:rsid w:val="00BF0AA9"/>
    <w:rsid w:val="00BF0ABD"/>
    <w:rsid w:val="00BF0B2A"/>
    <w:rsid w:val="00BF0B83"/>
    <w:rsid w:val="00BF0D59"/>
    <w:rsid w:val="00BF0DDC"/>
    <w:rsid w:val="00BF0E17"/>
    <w:rsid w:val="00BF0EC2"/>
    <w:rsid w:val="00BF0F6D"/>
    <w:rsid w:val="00BF11D1"/>
    <w:rsid w:val="00BF1273"/>
    <w:rsid w:val="00BF12A7"/>
    <w:rsid w:val="00BF1316"/>
    <w:rsid w:val="00BF1351"/>
    <w:rsid w:val="00BF13B0"/>
    <w:rsid w:val="00BF16C4"/>
    <w:rsid w:val="00BF16D4"/>
    <w:rsid w:val="00BF1723"/>
    <w:rsid w:val="00BF1799"/>
    <w:rsid w:val="00BF184B"/>
    <w:rsid w:val="00BF18AE"/>
    <w:rsid w:val="00BF199C"/>
    <w:rsid w:val="00BF1A88"/>
    <w:rsid w:val="00BF1AF5"/>
    <w:rsid w:val="00BF1B57"/>
    <w:rsid w:val="00BF1B75"/>
    <w:rsid w:val="00BF1B9A"/>
    <w:rsid w:val="00BF1BD9"/>
    <w:rsid w:val="00BF1C4A"/>
    <w:rsid w:val="00BF1C81"/>
    <w:rsid w:val="00BF1C85"/>
    <w:rsid w:val="00BF1D0F"/>
    <w:rsid w:val="00BF1DCF"/>
    <w:rsid w:val="00BF1E8D"/>
    <w:rsid w:val="00BF1F25"/>
    <w:rsid w:val="00BF1F2C"/>
    <w:rsid w:val="00BF1FA7"/>
    <w:rsid w:val="00BF1FD0"/>
    <w:rsid w:val="00BF2017"/>
    <w:rsid w:val="00BF20E1"/>
    <w:rsid w:val="00BF21A3"/>
    <w:rsid w:val="00BF22CB"/>
    <w:rsid w:val="00BF2326"/>
    <w:rsid w:val="00BF2398"/>
    <w:rsid w:val="00BF23A2"/>
    <w:rsid w:val="00BF23C6"/>
    <w:rsid w:val="00BF2420"/>
    <w:rsid w:val="00BF2489"/>
    <w:rsid w:val="00BF24CD"/>
    <w:rsid w:val="00BF2567"/>
    <w:rsid w:val="00BF25AC"/>
    <w:rsid w:val="00BF25D3"/>
    <w:rsid w:val="00BF2614"/>
    <w:rsid w:val="00BF2694"/>
    <w:rsid w:val="00BF27D7"/>
    <w:rsid w:val="00BF2871"/>
    <w:rsid w:val="00BF28A4"/>
    <w:rsid w:val="00BF28B9"/>
    <w:rsid w:val="00BF2984"/>
    <w:rsid w:val="00BF2AB7"/>
    <w:rsid w:val="00BF2D20"/>
    <w:rsid w:val="00BF2F35"/>
    <w:rsid w:val="00BF2F73"/>
    <w:rsid w:val="00BF308D"/>
    <w:rsid w:val="00BF312D"/>
    <w:rsid w:val="00BF3161"/>
    <w:rsid w:val="00BF3188"/>
    <w:rsid w:val="00BF31F0"/>
    <w:rsid w:val="00BF32C3"/>
    <w:rsid w:val="00BF3363"/>
    <w:rsid w:val="00BF33CE"/>
    <w:rsid w:val="00BF346A"/>
    <w:rsid w:val="00BF34CC"/>
    <w:rsid w:val="00BF3541"/>
    <w:rsid w:val="00BF374F"/>
    <w:rsid w:val="00BF37F8"/>
    <w:rsid w:val="00BF3924"/>
    <w:rsid w:val="00BF3B9A"/>
    <w:rsid w:val="00BF3C1C"/>
    <w:rsid w:val="00BF3C27"/>
    <w:rsid w:val="00BF3CE0"/>
    <w:rsid w:val="00BF3E04"/>
    <w:rsid w:val="00BF3E0D"/>
    <w:rsid w:val="00BF3EC6"/>
    <w:rsid w:val="00BF3F1E"/>
    <w:rsid w:val="00BF3FD6"/>
    <w:rsid w:val="00BF3FFF"/>
    <w:rsid w:val="00BF408A"/>
    <w:rsid w:val="00BF417E"/>
    <w:rsid w:val="00BF4220"/>
    <w:rsid w:val="00BF4304"/>
    <w:rsid w:val="00BF434A"/>
    <w:rsid w:val="00BF43EA"/>
    <w:rsid w:val="00BF4437"/>
    <w:rsid w:val="00BF4440"/>
    <w:rsid w:val="00BF4481"/>
    <w:rsid w:val="00BF4784"/>
    <w:rsid w:val="00BF47B9"/>
    <w:rsid w:val="00BF4833"/>
    <w:rsid w:val="00BF491A"/>
    <w:rsid w:val="00BF49EF"/>
    <w:rsid w:val="00BF4A86"/>
    <w:rsid w:val="00BF4A95"/>
    <w:rsid w:val="00BF4AE1"/>
    <w:rsid w:val="00BF4B4B"/>
    <w:rsid w:val="00BF4B8B"/>
    <w:rsid w:val="00BF4D3F"/>
    <w:rsid w:val="00BF4D47"/>
    <w:rsid w:val="00BF4D52"/>
    <w:rsid w:val="00BF4F69"/>
    <w:rsid w:val="00BF5042"/>
    <w:rsid w:val="00BF507B"/>
    <w:rsid w:val="00BF50DA"/>
    <w:rsid w:val="00BF51F1"/>
    <w:rsid w:val="00BF51F8"/>
    <w:rsid w:val="00BF5335"/>
    <w:rsid w:val="00BF5339"/>
    <w:rsid w:val="00BF5563"/>
    <w:rsid w:val="00BF5725"/>
    <w:rsid w:val="00BF5873"/>
    <w:rsid w:val="00BF58B0"/>
    <w:rsid w:val="00BF58D8"/>
    <w:rsid w:val="00BF595E"/>
    <w:rsid w:val="00BF59DC"/>
    <w:rsid w:val="00BF5A69"/>
    <w:rsid w:val="00BF5C24"/>
    <w:rsid w:val="00BF5C49"/>
    <w:rsid w:val="00BF5C5B"/>
    <w:rsid w:val="00BF5D2A"/>
    <w:rsid w:val="00BF5D75"/>
    <w:rsid w:val="00BF5E5F"/>
    <w:rsid w:val="00BF5E8B"/>
    <w:rsid w:val="00BF5F7E"/>
    <w:rsid w:val="00BF60E0"/>
    <w:rsid w:val="00BF61B4"/>
    <w:rsid w:val="00BF61FD"/>
    <w:rsid w:val="00BF6211"/>
    <w:rsid w:val="00BF6273"/>
    <w:rsid w:val="00BF6303"/>
    <w:rsid w:val="00BF6393"/>
    <w:rsid w:val="00BF639F"/>
    <w:rsid w:val="00BF63DA"/>
    <w:rsid w:val="00BF646D"/>
    <w:rsid w:val="00BF66A5"/>
    <w:rsid w:val="00BF67AA"/>
    <w:rsid w:val="00BF6955"/>
    <w:rsid w:val="00BF6A3C"/>
    <w:rsid w:val="00BF6A9A"/>
    <w:rsid w:val="00BF6ACD"/>
    <w:rsid w:val="00BF6B94"/>
    <w:rsid w:val="00BF6D52"/>
    <w:rsid w:val="00BF6DBD"/>
    <w:rsid w:val="00BF6E4C"/>
    <w:rsid w:val="00BF6F65"/>
    <w:rsid w:val="00BF7006"/>
    <w:rsid w:val="00BF702F"/>
    <w:rsid w:val="00BF706A"/>
    <w:rsid w:val="00BF7125"/>
    <w:rsid w:val="00BF719A"/>
    <w:rsid w:val="00BF71B4"/>
    <w:rsid w:val="00BF71D2"/>
    <w:rsid w:val="00BF729E"/>
    <w:rsid w:val="00BF72F1"/>
    <w:rsid w:val="00BF7383"/>
    <w:rsid w:val="00BF74EC"/>
    <w:rsid w:val="00BF7636"/>
    <w:rsid w:val="00BF76DD"/>
    <w:rsid w:val="00BF7725"/>
    <w:rsid w:val="00BF7785"/>
    <w:rsid w:val="00BF779B"/>
    <w:rsid w:val="00BF77BB"/>
    <w:rsid w:val="00BF78DD"/>
    <w:rsid w:val="00BF7A69"/>
    <w:rsid w:val="00BF7A89"/>
    <w:rsid w:val="00BF7AE4"/>
    <w:rsid w:val="00BF7B83"/>
    <w:rsid w:val="00BF7BE0"/>
    <w:rsid w:val="00BF7C32"/>
    <w:rsid w:val="00BF7C54"/>
    <w:rsid w:val="00BF7C61"/>
    <w:rsid w:val="00BF7F0D"/>
    <w:rsid w:val="00BF7F64"/>
    <w:rsid w:val="00C00129"/>
    <w:rsid w:val="00C0020C"/>
    <w:rsid w:val="00C00234"/>
    <w:rsid w:val="00C00323"/>
    <w:rsid w:val="00C00328"/>
    <w:rsid w:val="00C00394"/>
    <w:rsid w:val="00C00452"/>
    <w:rsid w:val="00C00607"/>
    <w:rsid w:val="00C0085E"/>
    <w:rsid w:val="00C00934"/>
    <w:rsid w:val="00C009E8"/>
    <w:rsid w:val="00C00A91"/>
    <w:rsid w:val="00C00B8A"/>
    <w:rsid w:val="00C00C43"/>
    <w:rsid w:val="00C00D0C"/>
    <w:rsid w:val="00C00D23"/>
    <w:rsid w:val="00C00D37"/>
    <w:rsid w:val="00C00F95"/>
    <w:rsid w:val="00C0105C"/>
    <w:rsid w:val="00C01064"/>
    <w:rsid w:val="00C01242"/>
    <w:rsid w:val="00C0136D"/>
    <w:rsid w:val="00C0142E"/>
    <w:rsid w:val="00C01468"/>
    <w:rsid w:val="00C0150F"/>
    <w:rsid w:val="00C0151C"/>
    <w:rsid w:val="00C0152F"/>
    <w:rsid w:val="00C01565"/>
    <w:rsid w:val="00C015E2"/>
    <w:rsid w:val="00C01786"/>
    <w:rsid w:val="00C01849"/>
    <w:rsid w:val="00C0185B"/>
    <w:rsid w:val="00C0186F"/>
    <w:rsid w:val="00C018F5"/>
    <w:rsid w:val="00C01CB6"/>
    <w:rsid w:val="00C01D5F"/>
    <w:rsid w:val="00C01E42"/>
    <w:rsid w:val="00C01E66"/>
    <w:rsid w:val="00C01ECB"/>
    <w:rsid w:val="00C01F71"/>
    <w:rsid w:val="00C01FD9"/>
    <w:rsid w:val="00C0204C"/>
    <w:rsid w:val="00C02065"/>
    <w:rsid w:val="00C020A5"/>
    <w:rsid w:val="00C020E0"/>
    <w:rsid w:val="00C0221F"/>
    <w:rsid w:val="00C02240"/>
    <w:rsid w:val="00C02350"/>
    <w:rsid w:val="00C02541"/>
    <w:rsid w:val="00C026E0"/>
    <w:rsid w:val="00C026FD"/>
    <w:rsid w:val="00C02721"/>
    <w:rsid w:val="00C027C9"/>
    <w:rsid w:val="00C0282D"/>
    <w:rsid w:val="00C02836"/>
    <w:rsid w:val="00C0288B"/>
    <w:rsid w:val="00C0292C"/>
    <w:rsid w:val="00C0292E"/>
    <w:rsid w:val="00C029D6"/>
    <w:rsid w:val="00C02A77"/>
    <w:rsid w:val="00C02A78"/>
    <w:rsid w:val="00C02B1C"/>
    <w:rsid w:val="00C02B65"/>
    <w:rsid w:val="00C02F61"/>
    <w:rsid w:val="00C02FE0"/>
    <w:rsid w:val="00C03065"/>
    <w:rsid w:val="00C03082"/>
    <w:rsid w:val="00C031F3"/>
    <w:rsid w:val="00C0326A"/>
    <w:rsid w:val="00C032BA"/>
    <w:rsid w:val="00C032CE"/>
    <w:rsid w:val="00C032E4"/>
    <w:rsid w:val="00C032F3"/>
    <w:rsid w:val="00C033DC"/>
    <w:rsid w:val="00C0345A"/>
    <w:rsid w:val="00C03477"/>
    <w:rsid w:val="00C034DD"/>
    <w:rsid w:val="00C03511"/>
    <w:rsid w:val="00C03531"/>
    <w:rsid w:val="00C0353D"/>
    <w:rsid w:val="00C03843"/>
    <w:rsid w:val="00C03935"/>
    <w:rsid w:val="00C03A0F"/>
    <w:rsid w:val="00C03A1D"/>
    <w:rsid w:val="00C03B45"/>
    <w:rsid w:val="00C03CC7"/>
    <w:rsid w:val="00C03EA5"/>
    <w:rsid w:val="00C03F04"/>
    <w:rsid w:val="00C03F7D"/>
    <w:rsid w:val="00C041CF"/>
    <w:rsid w:val="00C04286"/>
    <w:rsid w:val="00C043D2"/>
    <w:rsid w:val="00C0449E"/>
    <w:rsid w:val="00C0450C"/>
    <w:rsid w:val="00C04510"/>
    <w:rsid w:val="00C04512"/>
    <w:rsid w:val="00C04541"/>
    <w:rsid w:val="00C045D8"/>
    <w:rsid w:val="00C0464F"/>
    <w:rsid w:val="00C04673"/>
    <w:rsid w:val="00C0469D"/>
    <w:rsid w:val="00C046AE"/>
    <w:rsid w:val="00C0479E"/>
    <w:rsid w:val="00C047F4"/>
    <w:rsid w:val="00C04822"/>
    <w:rsid w:val="00C04895"/>
    <w:rsid w:val="00C04B93"/>
    <w:rsid w:val="00C04C3A"/>
    <w:rsid w:val="00C04C8E"/>
    <w:rsid w:val="00C04CA0"/>
    <w:rsid w:val="00C04F14"/>
    <w:rsid w:val="00C04F8E"/>
    <w:rsid w:val="00C04FC0"/>
    <w:rsid w:val="00C050C5"/>
    <w:rsid w:val="00C05176"/>
    <w:rsid w:val="00C051CD"/>
    <w:rsid w:val="00C0529D"/>
    <w:rsid w:val="00C052D1"/>
    <w:rsid w:val="00C052DA"/>
    <w:rsid w:val="00C0532D"/>
    <w:rsid w:val="00C05475"/>
    <w:rsid w:val="00C0555B"/>
    <w:rsid w:val="00C05678"/>
    <w:rsid w:val="00C056C7"/>
    <w:rsid w:val="00C05700"/>
    <w:rsid w:val="00C05796"/>
    <w:rsid w:val="00C0579D"/>
    <w:rsid w:val="00C058A4"/>
    <w:rsid w:val="00C058A8"/>
    <w:rsid w:val="00C05954"/>
    <w:rsid w:val="00C0598A"/>
    <w:rsid w:val="00C059AF"/>
    <w:rsid w:val="00C05AC9"/>
    <w:rsid w:val="00C05B3A"/>
    <w:rsid w:val="00C05B42"/>
    <w:rsid w:val="00C05B4F"/>
    <w:rsid w:val="00C05BA9"/>
    <w:rsid w:val="00C05D04"/>
    <w:rsid w:val="00C05D5D"/>
    <w:rsid w:val="00C05D86"/>
    <w:rsid w:val="00C05DBE"/>
    <w:rsid w:val="00C05FC5"/>
    <w:rsid w:val="00C05FE6"/>
    <w:rsid w:val="00C0606B"/>
    <w:rsid w:val="00C060C0"/>
    <w:rsid w:val="00C060D0"/>
    <w:rsid w:val="00C06174"/>
    <w:rsid w:val="00C061E1"/>
    <w:rsid w:val="00C0625A"/>
    <w:rsid w:val="00C06281"/>
    <w:rsid w:val="00C062EC"/>
    <w:rsid w:val="00C06331"/>
    <w:rsid w:val="00C0641C"/>
    <w:rsid w:val="00C06429"/>
    <w:rsid w:val="00C0642E"/>
    <w:rsid w:val="00C06449"/>
    <w:rsid w:val="00C06497"/>
    <w:rsid w:val="00C06540"/>
    <w:rsid w:val="00C0670E"/>
    <w:rsid w:val="00C06761"/>
    <w:rsid w:val="00C06787"/>
    <w:rsid w:val="00C068C4"/>
    <w:rsid w:val="00C069C3"/>
    <w:rsid w:val="00C06ADD"/>
    <w:rsid w:val="00C06C3F"/>
    <w:rsid w:val="00C06D0F"/>
    <w:rsid w:val="00C06D46"/>
    <w:rsid w:val="00C06E74"/>
    <w:rsid w:val="00C06F60"/>
    <w:rsid w:val="00C06F63"/>
    <w:rsid w:val="00C07039"/>
    <w:rsid w:val="00C0705A"/>
    <w:rsid w:val="00C0710E"/>
    <w:rsid w:val="00C071AB"/>
    <w:rsid w:val="00C07213"/>
    <w:rsid w:val="00C07252"/>
    <w:rsid w:val="00C07319"/>
    <w:rsid w:val="00C074CD"/>
    <w:rsid w:val="00C075C6"/>
    <w:rsid w:val="00C076B6"/>
    <w:rsid w:val="00C07768"/>
    <w:rsid w:val="00C07786"/>
    <w:rsid w:val="00C077F8"/>
    <w:rsid w:val="00C0786C"/>
    <w:rsid w:val="00C078A5"/>
    <w:rsid w:val="00C078DB"/>
    <w:rsid w:val="00C07937"/>
    <w:rsid w:val="00C07A75"/>
    <w:rsid w:val="00C07B2F"/>
    <w:rsid w:val="00C07B9B"/>
    <w:rsid w:val="00C07BB8"/>
    <w:rsid w:val="00C07BDA"/>
    <w:rsid w:val="00C07D61"/>
    <w:rsid w:val="00C07E3A"/>
    <w:rsid w:val="00C1007C"/>
    <w:rsid w:val="00C100C8"/>
    <w:rsid w:val="00C10101"/>
    <w:rsid w:val="00C10236"/>
    <w:rsid w:val="00C1025D"/>
    <w:rsid w:val="00C10285"/>
    <w:rsid w:val="00C10415"/>
    <w:rsid w:val="00C10417"/>
    <w:rsid w:val="00C1044D"/>
    <w:rsid w:val="00C10474"/>
    <w:rsid w:val="00C104E6"/>
    <w:rsid w:val="00C105AB"/>
    <w:rsid w:val="00C106BB"/>
    <w:rsid w:val="00C10721"/>
    <w:rsid w:val="00C1072F"/>
    <w:rsid w:val="00C10768"/>
    <w:rsid w:val="00C107C3"/>
    <w:rsid w:val="00C107D5"/>
    <w:rsid w:val="00C1083C"/>
    <w:rsid w:val="00C10840"/>
    <w:rsid w:val="00C10844"/>
    <w:rsid w:val="00C1092D"/>
    <w:rsid w:val="00C1094F"/>
    <w:rsid w:val="00C10A91"/>
    <w:rsid w:val="00C10B57"/>
    <w:rsid w:val="00C10B69"/>
    <w:rsid w:val="00C10BC4"/>
    <w:rsid w:val="00C10DEA"/>
    <w:rsid w:val="00C10EC1"/>
    <w:rsid w:val="00C10EFB"/>
    <w:rsid w:val="00C10F3E"/>
    <w:rsid w:val="00C110DF"/>
    <w:rsid w:val="00C11166"/>
    <w:rsid w:val="00C11168"/>
    <w:rsid w:val="00C11199"/>
    <w:rsid w:val="00C11246"/>
    <w:rsid w:val="00C11387"/>
    <w:rsid w:val="00C11392"/>
    <w:rsid w:val="00C113CF"/>
    <w:rsid w:val="00C1147E"/>
    <w:rsid w:val="00C1149A"/>
    <w:rsid w:val="00C114A9"/>
    <w:rsid w:val="00C114BE"/>
    <w:rsid w:val="00C1158D"/>
    <w:rsid w:val="00C115AF"/>
    <w:rsid w:val="00C11703"/>
    <w:rsid w:val="00C11875"/>
    <w:rsid w:val="00C1188A"/>
    <w:rsid w:val="00C11A34"/>
    <w:rsid w:val="00C11AA4"/>
    <w:rsid w:val="00C11C33"/>
    <w:rsid w:val="00C11CA2"/>
    <w:rsid w:val="00C11CAE"/>
    <w:rsid w:val="00C11CED"/>
    <w:rsid w:val="00C11CFF"/>
    <w:rsid w:val="00C11D2E"/>
    <w:rsid w:val="00C11D40"/>
    <w:rsid w:val="00C11EE6"/>
    <w:rsid w:val="00C11EEE"/>
    <w:rsid w:val="00C11FE2"/>
    <w:rsid w:val="00C11FF2"/>
    <w:rsid w:val="00C12015"/>
    <w:rsid w:val="00C12036"/>
    <w:rsid w:val="00C12079"/>
    <w:rsid w:val="00C1207E"/>
    <w:rsid w:val="00C120B6"/>
    <w:rsid w:val="00C12201"/>
    <w:rsid w:val="00C1229F"/>
    <w:rsid w:val="00C122FE"/>
    <w:rsid w:val="00C12487"/>
    <w:rsid w:val="00C124F0"/>
    <w:rsid w:val="00C12509"/>
    <w:rsid w:val="00C12536"/>
    <w:rsid w:val="00C1256C"/>
    <w:rsid w:val="00C1263E"/>
    <w:rsid w:val="00C126F2"/>
    <w:rsid w:val="00C126FA"/>
    <w:rsid w:val="00C12755"/>
    <w:rsid w:val="00C12816"/>
    <w:rsid w:val="00C12888"/>
    <w:rsid w:val="00C1288D"/>
    <w:rsid w:val="00C12906"/>
    <w:rsid w:val="00C1292E"/>
    <w:rsid w:val="00C129AD"/>
    <w:rsid w:val="00C12A0F"/>
    <w:rsid w:val="00C12AB0"/>
    <w:rsid w:val="00C12AD0"/>
    <w:rsid w:val="00C12B58"/>
    <w:rsid w:val="00C12BF4"/>
    <w:rsid w:val="00C12DC6"/>
    <w:rsid w:val="00C12DE5"/>
    <w:rsid w:val="00C12E76"/>
    <w:rsid w:val="00C12E77"/>
    <w:rsid w:val="00C12E98"/>
    <w:rsid w:val="00C12F76"/>
    <w:rsid w:val="00C13087"/>
    <w:rsid w:val="00C13094"/>
    <w:rsid w:val="00C130C7"/>
    <w:rsid w:val="00C130ED"/>
    <w:rsid w:val="00C13139"/>
    <w:rsid w:val="00C131FC"/>
    <w:rsid w:val="00C132D2"/>
    <w:rsid w:val="00C13359"/>
    <w:rsid w:val="00C13520"/>
    <w:rsid w:val="00C1356D"/>
    <w:rsid w:val="00C1359C"/>
    <w:rsid w:val="00C135F3"/>
    <w:rsid w:val="00C13635"/>
    <w:rsid w:val="00C13799"/>
    <w:rsid w:val="00C13855"/>
    <w:rsid w:val="00C13985"/>
    <w:rsid w:val="00C139C1"/>
    <w:rsid w:val="00C13A4F"/>
    <w:rsid w:val="00C13B31"/>
    <w:rsid w:val="00C13C92"/>
    <w:rsid w:val="00C13DEB"/>
    <w:rsid w:val="00C13E58"/>
    <w:rsid w:val="00C13F48"/>
    <w:rsid w:val="00C13F55"/>
    <w:rsid w:val="00C140E9"/>
    <w:rsid w:val="00C14117"/>
    <w:rsid w:val="00C142A3"/>
    <w:rsid w:val="00C142AA"/>
    <w:rsid w:val="00C142D5"/>
    <w:rsid w:val="00C1431E"/>
    <w:rsid w:val="00C1433B"/>
    <w:rsid w:val="00C143A1"/>
    <w:rsid w:val="00C143A5"/>
    <w:rsid w:val="00C14455"/>
    <w:rsid w:val="00C14498"/>
    <w:rsid w:val="00C1451B"/>
    <w:rsid w:val="00C1463F"/>
    <w:rsid w:val="00C147A5"/>
    <w:rsid w:val="00C147BA"/>
    <w:rsid w:val="00C1489A"/>
    <w:rsid w:val="00C14927"/>
    <w:rsid w:val="00C14943"/>
    <w:rsid w:val="00C149D9"/>
    <w:rsid w:val="00C14A72"/>
    <w:rsid w:val="00C14AC8"/>
    <w:rsid w:val="00C14B5F"/>
    <w:rsid w:val="00C14B81"/>
    <w:rsid w:val="00C14B82"/>
    <w:rsid w:val="00C14BCE"/>
    <w:rsid w:val="00C14C02"/>
    <w:rsid w:val="00C14C12"/>
    <w:rsid w:val="00C14C30"/>
    <w:rsid w:val="00C14C9E"/>
    <w:rsid w:val="00C14D3F"/>
    <w:rsid w:val="00C14DD8"/>
    <w:rsid w:val="00C14E37"/>
    <w:rsid w:val="00C14E72"/>
    <w:rsid w:val="00C14E97"/>
    <w:rsid w:val="00C14F6E"/>
    <w:rsid w:val="00C14F7D"/>
    <w:rsid w:val="00C14F9B"/>
    <w:rsid w:val="00C14FAB"/>
    <w:rsid w:val="00C15014"/>
    <w:rsid w:val="00C1501E"/>
    <w:rsid w:val="00C15055"/>
    <w:rsid w:val="00C150DB"/>
    <w:rsid w:val="00C1515F"/>
    <w:rsid w:val="00C1526B"/>
    <w:rsid w:val="00C15381"/>
    <w:rsid w:val="00C15445"/>
    <w:rsid w:val="00C15465"/>
    <w:rsid w:val="00C15551"/>
    <w:rsid w:val="00C155E5"/>
    <w:rsid w:val="00C15610"/>
    <w:rsid w:val="00C156F8"/>
    <w:rsid w:val="00C15765"/>
    <w:rsid w:val="00C157EE"/>
    <w:rsid w:val="00C15951"/>
    <w:rsid w:val="00C15A69"/>
    <w:rsid w:val="00C15B2F"/>
    <w:rsid w:val="00C15B5E"/>
    <w:rsid w:val="00C15BBA"/>
    <w:rsid w:val="00C15C21"/>
    <w:rsid w:val="00C15D76"/>
    <w:rsid w:val="00C15E3A"/>
    <w:rsid w:val="00C15F27"/>
    <w:rsid w:val="00C15F3B"/>
    <w:rsid w:val="00C15F3D"/>
    <w:rsid w:val="00C15F42"/>
    <w:rsid w:val="00C15FCB"/>
    <w:rsid w:val="00C160B2"/>
    <w:rsid w:val="00C160B3"/>
    <w:rsid w:val="00C160CE"/>
    <w:rsid w:val="00C160D6"/>
    <w:rsid w:val="00C1610B"/>
    <w:rsid w:val="00C1611D"/>
    <w:rsid w:val="00C161B5"/>
    <w:rsid w:val="00C161DE"/>
    <w:rsid w:val="00C16202"/>
    <w:rsid w:val="00C162B6"/>
    <w:rsid w:val="00C16371"/>
    <w:rsid w:val="00C16669"/>
    <w:rsid w:val="00C16695"/>
    <w:rsid w:val="00C166BE"/>
    <w:rsid w:val="00C16727"/>
    <w:rsid w:val="00C1675D"/>
    <w:rsid w:val="00C167E0"/>
    <w:rsid w:val="00C16854"/>
    <w:rsid w:val="00C168DE"/>
    <w:rsid w:val="00C16915"/>
    <w:rsid w:val="00C16919"/>
    <w:rsid w:val="00C1691E"/>
    <w:rsid w:val="00C16940"/>
    <w:rsid w:val="00C16959"/>
    <w:rsid w:val="00C1697C"/>
    <w:rsid w:val="00C1697D"/>
    <w:rsid w:val="00C16A4B"/>
    <w:rsid w:val="00C16A5B"/>
    <w:rsid w:val="00C16B08"/>
    <w:rsid w:val="00C16B6D"/>
    <w:rsid w:val="00C16B7C"/>
    <w:rsid w:val="00C16BB2"/>
    <w:rsid w:val="00C16C9A"/>
    <w:rsid w:val="00C16D21"/>
    <w:rsid w:val="00C16E70"/>
    <w:rsid w:val="00C16F96"/>
    <w:rsid w:val="00C16FDE"/>
    <w:rsid w:val="00C1702E"/>
    <w:rsid w:val="00C170AB"/>
    <w:rsid w:val="00C17129"/>
    <w:rsid w:val="00C17136"/>
    <w:rsid w:val="00C1719A"/>
    <w:rsid w:val="00C1727A"/>
    <w:rsid w:val="00C17340"/>
    <w:rsid w:val="00C1737E"/>
    <w:rsid w:val="00C1749F"/>
    <w:rsid w:val="00C1756D"/>
    <w:rsid w:val="00C175E4"/>
    <w:rsid w:val="00C1761F"/>
    <w:rsid w:val="00C17657"/>
    <w:rsid w:val="00C17658"/>
    <w:rsid w:val="00C17676"/>
    <w:rsid w:val="00C17698"/>
    <w:rsid w:val="00C177F0"/>
    <w:rsid w:val="00C17810"/>
    <w:rsid w:val="00C17854"/>
    <w:rsid w:val="00C17915"/>
    <w:rsid w:val="00C1798B"/>
    <w:rsid w:val="00C179A4"/>
    <w:rsid w:val="00C179E3"/>
    <w:rsid w:val="00C17B3B"/>
    <w:rsid w:val="00C17B40"/>
    <w:rsid w:val="00C17C0A"/>
    <w:rsid w:val="00C17C18"/>
    <w:rsid w:val="00C17C47"/>
    <w:rsid w:val="00C17CC4"/>
    <w:rsid w:val="00C17D34"/>
    <w:rsid w:val="00C17D53"/>
    <w:rsid w:val="00C17E5B"/>
    <w:rsid w:val="00C17E5D"/>
    <w:rsid w:val="00C17F0A"/>
    <w:rsid w:val="00C17F8D"/>
    <w:rsid w:val="00C17FDE"/>
    <w:rsid w:val="00C20015"/>
    <w:rsid w:val="00C20057"/>
    <w:rsid w:val="00C20060"/>
    <w:rsid w:val="00C20093"/>
    <w:rsid w:val="00C20099"/>
    <w:rsid w:val="00C201D7"/>
    <w:rsid w:val="00C20271"/>
    <w:rsid w:val="00C20342"/>
    <w:rsid w:val="00C204AC"/>
    <w:rsid w:val="00C20582"/>
    <w:rsid w:val="00C20604"/>
    <w:rsid w:val="00C20746"/>
    <w:rsid w:val="00C2077E"/>
    <w:rsid w:val="00C20798"/>
    <w:rsid w:val="00C207B7"/>
    <w:rsid w:val="00C2086B"/>
    <w:rsid w:val="00C2087E"/>
    <w:rsid w:val="00C2090B"/>
    <w:rsid w:val="00C209B6"/>
    <w:rsid w:val="00C20C81"/>
    <w:rsid w:val="00C20C98"/>
    <w:rsid w:val="00C20CE9"/>
    <w:rsid w:val="00C20D24"/>
    <w:rsid w:val="00C20D25"/>
    <w:rsid w:val="00C20D49"/>
    <w:rsid w:val="00C20D6C"/>
    <w:rsid w:val="00C20E33"/>
    <w:rsid w:val="00C20E65"/>
    <w:rsid w:val="00C20EB8"/>
    <w:rsid w:val="00C20ED3"/>
    <w:rsid w:val="00C20F45"/>
    <w:rsid w:val="00C20F6C"/>
    <w:rsid w:val="00C210E3"/>
    <w:rsid w:val="00C2119A"/>
    <w:rsid w:val="00C212B9"/>
    <w:rsid w:val="00C21333"/>
    <w:rsid w:val="00C213B1"/>
    <w:rsid w:val="00C2144F"/>
    <w:rsid w:val="00C21494"/>
    <w:rsid w:val="00C214D5"/>
    <w:rsid w:val="00C21597"/>
    <w:rsid w:val="00C21601"/>
    <w:rsid w:val="00C21609"/>
    <w:rsid w:val="00C216EE"/>
    <w:rsid w:val="00C21708"/>
    <w:rsid w:val="00C2184D"/>
    <w:rsid w:val="00C218A2"/>
    <w:rsid w:val="00C219B3"/>
    <w:rsid w:val="00C21A9A"/>
    <w:rsid w:val="00C21B29"/>
    <w:rsid w:val="00C21B86"/>
    <w:rsid w:val="00C21BB6"/>
    <w:rsid w:val="00C21C01"/>
    <w:rsid w:val="00C21C70"/>
    <w:rsid w:val="00C21CAB"/>
    <w:rsid w:val="00C21D88"/>
    <w:rsid w:val="00C21D8E"/>
    <w:rsid w:val="00C21DE7"/>
    <w:rsid w:val="00C21E47"/>
    <w:rsid w:val="00C21F43"/>
    <w:rsid w:val="00C22055"/>
    <w:rsid w:val="00C2208A"/>
    <w:rsid w:val="00C22176"/>
    <w:rsid w:val="00C2219F"/>
    <w:rsid w:val="00C221E1"/>
    <w:rsid w:val="00C22213"/>
    <w:rsid w:val="00C22247"/>
    <w:rsid w:val="00C22272"/>
    <w:rsid w:val="00C2242C"/>
    <w:rsid w:val="00C22583"/>
    <w:rsid w:val="00C227E1"/>
    <w:rsid w:val="00C227E3"/>
    <w:rsid w:val="00C2287A"/>
    <w:rsid w:val="00C22A0D"/>
    <w:rsid w:val="00C22A5C"/>
    <w:rsid w:val="00C22AF9"/>
    <w:rsid w:val="00C22C29"/>
    <w:rsid w:val="00C22DB1"/>
    <w:rsid w:val="00C22DD9"/>
    <w:rsid w:val="00C22ED3"/>
    <w:rsid w:val="00C22F58"/>
    <w:rsid w:val="00C22FE5"/>
    <w:rsid w:val="00C23065"/>
    <w:rsid w:val="00C231D0"/>
    <w:rsid w:val="00C2324E"/>
    <w:rsid w:val="00C232C6"/>
    <w:rsid w:val="00C232E0"/>
    <w:rsid w:val="00C2330D"/>
    <w:rsid w:val="00C233A0"/>
    <w:rsid w:val="00C2353A"/>
    <w:rsid w:val="00C23590"/>
    <w:rsid w:val="00C235CD"/>
    <w:rsid w:val="00C237FF"/>
    <w:rsid w:val="00C238A0"/>
    <w:rsid w:val="00C238B5"/>
    <w:rsid w:val="00C239E7"/>
    <w:rsid w:val="00C239F6"/>
    <w:rsid w:val="00C23A13"/>
    <w:rsid w:val="00C23A34"/>
    <w:rsid w:val="00C23AAA"/>
    <w:rsid w:val="00C23C37"/>
    <w:rsid w:val="00C23DCA"/>
    <w:rsid w:val="00C23E4F"/>
    <w:rsid w:val="00C23E8F"/>
    <w:rsid w:val="00C23FBF"/>
    <w:rsid w:val="00C2419A"/>
    <w:rsid w:val="00C242E2"/>
    <w:rsid w:val="00C243B6"/>
    <w:rsid w:val="00C2457A"/>
    <w:rsid w:val="00C2459F"/>
    <w:rsid w:val="00C245B5"/>
    <w:rsid w:val="00C2475B"/>
    <w:rsid w:val="00C24772"/>
    <w:rsid w:val="00C24786"/>
    <w:rsid w:val="00C24868"/>
    <w:rsid w:val="00C248C0"/>
    <w:rsid w:val="00C24A6C"/>
    <w:rsid w:val="00C24B5E"/>
    <w:rsid w:val="00C24BAA"/>
    <w:rsid w:val="00C24C74"/>
    <w:rsid w:val="00C24D22"/>
    <w:rsid w:val="00C24D7E"/>
    <w:rsid w:val="00C24E36"/>
    <w:rsid w:val="00C24EB1"/>
    <w:rsid w:val="00C24F76"/>
    <w:rsid w:val="00C24F8F"/>
    <w:rsid w:val="00C24F97"/>
    <w:rsid w:val="00C24FAD"/>
    <w:rsid w:val="00C24FEF"/>
    <w:rsid w:val="00C2500C"/>
    <w:rsid w:val="00C250A9"/>
    <w:rsid w:val="00C25174"/>
    <w:rsid w:val="00C251E9"/>
    <w:rsid w:val="00C25237"/>
    <w:rsid w:val="00C252C6"/>
    <w:rsid w:val="00C2534F"/>
    <w:rsid w:val="00C25416"/>
    <w:rsid w:val="00C2549B"/>
    <w:rsid w:val="00C254EF"/>
    <w:rsid w:val="00C25525"/>
    <w:rsid w:val="00C25559"/>
    <w:rsid w:val="00C255A9"/>
    <w:rsid w:val="00C255F9"/>
    <w:rsid w:val="00C25757"/>
    <w:rsid w:val="00C25790"/>
    <w:rsid w:val="00C257B3"/>
    <w:rsid w:val="00C2593B"/>
    <w:rsid w:val="00C25ADF"/>
    <w:rsid w:val="00C25AE6"/>
    <w:rsid w:val="00C25BCF"/>
    <w:rsid w:val="00C25D1C"/>
    <w:rsid w:val="00C25E5C"/>
    <w:rsid w:val="00C25FCA"/>
    <w:rsid w:val="00C26104"/>
    <w:rsid w:val="00C2614D"/>
    <w:rsid w:val="00C26184"/>
    <w:rsid w:val="00C2630F"/>
    <w:rsid w:val="00C26494"/>
    <w:rsid w:val="00C2665D"/>
    <w:rsid w:val="00C266E9"/>
    <w:rsid w:val="00C2679B"/>
    <w:rsid w:val="00C268BB"/>
    <w:rsid w:val="00C269FF"/>
    <w:rsid w:val="00C26A31"/>
    <w:rsid w:val="00C26B8A"/>
    <w:rsid w:val="00C26D1C"/>
    <w:rsid w:val="00C26DDF"/>
    <w:rsid w:val="00C26E6C"/>
    <w:rsid w:val="00C26F99"/>
    <w:rsid w:val="00C26FC4"/>
    <w:rsid w:val="00C26FD5"/>
    <w:rsid w:val="00C2702A"/>
    <w:rsid w:val="00C27094"/>
    <w:rsid w:val="00C271D4"/>
    <w:rsid w:val="00C271E9"/>
    <w:rsid w:val="00C2726A"/>
    <w:rsid w:val="00C27271"/>
    <w:rsid w:val="00C2727B"/>
    <w:rsid w:val="00C272A6"/>
    <w:rsid w:val="00C273C0"/>
    <w:rsid w:val="00C27605"/>
    <w:rsid w:val="00C276D6"/>
    <w:rsid w:val="00C27759"/>
    <w:rsid w:val="00C27775"/>
    <w:rsid w:val="00C2779E"/>
    <w:rsid w:val="00C278B8"/>
    <w:rsid w:val="00C278FD"/>
    <w:rsid w:val="00C27999"/>
    <w:rsid w:val="00C27C94"/>
    <w:rsid w:val="00C27CF2"/>
    <w:rsid w:val="00C27E10"/>
    <w:rsid w:val="00C27E75"/>
    <w:rsid w:val="00C27F06"/>
    <w:rsid w:val="00C27F84"/>
    <w:rsid w:val="00C30038"/>
    <w:rsid w:val="00C30058"/>
    <w:rsid w:val="00C3013D"/>
    <w:rsid w:val="00C3015B"/>
    <w:rsid w:val="00C301AF"/>
    <w:rsid w:val="00C301BB"/>
    <w:rsid w:val="00C3036A"/>
    <w:rsid w:val="00C3048B"/>
    <w:rsid w:val="00C304DA"/>
    <w:rsid w:val="00C305F9"/>
    <w:rsid w:val="00C3086B"/>
    <w:rsid w:val="00C308C1"/>
    <w:rsid w:val="00C30973"/>
    <w:rsid w:val="00C309A7"/>
    <w:rsid w:val="00C309D4"/>
    <w:rsid w:val="00C30B8C"/>
    <w:rsid w:val="00C30B9F"/>
    <w:rsid w:val="00C30C6D"/>
    <w:rsid w:val="00C30CA4"/>
    <w:rsid w:val="00C30DA1"/>
    <w:rsid w:val="00C30E2A"/>
    <w:rsid w:val="00C30ED2"/>
    <w:rsid w:val="00C30F70"/>
    <w:rsid w:val="00C30F8F"/>
    <w:rsid w:val="00C30F97"/>
    <w:rsid w:val="00C31010"/>
    <w:rsid w:val="00C31058"/>
    <w:rsid w:val="00C31131"/>
    <w:rsid w:val="00C311E0"/>
    <w:rsid w:val="00C3130B"/>
    <w:rsid w:val="00C31392"/>
    <w:rsid w:val="00C313AA"/>
    <w:rsid w:val="00C31506"/>
    <w:rsid w:val="00C315DD"/>
    <w:rsid w:val="00C315E6"/>
    <w:rsid w:val="00C31675"/>
    <w:rsid w:val="00C316C7"/>
    <w:rsid w:val="00C317A2"/>
    <w:rsid w:val="00C31816"/>
    <w:rsid w:val="00C3188B"/>
    <w:rsid w:val="00C31892"/>
    <w:rsid w:val="00C318B7"/>
    <w:rsid w:val="00C318C4"/>
    <w:rsid w:val="00C31AE1"/>
    <w:rsid w:val="00C31B5D"/>
    <w:rsid w:val="00C31C11"/>
    <w:rsid w:val="00C31C89"/>
    <w:rsid w:val="00C31EB7"/>
    <w:rsid w:val="00C31F50"/>
    <w:rsid w:val="00C31F85"/>
    <w:rsid w:val="00C32013"/>
    <w:rsid w:val="00C321BB"/>
    <w:rsid w:val="00C321D4"/>
    <w:rsid w:val="00C323CA"/>
    <w:rsid w:val="00C323E8"/>
    <w:rsid w:val="00C32437"/>
    <w:rsid w:val="00C3248A"/>
    <w:rsid w:val="00C324CF"/>
    <w:rsid w:val="00C324F2"/>
    <w:rsid w:val="00C32689"/>
    <w:rsid w:val="00C326C4"/>
    <w:rsid w:val="00C326C7"/>
    <w:rsid w:val="00C327EF"/>
    <w:rsid w:val="00C32871"/>
    <w:rsid w:val="00C32917"/>
    <w:rsid w:val="00C32960"/>
    <w:rsid w:val="00C329F5"/>
    <w:rsid w:val="00C32A54"/>
    <w:rsid w:val="00C32AE4"/>
    <w:rsid w:val="00C32C21"/>
    <w:rsid w:val="00C32CE9"/>
    <w:rsid w:val="00C32EDF"/>
    <w:rsid w:val="00C32F58"/>
    <w:rsid w:val="00C32FAF"/>
    <w:rsid w:val="00C32FE5"/>
    <w:rsid w:val="00C32FFE"/>
    <w:rsid w:val="00C3329E"/>
    <w:rsid w:val="00C3343D"/>
    <w:rsid w:val="00C3356F"/>
    <w:rsid w:val="00C3364D"/>
    <w:rsid w:val="00C33664"/>
    <w:rsid w:val="00C33681"/>
    <w:rsid w:val="00C33830"/>
    <w:rsid w:val="00C3384C"/>
    <w:rsid w:val="00C33BC1"/>
    <w:rsid w:val="00C33CB5"/>
    <w:rsid w:val="00C33D42"/>
    <w:rsid w:val="00C33EB5"/>
    <w:rsid w:val="00C33FCF"/>
    <w:rsid w:val="00C340EB"/>
    <w:rsid w:val="00C341A5"/>
    <w:rsid w:val="00C34221"/>
    <w:rsid w:val="00C34276"/>
    <w:rsid w:val="00C343FC"/>
    <w:rsid w:val="00C34472"/>
    <w:rsid w:val="00C34475"/>
    <w:rsid w:val="00C344F2"/>
    <w:rsid w:val="00C3450D"/>
    <w:rsid w:val="00C3460C"/>
    <w:rsid w:val="00C346D1"/>
    <w:rsid w:val="00C34752"/>
    <w:rsid w:val="00C34770"/>
    <w:rsid w:val="00C347BB"/>
    <w:rsid w:val="00C347DF"/>
    <w:rsid w:val="00C34958"/>
    <w:rsid w:val="00C34972"/>
    <w:rsid w:val="00C349E7"/>
    <w:rsid w:val="00C34A09"/>
    <w:rsid w:val="00C34A83"/>
    <w:rsid w:val="00C34BEB"/>
    <w:rsid w:val="00C34C78"/>
    <w:rsid w:val="00C34D62"/>
    <w:rsid w:val="00C34E0B"/>
    <w:rsid w:val="00C34F3E"/>
    <w:rsid w:val="00C34FB5"/>
    <w:rsid w:val="00C35100"/>
    <w:rsid w:val="00C35133"/>
    <w:rsid w:val="00C351DC"/>
    <w:rsid w:val="00C35248"/>
    <w:rsid w:val="00C3527C"/>
    <w:rsid w:val="00C352D9"/>
    <w:rsid w:val="00C35354"/>
    <w:rsid w:val="00C3551B"/>
    <w:rsid w:val="00C35618"/>
    <w:rsid w:val="00C35651"/>
    <w:rsid w:val="00C3568C"/>
    <w:rsid w:val="00C356B8"/>
    <w:rsid w:val="00C356E9"/>
    <w:rsid w:val="00C3572A"/>
    <w:rsid w:val="00C357E1"/>
    <w:rsid w:val="00C35806"/>
    <w:rsid w:val="00C35846"/>
    <w:rsid w:val="00C358F9"/>
    <w:rsid w:val="00C3592A"/>
    <w:rsid w:val="00C3595B"/>
    <w:rsid w:val="00C3599C"/>
    <w:rsid w:val="00C359C5"/>
    <w:rsid w:val="00C35B3C"/>
    <w:rsid w:val="00C35BDA"/>
    <w:rsid w:val="00C35C52"/>
    <w:rsid w:val="00C35C6B"/>
    <w:rsid w:val="00C35C8D"/>
    <w:rsid w:val="00C35C95"/>
    <w:rsid w:val="00C35E18"/>
    <w:rsid w:val="00C35E49"/>
    <w:rsid w:val="00C35F14"/>
    <w:rsid w:val="00C36028"/>
    <w:rsid w:val="00C3607A"/>
    <w:rsid w:val="00C360E0"/>
    <w:rsid w:val="00C361E2"/>
    <w:rsid w:val="00C36205"/>
    <w:rsid w:val="00C362CC"/>
    <w:rsid w:val="00C36308"/>
    <w:rsid w:val="00C36330"/>
    <w:rsid w:val="00C363C8"/>
    <w:rsid w:val="00C36443"/>
    <w:rsid w:val="00C3649D"/>
    <w:rsid w:val="00C364B7"/>
    <w:rsid w:val="00C364D0"/>
    <w:rsid w:val="00C3651F"/>
    <w:rsid w:val="00C3658E"/>
    <w:rsid w:val="00C36633"/>
    <w:rsid w:val="00C36685"/>
    <w:rsid w:val="00C367DE"/>
    <w:rsid w:val="00C36880"/>
    <w:rsid w:val="00C369B9"/>
    <w:rsid w:val="00C36A34"/>
    <w:rsid w:val="00C36A56"/>
    <w:rsid w:val="00C36A64"/>
    <w:rsid w:val="00C36A72"/>
    <w:rsid w:val="00C36AD2"/>
    <w:rsid w:val="00C36BB8"/>
    <w:rsid w:val="00C36C1D"/>
    <w:rsid w:val="00C36C95"/>
    <w:rsid w:val="00C36E00"/>
    <w:rsid w:val="00C36E11"/>
    <w:rsid w:val="00C36E6F"/>
    <w:rsid w:val="00C36E9D"/>
    <w:rsid w:val="00C36FAF"/>
    <w:rsid w:val="00C37019"/>
    <w:rsid w:val="00C37085"/>
    <w:rsid w:val="00C3709A"/>
    <w:rsid w:val="00C371FF"/>
    <w:rsid w:val="00C3723C"/>
    <w:rsid w:val="00C37321"/>
    <w:rsid w:val="00C37612"/>
    <w:rsid w:val="00C376F5"/>
    <w:rsid w:val="00C37773"/>
    <w:rsid w:val="00C377A0"/>
    <w:rsid w:val="00C377A8"/>
    <w:rsid w:val="00C3783E"/>
    <w:rsid w:val="00C378A1"/>
    <w:rsid w:val="00C378F7"/>
    <w:rsid w:val="00C379C5"/>
    <w:rsid w:val="00C37A76"/>
    <w:rsid w:val="00C37B0F"/>
    <w:rsid w:val="00C37B84"/>
    <w:rsid w:val="00C37BE4"/>
    <w:rsid w:val="00C37C10"/>
    <w:rsid w:val="00C37C56"/>
    <w:rsid w:val="00C37C86"/>
    <w:rsid w:val="00C37DB4"/>
    <w:rsid w:val="00C37DE5"/>
    <w:rsid w:val="00C37F28"/>
    <w:rsid w:val="00C37FF1"/>
    <w:rsid w:val="00C4020D"/>
    <w:rsid w:val="00C402EB"/>
    <w:rsid w:val="00C40329"/>
    <w:rsid w:val="00C40402"/>
    <w:rsid w:val="00C40447"/>
    <w:rsid w:val="00C404FC"/>
    <w:rsid w:val="00C40593"/>
    <w:rsid w:val="00C405AD"/>
    <w:rsid w:val="00C405CC"/>
    <w:rsid w:val="00C4060A"/>
    <w:rsid w:val="00C4061C"/>
    <w:rsid w:val="00C4077A"/>
    <w:rsid w:val="00C407AB"/>
    <w:rsid w:val="00C4080C"/>
    <w:rsid w:val="00C409C9"/>
    <w:rsid w:val="00C40A0F"/>
    <w:rsid w:val="00C40B74"/>
    <w:rsid w:val="00C40C2B"/>
    <w:rsid w:val="00C40F2D"/>
    <w:rsid w:val="00C40F3E"/>
    <w:rsid w:val="00C40F9F"/>
    <w:rsid w:val="00C40FA3"/>
    <w:rsid w:val="00C41026"/>
    <w:rsid w:val="00C4108A"/>
    <w:rsid w:val="00C41192"/>
    <w:rsid w:val="00C411D1"/>
    <w:rsid w:val="00C41286"/>
    <w:rsid w:val="00C412B1"/>
    <w:rsid w:val="00C41327"/>
    <w:rsid w:val="00C413DC"/>
    <w:rsid w:val="00C41467"/>
    <w:rsid w:val="00C41473"/>
    <w:rsid w:val="00C414D7"/>
    <w:rsid w:val="00C414EA"/>
    <w:rsid w:val="00C4161B"/>
    <w:rsid w:val="00C41620"/>
    <w:rsid w:val="00C41807"/>
    <w:rsid w:val="00C41833"/>
    <w:rsid w:val="00C4187B"/>
    <w:rsid w:val="00C41969"/>
    <w:rsid w:val="00C41A02"/>
    <w:rsid w:val="00C41B48"/>
    <w:rsid w:val="00C41C73"/>
    <w:rsid w:val="00C41CCC"/>
    <w:rsid w:val="00C41CF6"/>
    <w:rsid w:val="00C41DF1"/>
    <w:rsid w:val="00C41F6C"/>
    <w:rsid w:val="00C41F6F"/>
    <w:rsid w:val="00C41F8F"/>
    <w:rsid w:val="00C4205D"/>
    <w:rsid w:val="00C42121"/>
    <w:rsid w:val="00C4212B"/>
    <w:rsid w:val="00C42177"/>
    <w:rsid w:val="00C42224"/>
    <w:rsid w:val="00C42229"/>
    <w:rsid w:val="00C4223D"/>
    <w:rsid w:val="00C4226E"/>
    <w:rsid w:val="00C42288"/>
    <w:rsid w:val="00C422A6"/>
    <w:rsid w:val="00C42324"/>
    <w:rsid w:val="00C4233B"/>
    <w:rsid w:val="00C42367"/>
    <w:rsid w:val="00C4248A"/>
    <w:rsid w:val="00C42503"/>
    <w:rsid w:val="00C42546"/>
    <w:rsid w:val="00C425A1"/>
    <w:rsid w:val="00C425A8"/>
    <w:rsid w:val="00C4267A"/>
    <w:rsid w:val="00C42684"/>
    <w:rsid w:val="00C4285B"/>
    <w:rsid w:val="00C428F0"/>
    <w:rsid w:val="00C42903"/>
    <w:rsid w:val="00C429A8"/>
    <w:rsid w:val="00C429C0"/>
    <w:rsid w:val="00C42A17"/>
    <w:rsid w:val="00C42A2F"/>
    <w:rsid w:val="00C42A97"/>
    <w:rsid w:val="00C42B47"/>
    <w:rsid w:val="00C42C3B"/>
    <w:rsid w:val="00C42CA4"/>
    <w:rsid w:val="00C42D78"/>
    <w:rsid w:val="00C42ED7"/>
    <w:rsid w:val="00C42EF8"/>
    <w:rsid w:val="00C42FC1"/>
    <w:rsid w:val="00C43014"/>
    <w:rsid w:val="00C43197"/>
    <w:rsid w:val="00C432C1"/>
    <w:rsid w:val="00C432C2"/>
    <w:rsid w:val="00C432C9"/>
    <w:rsid w:val="00C43330"/>
    <w:rsid w:val="00C43480"/>
    <w:rsid w:val="00C4351F"/>
    <w:rsid w:val="00C43568"/>
    <w:rsid w:val="00C435A3"/>
    <w:rsid w:val="00C435F5"/>
    <w:rsid w:val="00C43640"/>
    <w:rsid w:val="00C43744"/>
    <w:rsid w:val="00C437E2"/>
    <w:rsid w:val="00C43804"/>
    <w:rsid w:val="00C4381C"/>
    <w:rsid w:val="00C43834"/>
    <w:rsid w:val="00C439CE"/>
    <w:rsid w:val="00C43B04"/>
    <w:rsid w:val="00C43B34"/>
    <w:rsid w:val="00C43B6D"/>
    <w:rsid w:val="00C43B71"/>
    <w:rsid w:val="00C43C15"/>
    <w:rsid w:val="00C43CDD"/>
    <w:rsid w:val="00C43DD5"/>
    <w:rsid w:val="00C43E7A"/>
    <w:rsid w:val="00C43E93"/>
    <w:rsid w:val="00C43EA0"/>
    <w:rsid w:val="00C43EE6"/>
    <w:rsid w:val="00C43F7A"/>
    <w:rsid w:val="00C43FCE"/>
    <w:rsid w:val="00C4400F"/>
    <w:rsid w:val="00C440B6"/>
    <w:rsid w:val="00C4436C"/>
    <w:rsid w:val="00C443ED"/>
    <w:rsid w:val="00C446F6"/>
    <w:rsid w:val="00C4470C"/>
    <w:rsid w:val="00C4477E"/>
    <w:rsid w:val="00C449DA"/>
    <w:rsid w:val="00C44A07"/>
    <w:rsid w:val="00C44A12"/>
    <w:rsid w:val="00C44AFF"/>
    <w:rsid w:val="00C44B86"/>
    <w:rsid w:val="00C44BF0"/>
    <w:rsid w:val="00C44D80"/>
    <w:rsid w:val="00C44DDD"/>
    <w:rsid w:val="00C44EFC"/>
    <w:rsid w:val="00C44FCB"/>
    <w:rsid w:val="00C44FE6"/>
    <w:rsid w:val="00C45029"/>
    <w:rsid w:val="00C4503E"/>
    <w:rsid w:val="00C450BA"/>
    <w:rsid w:val="00C450C3"/>
    <w:rsid w:val="00C450E6"/>
    <w:rsid w:val="00C45149"/>
    <w:rsid w:val="00C4519D"/>
    <w:rsid w:val="00C4523B"/>
    <w:rsid w:val="00C45281"/>
    <w:rsid w:val="00C452A2"/>
    <w:rsid w:val="00C45354"/>
    <w:rsid w:val="00C45401"/>
    <w:rsid w:val="00C4540B"/>
    <w:rsid w:val="00C45591"/>
    <w:rsid w:val="00C456C7"/>
    <w:rsid w:val="00C4574F"/>
    <w:rsid w:val="00C45787"/>
    <w:rsid w:val="00C4578C"/>
    <w:rsid w:val="00C458B6"/>
    <w:rsid w:val="00C458DB"/>
    <w:rsid w:val="00C45902"/>
    <w:rsid w:val="00C45923"/>
    <w:rsid w:val="00C4598C"/>
    <w:rsid w:val="00C45AFF"/>
    <w:rsid w:val="00C45B91"/>
    <w:rsid w:val="00C45BCA"/>
    <w:rsid w:val="00C45C5B"/>
    <w:rsid w:val="00C45C93"/>
    <w:rsid w:val="00C45CCF"/>
    <w:rsid w:val="00C45CDD"/>
    <w:rsid w:val="00C45DDC"/>
    <w:rsid w:val="00C45EF0"/>
    <w:rsid w:val="00C45FF9"/>
    <w:rsid w:val="00C46072"/>
    <w:rsid w:val="00C46091"/>
    <w:rsid w:val="00C460A3"/>
    <w:rsid w:val="00C460E2"/>
    <w:rsid w:val="00C46124"/>
    <w:rsid w:val="00C461B2"/>
    <w:rsid w:val="00C461D5"/>
    <w:rsid w:val="00C461DB"/>
    <w:rsid w:val="00C46273"/>
    <w:rsid w:val="00C462BC"/>
    <w:rsid w:val="00C462F9"/>
    <w:rsid w:val="00C4654F"/>
    <w:rsid w:val="00C465CA"/>
    <w:rsid w:val="00C4668F"/>
    <w:rsid w:val="00C466AB"/>
    <w:rsid w:val="00C46715"/>
    <w:rsid w:val="00C46813"/>
    <w:rsid w:val="00C4681A"/>
    <w:rsid w:val="00C468AA"/>
    <w:rsid w:val="00C4692C"/>
    <w:rsid w:val="00C46976"/>
    <w:rsid w:val="00C4697C"/>
    <w:rsid w:val="00C46AFB"/>
    <w:rsid w:val="00C46B38"/>
    <w:rsid w:val="00C46B78"/>
    <w:rsid w:val="00C46BA6"/>
    <w:rsid w:val="00C46BDD"/>
    <w:rsid w:val="00C46D59"/>
    <w:rsid w:val="00C46DE3"/>
    <w:rsid w:val="00C46E91"/>
    <w:rsid w:val="00C46EAF"/>
    <w:rsid w:val="00C46EFE"/>
    <w:rsid w:val="00C46F71"/>
    <w:rsid w:val="00C46F82"/>
    <w:rsid w:val="00C46FCF"/>
    <w:rsid w:val="00C470A8"/>
    <w:rsid w:val="00C471B4"/>
    <w:rsid w:val="00C4724C"/>
    <w:rsid w:val="00C47407"/>
    <w:rsid w:val="00C4746C"/>
    <w:rsid w:val="00C47490"/>
    <w:rsid w:val="00C476F0"/>
    <w:rsid w:val="00C47749"/>
    <w:rsid w:val="00C4776A"/>
    <w:rsid w:val="00C47808"/>
    <w:rsid w:val="00C47826"/>
    <w:rsid w:val="00C47884"/>
    <w:rsid w:val="00C478EA"/>
    <w:rsid w:val="00C47943"/>
    <w:rsid w:val="00C47971"/>
    <w:rsid w:val="00C4797F"/>
    <w:rsid w:val="00C47995"/>
    <w:rsid w:val="00C47A52"/>
    <w:rsid w:val="00C47C6E"/>
    <w:rsid w:val="00C47C8E"/>
    <w:rsid w:val="00C47D97"/>
    <w:rsid w:val="00C47DD8"/>
    <w:rsid w:val="00C47E51"/>
    <w:rsid w:val="00C47F98"/>
    <w:rsid w:val="00C5011E"/>
    <w:rsid w:val="00C501C7"/>
    <w:rsid w:val="00C503CA"/>
    <w:rsid w:val="00C503F4"/>
    <w:rsid w:val="00C506AA"/>
    <w:rsid w:val="00C506DC"/>
    <w:rsid w:val="00C507E8"/>
    <w:rsid w:val="00C5080B"/>
    <w:rsid w:val="00C50965"/>
    <w:rsid w:val="00C509B5"/>
    <w:rsid w:val="00C50A41"/>
    <w:rsid w:val="00C50C8E"/>
    <w:rsid w:val="00C50E5C"/>
    <w:rsid w:val="00C50EAA"/>
    <w:rsid w:val="00C50F7F"/>
    <w:rsid w:val="00C50F88"/>
    <w:rsid w:val="00C50FFB"/>
    <w:rsid w:val="00C5110E"/>
    <w:rsid w:val="00C5115F"/>
    <w:rsid w:val="00C51276"/>
    <w:rsid w:val="00C513D9"/>
    <w:rsid w:val="00C513E3"/>
    <w:rsid w:val="00C51550"/>
    <w:rsid w:val="00C51555"/>
    <w:rsid w:val="00C5155E"/>
    <w:rsid w:val="00C51663"/>
    <w:rsid w:val="00C51667"/>
    <w:rsid w:val="00C51698"/>
    <w:rsid w:val="00C51713"/>
    <w:rsid w:val="00C51803"/>
    <w:rsid w:val="00C51939"/>
    <w:rsid w:val="00C51964"/>
    <w:rsid w:val="00C51999"/>
    <w:rsid w:val="00C51A8F"/>
    <w:rsid w:val="00C51AB4"/>
    <w:rsid w:val="00C51ABB"/>
    <w:rsid w:val="00C51B78"/>
    <w:rsid w:val="00C51BB9"/>
    <w:rsid w:val="00C51C1F"/>
    <w:rsid w:val="00C51D56"/>
    <w:rsid w:val="00C51DB1"/>
    <w:rsid w:val="00C51E9C"/>
    <w:rsid w:val="00C51F71"/>
    <w:rsid w:val="00C520C0"/>
    <w:rsid w:val="00C521CF"/>
    <w:rsid w:val="00C522AA"/>
    <w:rsid w:val="00C52310"/>
    <w:rsid w:val="00C523AC"/>
    <w:rsid w:val="00C523DC"/>
    <w:rsid w:val="00C5247A"/>
    <w:rsid w:val="00C5272B"/>
    <w:rsid w:val="00C52736"/>
    <w:rsid w:val="00C5278E"/>
    <w:rsid w:val="00C52811"/>
    <w:rsid w:val="00C529D8"/>
    <w:rsid w:val="00C52A19"/>
    <w:rsid w:val="00C52AE8"/>
    <w:rsid w:val="00C52B8B"/>
    <w:rsid w:val="00C52B9E"/>
    <w:rsid w:val="00C52CCF"/>
    <w:rsid w:val="00C52D30"/>
    <w:rsid w:val="00C52D48"/>
    <w:rsid w:val="00C52DBE"/>
    <w:rsid w:val="00C52DE3"/>
    <w:rsid w:val="00C52E12"/>
    <w:rsid w:val="00C52EE5"/>
    <w:rsid w:val="00C52F2C"/>
    <w:rsid w:val="00C52FD1"/>
    <w:rsid w:val="00C53135"/>
    <w:rsid w:val="00C53157"/>
    <w:rsid w:val="00C53165"/>
    <w:rsid w:val="00C5321B"/>
    <w:rsid w:val="00C53224"/>
    <w:rsid w:val="00C53273"/>
    <w:rsid w:val="00C532E5"/>
    <w:rsid w:val="00C5332E"/>
    <w:rsid w:val="00C533B5"/>
    <w:rsid w:val="00C53405"/>
    <w:rsid w:val="00C5344F"/>
    <w:rsid w:val="00C534CD"/>
    <w:rsid w:val="00C534DD"/>
    <w:rsid w:val="00C53522"/>
    <w:rsid w:val="00C5357A"/>
    <w:rsid w:val="00C5359B"/>
    <w:rsid w:val="00C535FF"/>
    <w:rsid w:val="00C53653"/>
    <w:rsid w:val="00C5371E"/>
    <w:rsid w:val="00C537F6"/>
    <w:rsid w:val="00C53840"/>
    <w:rsid w:val="00C538CE"/>
    <w:rsid w:val="00C53A90"/>
    <w:rsid w:val="00C53A93"/>
    <w:rsid w:val="00C53AF7"/>
    <w:rsid w:val="00C53C2D"/>
    <w:rsid w:val="00C53C8B"/>
    <w:rsid w:val="00C53CC8"/>
    <w:rsid w:val="00C53D43"/>
    <w:rsid w:val="00C53D96"/>
    <w:rsid w:val="00C53EF0"/>
    <w:rsid w:val="00C53F62"/>
    <w:rsid w:val="00C5417E"/>
    <w:rsid w:val="00C541B3"/>
    <w:rsid w:val="00C54254"/>
    <w:rsid w:val="00C542EB"/>
    <w:rsid w:val="00C542F9"/>
    <w:rsid w:val="00C54311"/>
    <w:rsid w:val="00C543B1"/>
    <w:rsid w:val="00C543C1"/>
    <w:rsid w:val="00C5462B"/>
    <w:rsid w:val="00C546CD"/>
    <w:rsid w:val="00C5470B"/>
    <w:rsid w:val="00C54780"/>
    <w:rsid w:val="00C547C6"/>
    <w:rsid w:val="00C54876"/>
    <w:rsid w:val="00C549B4"/>
    <w:rsid w:val="00C54A53"/>
    <w:rsid w:val="00C54AB5"/>
    <w:rsid w:val="00C54B24"/>
    <w:rsid w:val="00C54C15"/>
    <w:rsid w:val="00C54C1B"/>
    <w:rsid w:val="00C54C7F"/>
    <w:rsid w:val="00C54D10"/>
    <w:rsid w:val="00C54D88"/>
    <w:rsid w:val="00C54D92"/>
    <w:rsid w:val="00C54DB4"/>
    <w:rsid w:val="00C54E5F"/>
    <w:rsid w:val="00C54E7E"/>
    <w:rsid w:val="00C54E8C"/>
    <w:rsid w:val="00C55064"/>
    <w:rsid w:val="00C55069"/>
    <w:rsid w:val="00C550D2"/>
    <w:rsid w:val="00C55171"/>
    <w:rsid w:val="00C551C4"/>
    <w:rsid w:val="00C5521E"/>
    <w:rsid w:val="00C5524E"/>
    <w:rsid w:val="00C5525F"/>
    <w:rsid w:val="00C552CB"/>
    <w:rsid w:val="00C552CC"/>
    <w:rsid w:val="00C55350"/>
    <w:rsid w:val="00C55386"/>
    <w:rsid w:val="00C553FC"/>
    <w:rsid w:val="00C55471"/>
    <w:rsid w:val="00C554B5"/>
    <w:rsid w:val="00C55515"/>
    <w:rsid w:val="00C55667"/>
    <w:rsid w:val="00C55670"/>
    <w:rsid w:val="00C557B3"/>
    <w:rsid w:val="00C55829"/>
    <w:rsid w:val="00C55844"/>
    <w:rsid w:val="00C55865"/>
    <w:rsid w:val="00C558A2"/>
    <w:rsid w:val="00C55958"/>
    <w:rsid w:val="00C55B3E"/>
    <w:rsid w:val="00C55BB5"/>
    <w:rsid w:val="00C55CE6"/>
    <w:rsid w:val="00C55D05"/>
    <w:rsid w:val="00C55DC8"/>
    <w:rsid w:val="00C55E3D"/>
    <w:rsid w:val="00C55E86"/>
    <w:rsid w:val="00C55E98"/>
    <w:rsid w:val="00C55EB2"/>
    <w:rsid w:val="00C55EBD"/>
    <w:rsid w:val="00C5600D"/>
    <w:rsid w:val="00C56083"/>
    <w:rsid w:val="00C560AD"/>
    <w:rsid w:val="00C561CE"/>
    <w:rsid w:val="00C56243"/>
    <w:rsid w:val="00C56482"/>
    <w:rsid w:val="00C564AE"/>
    <w:rsid w:val="00C564CF"/>
    <w:rsid w:val="00C56589"/>
    <w:rsid w:val="00C5662E"/>
    <w:rsid w:val="00C5667C"/>
    <w:rsid w:val="00C56696"/>
    <w:rsid w:val="00C566D1"/>
    <w:rsid w:val="00C56804"/>
    <w:rsid w:val="00C56839"/>
    <w:rsid w:val="00C56908"/>
    <w:rsid w:val="00C5697D"/>
    <w:rsid w:val="00C569CB"/>
    <w:rsid w:val="00C56B16"/>
    <w:rsid w:val="00C56B34"/>
    <w:rsid w:val="00C56B56"/>
    <w:rsid w:val="00C56D1A"/>
    <w:rsid w:val="00C56DB7"/>
    <w:rsid w:val="00C56DE5"/>
    <w:rsid w:val="00C56EF2"/>
    <w:rsid w:val="00C56EF7"/>
    <w:rsid w:val="00C57081"/>
    <w:rsid w:val="00C570A6"/>
    <w:rsid w:val="00C571D9"/>
    <w:rsid w:val="00C572AC"/>
    <w:rsid w:val="00C57499"/>
    <w:rsid w:val="00C57582"/>
    <w:rsid w:val="00C576B1"/>
    <w:rsid w:val="00C57758"/>
    <w:rsid w:val="00C57785"/>
    <w:rsid w:val="00C579F3"/>
    <w:rsid w:val="00C57A19"/>
    <w:rsid w:val="00C57A39"/>
    <w:rsid w:val="00C57A7B"/>
    <w:rsid w:val="00C57A7E"/>
    <w:rsid w:val="00C57B2F"/>
    <w:rsid w:val="00C57C78"/>
    <w:rsid w:val="00C57CAF"/>
    <w:rsid w:val="00C57CD8"/>
    <w:rsid w:val="00C57D1E"/>
    <w:rsid w:val="00C57D4C"/>
    <w:rsid w:val="00C57E5D"/>
    <w:rsid w:val="00C57F31"/>
    <w:rsid w:val="00C57FE2"/>
    <w:rsid w:val="00C600B3"/>
    <w:rsid w:val="00C600BB"/>
    <w:rsid w:val="00C60229"/>
    <w:rsid w:val="00C602A8"/>
    <w:rsid w:val="00C60329"/>
    <w:rsid w:val="00C6033B"/>
    <w:rsid w:val="00C60372"/>
    <w:rsid w:val="00C60384"/>
    <w:rsid w:val="00C603EE"/>
    <w:rsid w:val="00C6040F"/>
    <w:rsid w:val="00C60478"/>
    <w:rsid w:val="00C604B7"/>
    <w:rsid w:val="00C60698"/>
    <w:rsid w:val="00C606EF"/>
    <w:rsid w:val="00C60863"/>
    <w:rsid w:val="00C60950"/>
    <w:rsid w:val="00C60A0D"/>
    <w:rsid w:val="00C60BCD"/>
    <w:rsid w:val="00C60DB7"/>
    <w:rsid w:val="00C60F27"/>
    <w:rsid w:val="00C60FAD"/>
    <w:rsid w:val="00C61011"/>
    <w:rsid w:val="00C610C2"/>
    <w:rsid w:val="00C611B6"/>
    <w:rsid w:val="00C611E8"/>
    <w:rsid w:val="00C612CA"/>
    <w:rsid w:val="00C612F7"/>
    <w:rsid w:val="00C61346"/>
    <w:rsid w:val="00C61366"/>
    <w:rsid w:val="00C61387"/>
    <w:rsid w:val="00C6139A"/>
    <w:rsid w:val="00C6139C"/>
    <w:rsid w:val="00C61418"/>
    <w:rsid w:val="00C61464"/>
    <w:rsid w:val="00C61557"/>
    <w:rsid w:val="00C61581"/>
    <w:rsid w:val="00C616CA"/>
    <w:rsid w:val="00C61705"/>
    <w:rsid w:val="00C6192C"/>
    <w:rsid w:val="00C619B8"/>
    <w:rsid w:val="00C61A54"/>
    <w:rsid w:val="00C61ABD"/>
    <w:rsid w:val="00C61B64"/>
    <w:rsid w:val="00C61C00"/>
    <w:rsid w:val="00C61C1C"/>
    <w:rsid w:val="00C61C24"/>
    <w:rsid w:val="00C61C56"/>
    <w:rsid w:val="00C61F51"/>
    <w:rsid w:val="00C61FAC"/>
    <w:rsid w:val="00C61FB8"/>
    <w:rsid w:val="00C62015"/>
    <w:rsid w:val="00C62079"/>
    <w:rsid w:val="00C62163"/>
    <w:rsid w:val="00C62189"/>
    <w:rsid w:val="00C62242"/>
    <w:rsid w:val="00C6234A"/>
    <w:rsid w:val="00C623E2"/>
    <w:rsid w:val="00C6244A"/>
    <w:rsid w:val="00C6245E"/>
    <w:rsid w:val="00C6246B"/>
    <w:rsid w:val="00C624C1"/>
    <w:rsid w:val="00C626AA"/>
    <w:rsid w:val="00C626CB"/>
    <w:rsid w:val="00C626D1"/>
    <w:rsid w:val="00C6270F"/>
    <w:rsid w:val="00C62798"/>
    <w:rsid w:val="00C627CB"/>
    <w:rsid w:val="00C6283D"/>
    <w:rsid w:val="00C629EC"/>
    <w:rsid w:val="00C62B6E"/>
    <w:rsid w:val="00C62B7E"/>
    <w:rsid w:val="00C62BAC"/>
    <w:rsid w:val="00C62C66"/>
    <w:rsid w:val="00C62D84"/>
    <w:rsid w:val="00C62E74"/>
    <w:rsid w:val="00C62E78"/>
    <w:rsid w:val="00C62E9B"/>
    <w:rsid w:val="00C630C1"/>
    <w:rsid w:val="00C6314F"/>
    <w:rsid w:val="00C63184"/>
    <w:rsid w:val="00C631DF"/>
    <w:rsid w:val="00C63237"/>
    <w:rsid w:val="00C632D7"/>
    <w:rsid w:val="00C63322"/>
    <w:rsid w:val="00C63337"/>
    <w:rsid w:val="00C63358"/>
    <w:rsid w:val="00C633C9"/>
    <w:rsid w:val="00C63591"/>
    <w:rsid w:val="00C63619"/>
    <w:rsid w:val="00C63642"/>
    <w:rsid w:val="00C6364A"/>
    <w:rsid w:val="00C636F5"/>
    <w:rsid w:val="00C63710"/>
    <w:rsid w:val="00C63790"/>
    <w:rsid w:val="00C637A2"/>
    <w:rsid w:val="00C638A4"/>
    <w:rsid w:val="00C6399E"/>
    <w:rsid w:val="00C63A34"/>
    <w:rsid w:val="00C63B24"/>
    <w:rsid w:val="00C63BE2"/>
    <w:rsid w:val="00C63D33"/>
    <w:rsid w:val="00C63DF3"/>
    <w:rsid w:val="00C63E12"/>
    <w:rsid w:val="00C63E61"/>
    <w:rsid w:val="00C63F34"/>
    <w:rsid w:val="00C63F62"/>
    <w:rsid w:val="00C63FB6"/>
    <w:rsid w:val="00C63FD1"/>
    <w:rsid w:val="00C6401A"/>
    <w:rsid w:val="00C6402C"/>
    <w:rsid w:val="00C640C4"/>
    <w:rsid w:val="00C640D6"/>
    <w:rsid w:val="00C641A7"/>
    <w:rsid w:val="00C6420E"/>
    <w:rsid w:val="00C6429E"/>
    <w:rsid w:val="00C64316"/>
    <w:rsid w:val="00C64360"/>
    <w:rsid w:val="00C64542"/>
    <w:rsid w:val="00C645D8"/>
    <w:rsid w:val="00C64679"/>
    <w:rsid w:val="00C646CA"/>
    <w:rsid w:val="00C646D0"/>
    <w:rsid w:val="00C6475A"/>
    <w:rsid w:val="00C6480B"/>
    <w:rsid w:val="00C6487E"/>
    <w:rsid w:val="00C648BB"/>
    <w:rsid w:val="00C64907"/>
    <w:rsid w:val="00C6493E"/>
    <w:rsid w:val="00C64C26"/>
    <w:rsid w:val="00C64D2A"/>
    <w:rsid w:val="00C64DFA"/>
    <w:rsid w:val="00C64E7C"/>
    <w:rsid w:val="00C64EC1"/>
    <w:rsid w:val="00C64EC3"/>
    <w:rsid w:val="00C64ED3"/>
    <w:rsid w:val="00C64EDA"/>
    <w:rsid w:val="00C65269"/>
    <w:rsid w:val="00C652CA"/>
    <w:rsid w:val="00C652D7"/>
    <w:rsid w:val="00C653CD"/>
    <w:rsid w:val="00C6561B"/>
    <w:rsid w:val="00C6564A"/>
    <w:rsid w:val="00C65769"/>
    <w:rsid w:val="00C657D2"/>
    <w:rsid w:val="00C65847"/>
    <w:rsid w:val="00C65850"/>
    <w:rsid w:val="00C65ABB"/>
    <w:rsid w:val="00C65AF3"/>
    <w:rsid w:val="00C65BE5"/>
    <w:rsid w:val="00C65D14"/>
    <w:rsid w:val="00C65DB3"/>
    <w:rsid w:val="00C65DC0"/>
    <w:rsid w:val="00C65DF8"/>
    <w:rsid w:val="00C65E6A"/>
    <w:rsid w:val="00C66073"/>
    <w:rsid w:val="00C660CF"/>
    <w:rsid w:val="00C66117"/>
    <w:rsid w:val="00C661B0"/>
    <w:rsid w:val="00C6624A"/>
    <w:rsid w:val="00C6628E"/>
    <w:rsid w:val="00C663FA"/>
    <w:rsid w:val="00C664FD"/>
    <w:rsid w:val="00C66557"/>
    <w:rsid w:val="00C6657E"/>
    <w:rsid w:val="00C665DB"/>
    <w:rsid w:val="00C66636"/>
    <w:rsid w:val="00C6675F"/>
    <w:rsid w:val="00C667F9"/>
    <w:rsid w:val="00C66866"/>
    <w:rsid w:val="00C66B4C"/>
    <w:rsid w:val="00C66C12"/>
    <w:rsid w:val="00C66C87"/>
    <w:rsid w:val="00C66C96"/>
    <w:rsid w:val="00C66CD8"/>
    <w:rsid w:val="00C66CE5"/>
    <w:rsid w:val="00C66D98"/>
    <w:rsid w:val="00C66DC6"/>
    <w:rsid w:val="00C66DC8"/>
    <w:rsid w:val="00C66E96"/>
    <w:rsid w:val="00C66EAF"/>
    <w:rsid w:val="00C66F4D"/>
    <w:rsid w:val="00C66F95"/>
    <w:rsid w:val="00C6705C"/>
    <w:rsid w:val="00C671C9"/>
    <w:rsid w:val="00C671CC"/>
    <w:rsid w:val="00C6727F"/>
    <w:rsid w:val="00C672C5"/>
    <w:rsid w:val="00C67406"/>
    <w:rsid w:val="00C67729"/>
    <w:rsid w:val="00C67869"/>
    <w:rsid w:val="00C678ED"/>
    <w:rsid w:val="00C679CB"/>
    <w:rsid w:val="00C679F2"/>
    <w:rsid w:val="00C67B2A"/>
    <w:rsid w:val="00C67B72"/>
    <w:rsid w:val="00C67B7D"/>
    <w:rsid w:val="00C67BC7"/>
    <w:rsid w:val="00C67BDE"/>
    <w:rsid w:val="00C67C16"/>
    <w:rsid w:val="00C67CD3"/>
    <w:rsid w:val="00C67CE7"/>
    <w:rsid w:val="00C67D26"/>
    <w:rsid w:val="00C67D32"/>
    <w:rsid w:val="00C67DFE"/>
    <w:rsid w:val="00C67E5D"/>
    <w:rsid w:val="00C67E86"/>
    <w:rsid w:val="00C67E8E"/>
    <w:rsid w:val="00C67F36"/>
    <w:rsid w:val="00C67F63"/>
    <w:rsid w:val="00C67FD1"/>
    <w:rsid w:val="00C695BB"/>
    <w:rsid w:val="00C700F1"/>
    <w:rsid w:val="00C70104"/>
    <w:rsid w:val="00C70113"/>
    <w:rsid w:val="00C70203"/>
    <w:rsid w:val="00C70286"/>
    <w:rsid w:val="00C702BD"/>
    <w:rsid w:val="00C702D1"/>
    <w:rsid w:val="00C702D6"/>
    <w:rsid w:val="00C7043D"/>
    <w:rsid w:val="00C705C8"/>
    <w:rsid w:val="00C70766"/>
    <w:rsid w:val="00C70850"/>
    <w:rsid w:val="00C7088D"/>
    <w:rsid w:val="00C708FF"/>
    <w:rsid w:val="00C70A2E"/>
    <w:rsid w:val="00C70A33"/>
    <w:rsid w:val="00C70A7A"/>
    <w:rsid w:val="00C70ABA"/>
    <w:rsid w:val="00C70C77"/>
    <w:rsid w:val="00C70D04"/>
    <w:rsid w:val="00C70FB8"/>
    <w:rsid w:val="00C70FEA"/>
    <w:rsid w:val="00C711F8"/>
    <w:rsid w:val="00C7142E"/>
    <w:rsid w:val="00C7148F"/>
    <w:rsid w:val="00C7151B"/>
    <w:rsid w:val="00C715BC"/>
    <w:rsid w:val="00C71630"/>
    <w:rsid w:val="00C7168A"/>
    <w:rsid w:val="00C717DE"/>
    <w:rsid w:val="00C717F7"/>
    <w:rsid w:val="00C71870"/>
    <w:rsid w:val="00C7188D"/>
    <w:rsid w:val="00C718DC"/>
    <w:rsid w:val="00C71923"/>
    <w:rsid w:val="00C71A18"/>
    <w:rsid w:val="00C71B6B"/>
    <w:rsid w:val="00C71BD5"/>
    <w:rsid w:val="00C71C42"/>
    <w:rsid w:val="00C71D82"/>
    <w:rsid w:val="00C71D89"/>
    <w:rsid w:val="00C71DE9"/>
    <w:rsid w:val="00C71EF8"/>
    <w:rsid w:val="00C72023"/>
    <w:rsid w:val="00C72164"/>
    <w:rsid w:val="00C72177"/>
    <w:rsid w:val="00C72222"/>
    <w:rsid w:val="00C7228B"/>
    <w:rsid w:val="00C72304"/>
    <w:rsid w:val="00C72378"/>
    <w:rsid w:val="00C7239F"/>
    <w:rsid w:val="00C723C0"/>
    <w:rsid w:val="00C724B0"/>
    <w:rsid w:val="00C72644"/>
    <w:rsid w:val="00C72653"/>
    <w:rsid w:val="00C726F1"/>
    <w:rsid w:val="00C72773"/>
    <w:rsid w:val="00C727D3"/>
    <w:rsid w:val="00C727DF"/>
    <w:rsid w:val="00C727F7"/>
    <w:rsid w:val="00C72924"/>
    <w:rsid w:val="00C729AA"/>
    <w:rsid w:val="00C729C4"/>
    <w:rsid w:val="00C729C9"/>
    <w:rsid w:val="00C72A4C"/>
    <w:rsid w:val="00C72A66"/>
    <w:rsid w:val="00C72AC9"/>
    <w:rsid w:val="00C72AFF"/>
    <w:rsid w:val="00C72C36"/>
    <w:rsid w:val="00C72C73"/>
    <w:rsid w:val="00C72D7F"/>
    <w:rsid w:val="00C72DA3"/>
    <w:rsid w:val="00C72E25"/>
    <w:rsid w:val="00C72EFE"/>
    <w:rsid w:val="00C72F5D"/>
    <w:rsid w:val="00C73009"/>
    <w:rsid w:val="00C73197"/>
    <w:rsid w:val="00C731D2"/>
    <w:rsid w:val="00C7324A"/>
    <w:rsid w:val="00C73251"/>
    <w:rsid w:val="00C73380"/>
    <w:rsid w:val="00C733FA"/>
    <w:rsid w:val="00C73499"/>
    <w:rsid w:val="00C7353E"/>
    <w:rsid w:val="00C73727"/>
    <w:rsid w:val="00C737EE"/>
    <w:rsid w:val="00C738D6"/>
    <w:rsid w:val="00C73929"/>
    <w:rsid w:val="00C73941"/>
    <w:rsid w:val="00C739BB"/>
    <w:rsid w:val="00C73A2F"/>
    <w:rsid w:val="00C73A46"/>
    <w:rsid w:val="00C73A5A"/>
    <w:rsid w:val="00C73B44"/>
    <w:rsid w:val="00C73BF1"/>
    <w:rsid w:val="00C73C81"/>
    <w:rsid w:val="00C73DCC"/>
    <w:rsid w:val="00C73DF1"/>
    <w:rsid w:val="00C73E91"/>
    <w:rsid w:val="00C73E9B"/>
    <w:rsid w:val="00C73EAF"/>
    <w:rsid w:val="00C73FB4"/>
    <w:rsid w:val="00C7401D"/>
    <w:rsid w:val="00C74065"/>
    <w:rsid w:val="00C74073"/>
    <w:rsid w:val="00C74084"/>
    <w:rsid w:val="00C740DC"/>
    <w:rsid w:val="00C740F9"/>
    <w:rsid w:val="00C74121"/>
    <w:rsid w:val="00C7417C"/>
    <w:rsid w:val="00C741D2"/>
    <w:rsid w:val="00C74224"/>
    <w:rsid w:val="00C74238"/>
    <w:rsid w:val="00C74271"/>
    <w:rsid w:val="00C74281"/>
    <w:rsid w:val="00C743A2"/>
    <w:rsid w:val="00C743E7"/>
    <w:rsid w:val="00C74446"/>
    <w:rsid w:val="00C74486"/>
    <w:rsid w:val="00C74490"/>
    <w:rsid w:val="00C744B6"/>
    <w:rsid w:val="00C74545"/>
    <w:rsid w:val="00C74563"/>
    <w:rsid w:val="00C74876"/>
    <w:rsid w:val="00C7489F"/>
    <w:rsid w:val="00C748D3"/>
    <w:rsid w:val="00C74907"/>
    <w:rsid w:val="00C749A0"/>
    <w:rsid w:val="00C74A06"/>
    <w:rsid w:val="00C74AD3"/>
    <w:rsid w:val="00C74B64"/>
    <w:rsid w:val="00C74B8C"/>
    <w:rsid w:val="00C74C1A"/>
    <w:rsid w:val="00C74C22"/>
    <w:rsid w:val="00C74CCC"/>
    <w:rsid w:val="00C74D0B"/>
    <w:rsid w:val="00C74EAD"/>
    <w:rsid w:val="00C74F37"/>
    <w:rsid w:val="00C74FB4"/>
    <w:rsid w:val="00C74FE1"/>
    <w:rsid w:val="00C75060"/>
    <w:rsid w:val="00C750C2"/>
    <w:rsid w:val="00C750D7"/>
    <w:rsid w:val="00C75113"/>
    <w:rsid w:val="00C7514D"/>
    <w:rsid w:val="00C7526B"/>
    <w:rsid w:val="00C752EC"/>
    <w:rsid w:val="00C7535B"/>
    <w:rsid w:val="00C753A9"/>
    <w:rsid w:val="00C75482"/>
    <w:rsid w:val="00C754DA"/>
    <w:rsid w:val="00C75512"/>
    <w:rsid w:val="00C756BD"/>
    <w:rsid w:val="00C756FA"/>
    <w:rsid w:val="00C75735"/>
    <w:rsid w:val="00C75748"/>
    <w:rsid w:val="00C758AA"/>
    <w:rsid w:val="00C75A84"/>
    <w:rsid w:val="00C75A9F"/>
    <w:rsid w:val="00C75B38"/>
    <w:rsid w:val="00C75BCB"/>
    <w:rsid w:val="00C75C0A"/>
    <w:rsid w:val="00C75EA1"/>
    <w:rsid w:val="00C75F63"/>
    <w:rsid w:val="00C75FD3"/>
    <w:rsid w:val="00C75FF5"/>
    <w:rsid w:val="00C76075"/>
    <w:rsid w:val="00C761B9"/>
    <w:rsid w:val="00C7622B"/>
    <w:rsid w:val="00C7626B"/>
    <w:rsid w:val="00C762F4"/>
    <w:rsid w:val="00C7633B"/>
    <w:rsid w:val="00C7635D"/>
    <w:rsid w:val="00C7636A"/>
    <w:rsid w:val="00C7640D"/>
    <w:rsid w:val="00C76524"/>
    <w:rsid w:val="00C76588"/>
    <w:rsid w:val="00C76598"/>
    <w:rsid w:val="00C765F7"/>
    <w:rsid w:val="00C76625"/>
    <w:rsid w:val="00C76638"/>
    <w:rsid w:val="00C76643"/>
    <w:rsid w:val="00C766F4"/>
    <w:rsid w:val="00C767EC"/>
    <w:rsid w:val="00C769AE"/>
    <w:rsid w:val="00C76A0F"/>
    <w:rsid w:val="00C76A61"/>
    <w:rsid w:val="00C76A8D"/>
    <w:rsid w:val="00C76ACA"/>
    <w:rsid w:val="00C76B60"/>
    <w:rsid w:val="00C76C6B"/>
    <w:rsid w:val="00C76C6E"/>
    <w:rsid w:val="00C76CC9"/>
    <w:rsid w:val="00C76E35"/>
    <w:rsid w:val="00C77117"/>
    <w:rsid w:val="00C77198"/>
    <w:rsid w:val="00C771B5"/>
    <w:rsid w:val="00C771DF"/>
    <w:rsid w:val="00C7737F"/>
    <w:rsid w:val="00C77390"/>
    <w:rsid w:val="00C77445"/>
    <w:rsid w:val="00C77476"/>
    <w:rsid w:val="00C774E8"/>
    <w:rsid w:val="00C774EE"/>
    <w:rsid w:val="00C777DB"/>
    <w:rsid w:val="00C77856"/>
    <w:rsid w:val="00C77A63"/>
    <w:rsid w:val="00C77A90"/>
    <w:rsid w:val="00C77CFB"/>
    <w:rsid w:val="00C77E3C"/>
    <w:rsid w:val="00C77F58"/>
    <w:rsid w:val="00C77FB0"/>
    <w:rsid w:val="00C79A81"/>
    <w:rsid w:val="00C8007C"/>
    <w:rsid w:val="00C8009A"/>
    <w:rsid w:val="00C80246"/>
    <w:rsid w:val="00C80302"/>
    <w:rsid w:val="00C80324"/>
    <w:rsid w:val="00C803CB"/>
    <w:rsid w:val="00C80491"/>
    <w:rsid w:val="00C8050B"/>
    <w:rsid w:val="00C80543"/>
    <w:rsid w:val="00C80597"/>
    <w:rsid w:val="00C8061B"/>
    <w:rsid w:val="00C8063E"/>
    <w:rsid w:val="00C807D0"/>
    <w:rsid w:val="00C8081B"/>
    <w:rsid w:val="00C80A72"/>
    <w:rsid w:val="00C80B41"/>
    <w:rsid w:val="00C80B6D"/>
    <w:rsid w:val="00C80D3E"/>
    <w:rsid w:val="00C80EBA"/>
    <w:rsid w:val="00C80F10"/>
    <w:rsid w:val="00C81094"/>
    <w:rsid w:val="00C810EE"/>
    <w:rsid w:val="00C810F1"/>
    <w:rsid w:val="00C8110E"/>
    <w:rsid w:val="00C81167"/>
    <w:rsid w:val="00C8124C"/>
    <w:rsid w:val="00C812DE"/>
    <w:rsid w:val="00C81300"/>
    <w:rsid w:val="00C813B3"/>
    <w:rsid w:val="00C8146A"/>
    <w:rsid w:val="00C814C9"/>
    <w:rsid w:val="00C81680"/>
    <w:rsid w:val="00C816A1"/>
    <w:rsid w:val="00C816D7"/>
    <w:rsid w:val="00C816F5"/>
    <w:rsid w:val="00C81727"/>
    <w:rsid w:val="00C817EF"/>
    <w:rsid w:val="00C81879"/>
    <w:rsid w:val="00C818F5"/>
    <w:rsid w:val="00C81957"/>
    <w:rsid w:val="00C819FF"/>
    <w:rsid w:val="00C81A35"/>
    <w:rsid w:val="00C81ABE"/>
    <w:rsid w:val="00C81B2A"/>
    <w:rsid w:val="00C81B49"/>
    <w:rsid w:val="00C81D5F"/>
    <w:rsid w:val="00C81DDD"/>
    <w:rsid w:val="00C81EE4"/>
    <w:rsid w:val="00C8208E"/>
    <w:rsid w:val="00C822DA"/>
    <w:rsid w:val="00C8244A"/>
    <w:rsid w:val="00C8249A"/>
    <w:rsid w:val="00C824AE"/>
    <w:rsid w:val="00C82500"/>
    <w:rsid w:val="00C82597"/>
    <w:rsid w:val="00C825EE"/>
    <w:rsid w:val="00C8268F"/>
    <w:rsid w:val="00C826BA"/>
    <w:rsid w:val="00C82739"/>
    <w:rsid w:val="00C82740"/>
    <w:rsid w:val="00C82790"/>
    <w:rsid w:val="00C827F8"/>
    <w:rsid w:val="00C82802"/>
    <w:rsid w:val="00C828A2"/>
    <w:rsid w:val="00C82916"/>
    <w:rsid w:val="00C82A2D"/>
    <w:rsid w:val="00C82B1F"/>
    <w:rsid w:val="00C82B8C"/>
    <w:rsid w:val="00C82BC8"/>
    <w:rsid w:val="00C82BE4"/>
    <w:rsid w:val="00C82BEE"/>
    <w:rsid w:val="00C82C3B"/>
    <w:rsid w:val="00C82C43"/>
    <w:rsid w:val="00C82D73"/>
    <w:rsid w:val="00C82D80"/>
    <w:rsid w:val="00C82DCC"/>
    <w:rsid w:val="00C82F9A"/>
    <w:rsid w:val="00C83016"/>
    <w:rsid w:val="00C830D9"/>
    <w:rsid w:val="00C832AF"/>
    <w:rsid w:val="00C83320"/>
    <w:rsid w:val="00C83371"/>
    <w:rsid w:val="00C833DA"/>
    <w:rsid w:val="00C833F6"/>
    <w:rsid w:val="00C83535"/>
    <w:rsid w:val="00C83558"/>
    <w:rsid w:val="00C835F4"/>
    <w:rsid w:val="00C836BC"/>
    <w:rsid w:val="00C83757"/>
    <w:rsid w:val="00C837D5"/>
    <w:rsid w:val="00C8384C"/>
    <w:rsid w:val="00C83930"/>
    <w:rsid w:val="00C8393F"/>
    <w:rsid w:val="00C83973"/>
    <w:rsid w:val="00C83A9D"/>
    <w:rsid w:val="00C83AF3"/>
    <w:rsid w:val="00C83B6F"/>
    <w:rsid w:val="00C83B71"/>
    <w:rsid w:val="00C83CA9"/>
    <w:rsid w:val="00C83D84"/>
    <w:rsid w:val="00C83E7B"/>
    <w:rsid w:val="00C83F04"/>
    <w:rsid w:val="00C83F2C"/>
    <w:rsid w:val="00C84024"/>
    <w:rsid w:val="00C84035"/>
    <w:rsid w:val="00C84074"/>
    <w:rsid w:val="00C84130"/>
    <w:rsid w:val="00C8418D"/>
    <w:rsid w:val="00C84269"/>
    <w:rsid w:val="00C8428A"/>
    <w:rsid w:val="00C844B7"/>
    <w:rsid w:val="00C845D2"/>
    <w:rsid w:val="00C845DC"/>
    <w:rsid w:val="00C84632"/>
    <w:rsid w:val="00C846FE"/>
    <w:rsid w:val="00C84768"/>
    <w:rsid w:val="00C8482B"/>
    <w:rsid w:val="00C848D6"/>
    <w:rsid w:val="00C848FF"/>
    <w:rsid w:val="00C849FD"/>
    <w:rsid w:val="00C84D6B"/>
    <w:rsid w:val="00C84D8F"/>
    <w:rsid w:val="00C84E4C"/>
    <w:rsid w:val="00C84ED7"/>
    <w:rsid w:val="00C84EDA"/>
    <w:rsid w:val="00C850F0"/>
    <w:rsid w:val="00C85103"/>
    <w:rsid w:val="00C85292"/>
    <w:rsid w:val="00C85344"/>
    <w:rsid w:val="00C854A9"/>
    <w:rsid w:val="00C854B3"/>
    <w:rsid w:val="00C85533"/>
    <w:rsid w:val="00C855B9"/>
    <w:rsid w:val="00C85643"/>
    <w:rsid w:val="00C85651"/>
    <w:rsid w:val="00C857D4"/>
    <w:rsid w:val="00C85839"/>
    <w:rsid w:val="00C858FC"/>
    <w:rsid w:val="00C85998"/>
    <w:rsid w:val="00C859D8"/>
    <w:rsid w:val="00C85A2D"/>
    <w:rsid w:val="00C85A8B"/>
    <w:rsid w:val="00C85B6C"/>
    <w:rsid w:val="00C85B87"/>
    <w:rsid w:val="00C85BC8"/>
    <w:rsid w:val="00C85CA5"/>
    <w:rsid w:val="00C85DCA"/>
    <w:rsid w:val="00C85F20"/>
    <w:rsid w:val="00C85F68"/>
    <w:rsid w:val="00C85FE9"/>
    <w:rsid w:val="00C86066"/>
    <w:rsid w:val="00C86234"/>
    <w:rsid w:val="00C86323"/>
    <w:rsid w:val="00C863F0"/>
    <w:rsid w:val="00C8643A"/>
    <w:rsid w:val="00C864BF"/>
    <w:rsid w:val="00C8650B"/>
    <w:rsid w:val="00C8650C"/>
    <w:rsid w:val="00C86529"/>
    <w:rsid w:val="00C86587"/>
    <w:rsid w:val="00C865A8"/>
    <w:rsid w:val="00C865C3"/>
    <w:rsid w:val="00C86867"/>
    <w:rsid w:val="00C8694E"/>
    <w:rsid w:val="00C86A3F"/>
    <w:rsid w:val="00C86B9F"/>
    <w:rsid w:val="00C86CD4"/>
    <w:rsid w:val="00C86D36"/>
    <w:rsid w:val="00C86E15"/>
    <w:rsid w:val="00C86F07"/>
    <w:rsid w:val="00C86F25"/>
    <w:rsid w:val="00C87020"/>
    <w:rsid w:val="00C87039"/>
    <w:rsid w:val="00C8704D"/>
    <w:rsid w:val="00C8705F"/>
    <w:rsid w:val="00C87246"/>
    <w:rsid w:val="00C8733E"/>
    <w:rsid w:val="00C87372"/>
    <w:rsid w:val="00C8741B"/>
    <w:rsid w:val="00C87436"/>
    <w:rsid w:val="00C87445"/>
    <w:rsid w:val="00C874CF"/>
    <w:rsid w:val="00C87501"/>
    <w:rsid w:val="00C87517"/>
    <w:rsid w:val="00C877DA"/>
    <w:rsid w:val="00C87B5F"/>
    <w:rsid w:val="00C87C1E"/>
    <w:rsid w:val="00C87C3A"/>
    <w:rsid w:val="00C87C6C"/>
    <w:rsid w:val="00C87CCE"/>
    <w:rsid w:val="00C87D1B"/>
    <w:rsid w:val="00C87D22"/>
    <w:rsid w:val="00C87D40"/>
    <w:rsid w:val="00C87D68"/>
    <w:rsid w:val="00C87E9B"/>
    <w:rsid w:val="00C87F8F"/>
    <w:rsid w:val="00C87FD7"/>
    <w:rsid w:val="00C8EAB8"/>
    <w:rsid w:val="00C9008C"/>
    <w:rsid w:val="00C90164"/>
    <w:rsid w:val="00C90184"/>
    <w:rsid w:val="00C901AE"/>
    <w:rsid w:val="00C90276"/>
    <w:rsid w:val="00C902AD"/>
    <w:rsid w:val="00C90405"/>
    <w:rsid w:val="00C90504"/>
    <w:rsid w:val="00C9060F"/>
    <w:rsid w:val="00C90649"/>
    <w:rsid w:val="00C90726"/>
    <w:rsid w:val="00C908E5"/>
    <w:rsid w:val="00C90916"/>
    <w:rsid w:val="00C90919"/>
    <w:rsid w:val="00C90934"/>
    <w:rsid w:val="00C90997"/>
    <w:rsid w:val="00C90CA7"/>
    <w:rsid w:val="00C90D88"/>
    <w:rsid w:val="00C90F37"/>
    <w:rsid w:val="00C90F4F"/>
    <w:rsid w:val="00C91067"/>
    <w:rsid w:val="00C9117C"/>
    <w:rsid w:val="00C911F3"/>
    <w:rsid w:val="00C9124D"/>
    <w:rsid w:val="00C912CA"/>
    <w:rsid w:val="00C913B1"/>
    <w:rsid w:val="00C914B9"/>
    <w:rsid w:val="00C91560"/>
    <w:rsid w:val="00C91586"/>
    <w:rsid w:val="00C91651"/>
    <w:rsid w:val="00C9166B"/>
    <w:rsid w:val="00C91670"/>
    <w:rsid w:val="00C916C0"/>
    <w:rsid w:val="00C91707"/>
    <w:rsid w:val="00C91773"/>
    <w:rsid w:val="00C917A4"/>
    <w:rsid w:val="00C918CA"/>
    <w:rsid w:val="00C91908"/>
    <w:rsid w:val="00C91986"/>
    <w:rsid w:val="00C91A98"/>
    <w:rsid w:val="00C91B61"/>
    <w:rsid w:val="00C91B6B"/>
    <w:rsid w:val="00C91C8F"/>
    <w:rsid w:val="00C91CAE"/>
    <w:rsid w:val="00C91CDF"/>
    <w:rsid w:val="00C91CF1"/>
    <w:rsid w:val="00C91D25"/>
    <w:rsid w:val="00C91D89"/>
    <w:rsid w:val="00C91E23"/>
    <w:rsid w:val="00C91E31"/>
    <w:rsid w:val="00C91E64"/>
    <w:rsid w:val="00C91EC5"/>
    <w:rsid w:val="00C91F7C"/>
    <w:rsid w:val="00C92013"/>
    <w:rsid w:val="00C921B3"/>
    <w:rsid w:val="00C921BB"/>
    <w:rsid w:val="00C922A2"/>
    <w:rsid w:val="00C922CD"/>
    <w:rsid w:val="00C92339"/>
    <w:rsid w:val="00C923C7"/>
    <w:rsid w:val="00C92401"/>
    <w:rsid w:val="00C92420"/>
    <w:rsid w:val="00C9247B"/>
    <w:rsid w:val="00C924DB"/>
    <w:rsid w:val="00C92574"/>
    <w:rsid w:val="00C92619"/>
    <w:rsid w:val="00C92728"/>
    <w:rsid w:val="00C9273A"/>
    <w:rsid w:val="00C9274E"/>
    <w:rsid w:val="00C92789"/>
    <w:rsid w:val="00C9278B"/>
    <w:rsid w:val="00C927E0"/>
    <w:rsid w:val="00C927EF"/>
    <w:rsid w:val="00C92879"/>
    <w:rsid w:val="00C928AE"/>
    <w:rsid w:val="00C92924"/>
    <w:rsid w:val="00C92933"/>
    <w:rsid w:val="00C92A2B"/>
    <w:rsid w:val="00C92A36"/>
    <w:rsid w:val="00C92B01"/>
    <w:rsid w:val="00C92B75"/>
    <w:rsid w:val="00C92B9D"/>
    <w:rsid w:val="00C92C77"/>
    <w:rsid w:val="00C92CA2"/>
    <w:rsid w:val="00C92CA3"/>
    <w:rsid w:val="00C92D8F"/>
    <w:rsid w:val="00C92E9A"/>
    <w:rsid w:val="00C92FAE"/>
    <w:rsid w:val="00C9303B"/>
    <w:rsid w:val="00C93085"/>
    <w:rsid w:val="00C93224"/>
    <w:rsid w:val="00C93235"/>
    <w:rsid w:val="00C932C1"/>
    <w:rsid w:val="00C93343"/>
    <w:rsid w:val="00C9338A"/>
    <w:rsid w:val="00C933F2"/>
    <w:rsid w:val="00C934C6"/>
    <w:rsid w:val="00C9356A"/>
    <w:rsid w:val="00C935C9"/>
    <w:rsid w:val="00C936F9"/>
    <w:rsid w:val="00C93721"/>
    <w:rsid w:val="00C93722"/>
    <w:rsid w:val="00C9383E"/>
    <w:rsid w:val="00C938D9"/>
    <w:rsid w:val="00C93A06"/>
    <w:rsid w:val="00C93B3D"/>
    <w:rsid w:val="00C93BCD"/>
    <w:rsid w:val="00C93CE7"/>
    <w:rsid w:val="00C93D5D"/>
    <w:rsid w:val="00C93D64"/>
    <w:rsid w:val="00C93ED7"/>
    <w:rsid w:val="00C93F91"/>
    <w:rsid w:val="00C94035"/>
    <w:rsid w:val="00C9409F"/>
    <w:rsid w:val="00C940DD"/>
    <w:rsid w:val="00C9419F"/>
    <w:rsid w:val="00C94245"/>
    <w:rsid w:val="00C9425B"/>
    <w:rsid w:val="00C942B7"/>
    <w:rsid w:val="00C94557"/>
    <w:rsid w:val="00C9458C"/>
    <w:rsid w:val="00C9486F"/>
    <w:rsid w:val="00C948DE"/>
    <w:rsid w:val="00C94929"/>
    <w:rsid w:val="00C94A33"/>
    <w:rsid w:val="00C94A49"/>
    <w:rsid w:val="00C94A75"/>
    <w:rsid w:val="00C94AEE"/>
    <w:rsid w:val="00C94BD3"/>
    <w:rsid w:val="00C94C14"/>
    <w:rsid w:val="00C94C67"/>
    <w:rsid w:val="00C94C78"/>
    <w:rsid w:val="00C94CAA"/>
    <w:rsid w:val="00C94CC4"/>
    <w:rsid w:val="00C94CE5"/>
    <w:rsid w:val="00C94D22"/>
    <w:rsid w:val="00C94DA8"/>
    <w:rsid w:val="00C951B4"/>
    <w:rsid w:val="00C95272"/>
    <w:rsid w:val="00C95294"/>
    <w:rsid w:val="00C9541A"/>
    <w:rsid w:val="00C954AB"/>
    <w:rsid w:val="00C954B3"/>
    <w:rsid w:val="00C9555E"/>
    <w:rsid w:val="00C955D6"/>
    <w:rsid w:val="00C9566A"/>
    <w:rsid w:val="00C956B4"/>
    <w:rsid w:val="00C956B7"/>
    <w:rsid w:val="00C957F0"/>
    <w:rsid w:val="00C95838"/>
    <w:rsid w:val="00C9585C"/>
    <w:rsid w:val="00C95883"/>
    <w:rsid w:val="00C958F5"/>
    <w:rsid w:val="00C9592E"/>
    <w:rsid w:val="00C95985"/>
    <w:rsid w:val="00C95AF9"/>
    <w:rsid w:val="00C95C3C"/>
    <w:rsid w:val="00C95C53"/>
    <w:rsid w:val="00C95E02"/>
    <w:rsid w:val="00C95E05"/>
    <w:rsid w:val="00C95E58"/>
    <w:rsid w:val="00C95E8C"/>
    <w:rsid w:val="00C95FCD"/>
    <w:rsid w:val="00C95FED"/>
    <w:rsid w:val="00C9601F"/>
    <w:rsid w:val="00C96051"/>
    <w:rsid w:val="00C96093"/>
    <w:rsid w:val="00C9610E"/>
    <w:rsid w:val="00C9619A"/>
    <w:rsid w:val="00C961D4"/>
    <w:rsid w:val="00C96246"/>
    <w:rsid w:val="00C96326"/>
    <w:rsid w:val="00C963DF"/>
    <w:rsid w:val="00C963F3"/>
    <w:rsid w:val="00C963F5"/>
    <w:rsid w:val="00C96448"/>
    <w:rsid w:val="00C964F1"/>
    <w:rsid w:val="00C965C6"/>
    <w:rsid w:val="00C9671C"/>
    <w:rsid w:val="00C9672C"/>
    <w:rsid w:val="00C9674C"/>
    <w:rsid w:val="00C96754"/>
    <w:rsid w:val="00C96870"/>
    <w:rsid w:val="00C9687C"/>
    <w:rsid w:val="00C968A4"/>
    <w:rsid w:val="00C968DD"/>
    <w:rsid w:val="00C968F6"/>
    <w:rsid w:val="00C96A64"/>
    <w:rsid w:val="00C96A9F"/>
    <w:rsid w:val="00C96B28"/>
    <w:rsid w:val="00C96BBF"/>
    <w:rsid w:val="00C96BE4"/>
    <w:rsid w:val="00C96CBA"/>
    <w:rsid w:val="00C96D50"/>
    <w:rsid w:val="00C96D6F"/>
    <w:rsid w:val="00C96EBE"/>
    <w:rsid w:val="00C9709A"/>
    <w:rsid w:val="00C97171"/>
    <w:rsid w:val="00C9721D"/>
    <w:rsid w:val="00C9728E"/>
    <w:rsid w:val="00C972E0"/>
    <w:rsid w:val="00C97329"/>
    <w:rsid w:val="00C9735D"/>
    <w:rsid w:val="00C9739B"/>
    <w:rsid w:val="00C9739C"/>
    <w:rsid w:val="00C973CF"/>
    <w:rsid w:val="00C975E6"/>
    <w:rsid w:val="00C97789"/>
    <w:rsid w:val="00C977AD"/>
    <w:rsid w:val="00C977CA"/>
    <w:rsid w:val="00C977CB"/>
    <w:rsid w:val="00C979CB"/>
    <w:rsid w:val="00C97A03"/>
    <w:rsid w:val="00C97A13"/>
    <w:rsid w:val="00C97AE3"/>
    <w:rsid w:val="00C97C8F"/>
    <w:rsid w:val="00C97CDD"/>
    <w:rsid w:val="00C97CE7"/>
    <w:rsid w:val="00C97CEE"/>
    <w:rsid w:val="00C97DD0"/>
    <w:rsid w:val="00C97FA3"/>
    <w:rsid w:val="00CA006A"/>
    <w:rsid w:val="00CA013E"/>
    <w:rsid w:val="00CA0261"/>
    <w:rsid w:val="00CA02FE"/>
    <w:rsid w:val="00CA0320"/>
    <w:rsid w:val="00CA041C"/>
    <w:rsid w:val="00CA043C"/>
    <w:rsid w:val="00CA04E5"/>
    <w:rsid w:val="00CA0545"/>
    <w:rsid w:val="00CA0555"/>
    <w:rsid w:val="00CA0581"/>
    <w:rsid w:val="00CA0625"/>
    <w:rsid w:val="00CA065A"/>
    <w:rsid w:val="00CA071C"/>
    <w:rsid w:val="00CA0816"/>
    <w:rsid w:val="00CA0A4C"/>
    <w:rsid w:val="00CA0B10"/>
    <w:rsid w:val="00CA0BCB"/>
    <w:rsid w:val="00CA0C6C"/>
    <w:rsid w:val="00CA0CEF"/>
    <w:rsid w:val="00CA0D2F"/>
    <w:rsid w:val="00CA0F4F"/>
    <w:rsid w:val="00CA0FF8"/>
    <w:rsid w:val="00CA1013"/>
    <w:rsid w:val="00CA1082"/>
    <w:rsid w:val="00CA10CF"/>
    <w:rsid w:val="00CA131E"/>
    <w:rsid w:val="00CA1363"/>
    <w:rsid w:val="00CA13CD"/>
    <w:rsid w:val="00CA13E4"/>
    <w:rsid w:val="00CA14C9"/>
    <w:rsid w:val="00CA1602"/>
    <w:rsid w:val="00CA180D"/>
    <w:rsid w:val="00CA1927"/>
    <w:rsid w:val="00CA1A27"/>
    <w:rsid w:val="00CA1A66"/>
    <w:rsid w:val="00CA1B78"/>
    <w:rsid w:val="00CA1C02"/>
    <w:rsid w:val="00CA1D87"/>
    <w:rsid w:val="00CA218E"/>
    <w:rsid w:val="00CA221C"/>
    <w:rsid w:val="00CA231E"/>
    <w:rsid w:val="00CA24F9"/>
    <w:rsid w:val="00CA2538"/>
    <w:rsid w:val="00CA26EA"/>
    <w:rsid w:val="00CA275B"/>
    <w:rsid w:val="00CA2847"/>
    <w:rsid w:val="00CA2855"/>
    <w:rsid w:val="00CA285A"/>
    <w:rsid w:val="00CA2881"/>
    <w:rsid w:val="00CA29FF"/>
    <w:rsid w:val="00CA2B98"/>
    <w:rsid w:val="00CA2C69"/>
    <w:rsid w:val="00CA2D0A"/>
    <w:rsid w:val="00CA2D67"/>
    <w:rsid w:val="00CA2D87"/>
    <w:rsid w:val="00CA2DB5"/>
    <w:rsid w:val="00CA2E09"/>
    <w:rsid w:val="00CA2E3A"/>
    <w:rsid w:val="00CA2EA8"/>
    <w:rsid w:val="00CA2FB2"/>
    <w:rsid w:val="00CA301D"/>
    <w:rsid w:val="00CA3054"/>
    <w:rsid w:val="00CA305E"/>
    <w:rsid w:val="00CA3371"/>
    <w:rsid w:val="00CA3526"/>
    <w:rsid w:val="00CA357E"/>
    <w:rsid w:val="00CA3588"/>
    <w:rsid w:val="00CA3682"/>
    <w:rsid w:val="00CA3777"/>
    <w:rsid w:val="00CA3793"/>
    <w:rsid w:val="00CA3794"/>
    <w:rsid w:val="00CA37FE"/>
    <w:rsid w:val="00CA3848"/>
    <w:rsid w:val="00CA3A44"/>
    <w:rsid w:val="00CA3AF4"/>
    <w:rsid w:val="00CA3B6B"/>
    <w:rsid w:val="00CA3B8A"/>
    <w:rsid w:val="00CA3C0E"/>
    <w:rsid w:val="00CA3CBD"/>
    <w:rsid w:val="00CA3D12"/>
    <w:rsid w:val="00CA3D38"/>
    <w:rsid w:val="00CA3D3A"/>
    <w:rsid w:val="00CA3D6A"/>
    <w:rsid w:val="00CA3E64"/>
    <w:rsid w:val="00CA3E8A"/>
    <w:rsid w:val="00CA3F97"/>
    <w:rsid w:val="00CA3FA8"/>
    <w:rsid w:val="00CA3FC6"/>
    <w:rsid w:val="00CA40F5"/>
    <w:rsid w:val="00CA4202"/>
    <w:rsid w:val="00CA424B"/>
    <w:rsid w:val="00CA42D6"/>
    <w:rsid w:val="00CA43A7"/>
    <w:rsid w:val="00CA44BA"/>
    <w:rsid w:val="00CA44EA"/>
    <w:rsid w:val="00CA44EF"/>
    <w:rsid w:val="00CA44F7"/>
    <w:rsid w:val="00CA4624"/>
    <w:rsid w:val="00CA462C"/>
    <w:rsid w:val="00CA47A9"/>
    <w:rsid w:val="00CA4841"/>
    <w:rsid w:val="00CA48FE"/>
    <w:rsid w:val="00CA49F7"/>
    <w:rsid w:val="00CA4C93"/>
    <w:rsid w:val="00CA4CBA"/>
    <w:rsid w:val="00CA4D7E"/>
    <w:rsid w:val="00CA4DC9"/>
    <w:rsid w:val="00CA5022"/>
    <w:rsid w:val="00CA5088"/>
    <w:rsid w:val="00CA50AE"/>
    <w:rsid w:val="00CA50AF"/>
    <w:rsid w:val="00CA50D0"/>
    <w:rsid w:val="00CA51B1"/>
    <w:rsid w:val="00CA51C6"/>
    <w:rsid w:val="00CA51F2"/>
    <w:rsid w:val="00CA528A"/>
    <w:rsid w:val="00CA5320"/>
    <w:rsid w:val="00CA5571"/>
    <w:rsid w:val="00CA5593"/>
    <w:rsid w:val="00CA55DF"/>
    <w:rsid w:val="00CA5783"/>
    <w:rsid w:val="00CA57D3"/>
    <w:rsid w:val="00CA5801"/>
    <w:rsid w:val="00CA58B6"/>
    <w:rsid w:val="00CA5BAD"/>
    <w:rsid w:val="00CA5D6B"/>
    <w:rsid w:val="00CA5F20"/>
    <w:rsid w:val="00CA5FF9"/>
    <w:rsid w:val="00CA602C"/>
    <w:rsid w:val="00CA604C"/>
    <w:rsid w:val="00CA60E0"/>
    <w:rsid w:val="00CA616E"/>
    <w:rsid w:val="00CA61B5"/>
    <w:rsid w:val="00CA6250"/>
    <w:rsid w:val="00CA6309"/>
    <w:rsid w:val="00CA6332"/>
    <w:rsid w:val="00CA6446"/>
    <w:rsid w:val="00CA654E"/>
    <w:rsid w:val="00CA6558"/>
    <w:rsid w:val="00CA65A9"/>
    <w:rsid w:val="00CA65ED"/>
    <w:rsid w:val="00CA65FF"/>
    <w:rsid w:val="00CA660C"/>
    <w:rsid w:val="00CA669D"/>
    <w:rsid w:val="00CA66C2"/>
    <w:rsid w:val="00CA670A"/>
    <w:rsid w:val="00CA6751"/>
    <w:rsid w:val="00CA6784"/>
    <w:rsid w:val="00CA67A3"/>
    <w:rsid w:val="00CA67E7"/>
    <w:rsid w:val="00CA680F"/>
    <w:rsid w:val="00CA684C"/>
    <w:rsid w:val="00CA68C7"/>
    <w:rsid w:val="00CA6A6E"/>
    <w:rsid w:val="00CA6AD2"/>
    <w:rsid w:val="00CA6B08"/>
    <w:rsid w:val="00CA6C72"/>
    <w:rsid w:val="00CA6CDB"/>
    <w:rsid w:val="00CA6DA2"/>
    <w:rsid w:val="00CA6DC3"/>
    <w:rsid w:val="00CA6E1E"/>
    <w:rsid w:val="00CA6F50"/>
    <w:rsid w:val="00CA6FB0"/>
    <w:rsid w:val="00CA7045"/>
    <w:rsid w:val="00CA709C"/>
    <w:rsid w:val="00CA70C2"/>
    <w:rsid w:val="00CA7102"/>
    <w:rsid w:val="00CA7149"/>
    <w:rsid w:val="00CA715D"/>
    <w:rsid w:val="00CA71FA"/>
    <w:rsid w:val="00CA72B7"/>
    <w:rsid w:val="00CA7365"/>
    <w:rsid w:val="00CA7398"/>
    <w:rsid w:val="00CA73CA"/>
    <w:rsid w:val="00CA73DF"/>
    <w:rsid w:val="00CA74FC"/>
    <w:rsid w:val="00CA75D3"/>
    <w:rsid w:val="00CA7681"/>
    <w:rsid w:val="00CA771C"/>
    <w:rsid w:val="00CA778E"/>
    <w:rsid w:val="00CA77E5"/>
    <w:rsid w:val="00CA7855"/>
    <w:rsid w:val="00CA7A7C"/>
    <w:rsid w:val="00CA7AF1"/>
    <w:rsid w:val="00CA7BF7"/>
    <w:rsid w:val="00CA7C54"/>
    <w:rsid w:val="00CA7D1D"/>
    <w:rsid w:val="00CA7D4E"/>
    <w:rsid w:val="00CA7EF6"/>
    <w:rsid w:val="00CA7F42"/>
    <w:rsid w:val="00CA7FCB"/>
    <w:rsid w:val="00CB02E9"/>
    <w:rsid w:val="00CB035D"/>
    <w:rsid w:val="00CB0565"/>
    <w:rsid w:val="00CB0652"/>
    <w:rsid w:val="00CB069D"/>
    <w:rsid w:val="00CB0719"/>
    <w:rsid w:val="00CB0766"/>
    <w:rsid w:val="00CB07E8"/>
    <w:rsid w:val="00CB08BE"/>
    <w:rsid w:val="00CB08FE"/>
    <w:rsid w:val="00CB0C76"/>
    <w:rsid w:val="00CB0D00"/>
    <w:rsid w:val="00CB0E37"/>
    <w:rsid w:val="00CB0E49"/>
    <w:rsid w:val="00CB0F12"/>
    <w:rsid w:val="00CB0F73"/>
    <w:rsid w:val="00CB0FF4"/>
    <w:rsid w:val="00CB10AE"/>
    <w:rsid w:val="00CB115B"/>
    <w:rsid w:val="00CB1162"/>
    <w:rsid w:val="00CB11A5"/>
    <w:rsid w:val="00CB11D4"/>
    <w:rsid w:val="00CB1230"/>
    <w:rsid w:val="00CB128D"/>
    <w:rsid w:val="00CB1349"/>
    <w:rsid w:val="00CB140D"/>
    <w:rsid w:val="00CB15E9"/>
    <w:rsid w:val="00CB1690"/>
    <w:rsid w:val="00CB191F"/>
    <w:rsid w:val="00CB197F"/>
    <w:rsid w:val="00CB19C6"/>
    <w:rsid w:val="00CB1A3F"/>
    <w:rsid w:val="00CB1B9D"/>
    <w:rsid w:val="00CB1BE9"/>
    <w:rsid w:val="00CB1C2B"/>
    <w:rsid w:val="00CB2033"/>
    <w:rsid w:val="00CB20DC"/>
    <w:rsid w:val="00CB20E2"/>
    <w:rsid w:val="00CB20EE"/>
    <w:rsid w:val="00CB21C1"/>
    <w:rsid w:val="00CB21EF"/>
    <w:rsid w:val="00CB2233"/>
    <w:rsid w:val="00CB2314"/>
    <w:rsid w:val="00CB23A8"/>
    <w:rsid w:val="00CB24D7"/>
    <w:rsid w:val="00CB2528"/>
    <w:rsid w:val="00CB26EF"/>
    <w:rsid w:val="00CB2760"/>
    <w:rsid w:val="00CB2784"/>
    <w:rsid w:val="00CB278C"/>
    <w:rsid w:val="00CB2A4A"/>
    <w:rsid w:val="00CB2A7D"/>
    <w:rsid w:val="00CB2BD5"/>
    <w:rsid w:val="00CB2C37"/>
    <w:rsid w:val="00CB2C45"/>
    <w:rsid w:val="00CB2D2A"/>
    <w:rsid w:val="00CB2D9C"/>
    <w:rsid w:val="00CB2DB9"/>
    <w:rsid w:val="00CB2DEF"/>
    <w:rsid w:val="00CB2E40"/>
    <w:rsid w:val="00CB2ECC"/>
    <w:rsid w:val="00CB2EF1"/>
    <w:rsid w:val="00CB2F68"/>
    <w:rsid w:val="00CB3051"/>
    <w:rsid w:val="00CB30B9"/>
    <w:rsid w:val="00CB3285"/>
    <w:rsid w:val="00CB32F0"/>
    <w:rsid w:val="00CB3434"/>
    <w:rsid w:val="00CB35BF"/>
    <w:rsid w:val="00CB3648"/>
    <w:rsid w:val="00CB3661"/>
    <w:rsid w:val="00CB3681"/>
    <w:rsid w:val="00CB36E6"/>
    <w:rsid w:val="00CB3789"/>
    <w:rsid w:val="00CB384F"/>
    <w:rsid w:val="00CB3A25"/>
    <w:rsid w:val="00CB3A66"/>
    <w:rsid w:val="00CB3A97"/>
    <w:rsid w:val="00CB3B58"/>
    <w:rsid w:val="00CB3BFB"/>
    <w:rsid w:val="00CB3C93"/>
    <w:rsid w:val="00CB3D91"/>
    <w:rsid w:val="00CB3DAD"/>
    <w:rsid w:val="00CB3E2F"/>
    <w:rsid w:val="00CB3EB6"/>
    <w:rsid w:val="00CB3F34"/>
    <w:rsid w:val="00CB3F6A"/>
    <w:rsid w:val="00CB3F7B"/>
    <w:rsid w:val="00CB414C"/>
    <w:rsid w:val="00CB41BA"/>
    <w:rsid w:val="00CB433B"/>
    <w:rsid w:val="00CB44B2"/>
    <w:rsid w:val="00CB4559"/>
    <w:rsid w:val="00CB4585"/>
    <w:rsid w:val="00CB4590"/>
    <w:rsid w:val="00CB45D7"/>
    <w:rsid w:val="00CB4661"/>
    <w:rsid w:val="00CB4699"/>
    <w:rsid w:val="00CB46B4"/>
    <w:rsid w:val="00CB46FB"/>
    <w:rsid w:val="00CB4713"/>
    <w:rsid w:val="00CB47B3"/>
    <w:rsid w:val="00CB480F"/>
    <w:rsid w:val="00CB49A9"/>
    <w:rsid w:val="00CB4A00"/>
    <w:rsid w:val="00CB4A19"/>
    <w:rsid w:val="00CB4A6E"/>
    <w:rsid w:val="00CB4B87"/>
    <w:rsid w:val="00CB4C2C"/>
    <w:rsid w:val="00CB4CEE"/>
    <w:rsid w:val="00CB4D45"/>
    <w:rsid w:val="00CB4E5C"/>
    <w:rsid w:val="00CB4E66"/>
    <w:rsid w:val="00CB4E6E"/>
    <w:rsid w:val="00CB4F70"/>
    <w:rsid w:val="00CB5086"/>
    <w:rsid w:val="00CB50F0"/>
    <w:rsid w:val="00CB5184"/>
    <w:rsid w:val="00CB5353"/>
    <w:rsid w:val="00CB536F"/>
    <w:rsid w:val="00CB54C9"/>
    <w:rsid w:val="00CB5606"/>
    <w:rsid w:val="00CB5649"/>
    <w:rsid w:val="00CB573B"/>
    <w:rsid w:val="00CB5773"/>
    <w:rsid w:val="00CB584C"/>
    <w:rsid w:val="00CB5860"/>
    <w:rsid w:val="00CB5875"/>
    <w:rsid w:val="00CB58A0"/>
    <w:rsid w:val="00CB58F8"/>
    <w:rsid w:val="00CB59F1"/>
    <w:rsid w:val="00CB5AA5"/>
    <w:rsid w:val="00CB5AB8"/>
    <w:rsid w:val="00CB5BB3"/>
    <w:rsid w:val="00CB5BEC"/>
    <w:rsid w:val="00CB5C2A"/>
    <w:rsid w:val="00CB5C55"/>
    <w:rsid w:val="00CB5CDA"/>
    <w:rsid w:val="00CB5CE3"/>
    <w:rsid w:val="00CB5E28"/>
    <w:rsid w:val="00CB5F1D"/>
    <w:rsid w:val="00CB5F4E"/>
    <w:rsid w:val="00CB5F64"/>
    <w:rsid w:val="00CB5F78"/>
    <w:rsid w:val="00CB5FEF"/>
    <w:rsid w:val="00CB5FF8"/>
    <w:rsid w:val="00CB6159"/>
    <w:rsid w:val="00CB6191"/>
    <w:rsid w:val="00CB62DC"/>
    <w:rsid w:val="00CB631D"/>
    <w:rsid w:val="00CB6409"/>
    <w:rsid w:val="00CB6467"/>
    <w:rsid w:val="00CB6487"/>
    <w:rsid w:val="00CB6575"/>
    <w:rsid w:val="00CB65DC"/>
    <w:rsid w:val="00CB6607"/>
    <w:rsid w:val="00CB665E"/>
    <w:rsid w:val="00CB66ED"/>
    <w:rsid w:val="00CB6715"/>
    <w:rsid w:val="00CB679B"/>
    <w:rsid w:val="00CB67D5"/>
    <w:rsid w:val="00CB6892"/>
    <w:rsid w:val="00CB68E0"/>
    <w:rsid w:val="00CB69B1"/>
    <w:rsid w:val="00CB69BE"/>
    <w:rsid w:val="00CB69FA"/>
    <w:rsid w:val="00CB6CAC"/>
    <w:rsid w:val="00CB6DB9"/>
    <w:rsid w:val="00CB6DBE"/>
    <w:rsid w:val="00CB6EF7"/>
    <w:rsid w:val="00CB6F0C"/>
    <w:rsid w:val="00CB703B"/>
    <w:rsid w:val="00CB71B8"/>
    <w:rsid w:val="00CB720B"/>
    <w:rsid w:val="00CB73A9"/>
    <w:rsid w:val="00CB741E"/>
    <w:rsid w:val="00CB7498"/>
    <w:rsid w:val="00CB75FA"/>
    <w:rsid w:val="00CB761E"/>
    <w:rsid w:val="00CB7623"/>
    <w:rsid w:val="00CB76F4"/>
    <w:rsid w:val="00CB771B"/>
    <w:rsid w:val="00CB773E"/>
    <w:rsid w:val="00CB787E"/>
    <w:rsid w:val="00CB791A"/>
    <w:rsid w:val="00CB79BE"/>
    <w:rsid w:val="00CB7C82"/>
    <w:rsid w:val="00CB7D41"/>
    <w:rsid w:val="00CB7D46"/>
    <w:rsid w:val="00CB7D4B"/>
    <w:rsid w:val="00CB7D50"/>
    <w:rsid w:val="00CB7DA2"/>
    <w:rsid w:val="00CB7EC2"/>
    <w:rsid w:val="00CB7FA4"/>
    <w:rsid w:val="00CC0060"/>
    <w:rsid w:val="00CC007F"/>
    <w:rsid w:val="00CC00B4"/>
    <w:rsid w:val="00CC0112"/>
    <w:rsid w:val="00CC014F"/>
    <w:rsid w:val="00CC015F"/>
    <w:rsid w:val="00CC017E"/>
    <w:rsid w:val="00CC02A8"/>
    <w:rsid w:val="00CC0305"/>
    <w:rsid w:val="00CC0349"/>
    <w:rsid w:val="00CC045D"/>
    <w:rsid w:val="00CC056B"/>
    <w:rsid w:val="00CC06C9"/>
    <w:rsid w:val="00CC06DA"/>
    <w:rsid w:val="00CC071A"/>
    <w:rsid w:val="00CC07F6"/>
    <w:rsid w:val="00CC094E"/>
    <w:rsid w:val="00CC099F"/>
    <w:rsid w:val="00CC0ACF"/>
    <w:rsid w:val="00CC0AF2"/>
    <w:rsid w:val="00CC0CDB"/>
    <w:rsid w:val="00CC0D9D"/>
    <w:rsid w:val="00CC0DF6"/>
    <w:rsid w:val="00CC1159"/>
    <w:rsid w:val="00CC11EA"/>
    <w:rsid w:val="00CC1448"/>
    <w:rsid w:val="00CC144C"/>
    <w:rsid w:val="00CC1588"/>
    <w:rsid w:val="00CC15D2"/>
    <w:rsid w:val="00CC1690"/>
    <w:rsid w:val="00CC180E"/>
    <w:rsid w:val="00CC183A"/>
    <w:rsid w:val="00CC1984"/>
    <w:rsid w:val="00CC1A41"/>
    <w:rsid w:val="00CC1AAF"/>
    <w:rsid w:val="00CC1ABB"/>
    <w:rsid w:val="00CC1B3A"/>
    <w:rsid w:val="00CC1B68"/>
    <w:rsid w:val="00CC1B73"/>
    <w:rsid w:val="00CC1C7D"/>
    <w:rsid w:val="00CC1C7F"/>
    <w:rsid w:val="00CC1D1A"/>
    <w:rsid w:val="00CC1D96"/>
    <w:rsid w:val="00CC1E26"/>
    <w:rsid w:val="00CC1E52"/>
    <w:rsid w:val="00CC1EA7"/>
    <w:rsid w:val="00CC1FE7"/>
    <w:rsid w:val="00CC20F6"/>
    <w:rsid w:val="00CC2163"/>
    <w:rsid w:val="00CC24A1"/>
    <w:rsid w:val="00CC24D5"/>
    <w:rsid w:val="00CC251A"/>
    <w:rsid w:val="00CC253F"/>
    <w:rsid w:val="00CC2594"/>
    <w:rsid w:val="00CC2597"/>
    <w:rsid w:val="00CC25C4"/>
    <w:rsid w:val="00CC2618"/>
    <w:rsid w:val="00CC2914"/>
    <w:rsid w:val="00CC2945"/>
    <w:rsid w:val="00CC2988"/>
    <w:rsid w:val="00CC29F4"/>
    <w:rsid w:val="00CC2A7A"/>
    <w:rsid w:val="00CC2AD2"/>
    <w:rsid w:val="00CC2BE4"/>
    <w:rsid w:val="00CC2C22"/>
    <w:rsid w:val="00CC2C2D"/>
    <w:rsid w:val="00CC2C89"/>
    <w:rsid w:val="00CC2CB5"/>
    <w:rsid w:val="00CC2CD9"/>
    <w:rsid w:val="00CC2D7D"/>
    <w:rsid w:val="00CC2E12"/>
    <w:rsid w:val="00CC2ECD"/>
    <w:rsid w:val="00CC2EF9"/>
    <w:rsid w:val="00CC2F9B"/>
    <w:rsid w:val="00CC2FA3"/>
    <w:rsid w:val="00CC2FA6"/>
    <w:rsid w:val="00CC30CF"/>
    <w:rsid w:val="00CC30E9"/>
    <w:rsid w:val="00CC3109"/>
    <w:rsid w:val="00CC31A7"/>
    <w:rsid w:val="00CC322A"/>
    <w:rsid w:val="00CC323B"/>
    <w:rsid w:val="00CC326B"/>
    <w:rsid w:val="00CC3426"/>
    <w:rsid w:val="00CC34FC"/>
    <w:rsid w:val="00CC35E3"/>
    <w:rsid w:val="00CC368D"/>
    <w:rsid w:val="00CC36D8"/>
    <w:rsid w:val="00CC37C0"/>
    <w:rsid w:val="00CC37D7"/>
    <w:rsid w:val="00CC3829"/>
    <w:rsid w:val="00CC385B"/>
    <w:rsid w:val="00CC38F0"/>
    <w:rsid w:val="00CC395C"/>
    <w:rsid w:val="00CC3A14"/>
    <w:rsid w:val="00CC3A29"/>
    <w:rsid w:val="00CC3A2B"/>
    <w:rsid w:val="00CC3A82"/>
    <w:rsid w:val="00CC3B4B"/>
    <w:rsid w:val="00CC3B84"/>
    <w:rsid w:val="00CC3B91"/>
    <w:rsid w:val="00CC3B97"/>
    <w:rsid w:val="00CC3C0E"/>
    <w:rsid w:val="00CC3CF6"/>
    <w:rsid w:val="00CC3D50"/>
    <w:rsid w:val="00CC3E9C"/>
    <w:rsid w:val="00CC3F14"/>
    <w:rsid w:val="00CC3F17"/>
    <w:rsid w:val="00CC3F51"/>
    <w:rsid w:val="00CC4116"/>
    <w:rsid w:val="00CC42AB"/>
    <w:rsid w:val="00CC42BF"/>
    <w:rsid w:val="00CC42E6"/>
    <w:rsid w:val="00CC4383"/>
    <w:rsid w:val="00CC441D"/>
    <w:rsid w:val="00CC44F1"/>
    <w:rsid w:val="00CC4581"/>
    <w:rsid w:val="00CC4632"/>
    <w:rsid w:val="00CC4639"/>
    <w:rsid w:val="00CC4710"/>
    <w:rsid w:val="00CC483A"/>
    <w:rsid w:val="00CC4909"/>
    <w:rsid w:val="00CC49F1"/>
    <w:rsid w:val="00CC4A77"/>
    <w:rsid w:val="00CC4A8C"/>
    <w:rsid w:val="00CC4AE4"/>
    <w:rsid w:val="00CC4C35"/>
    <w:rsid w:val="00CC4C3D"/>
    <w:rsid w:val="00CC4C8C"/>
    <w:rsid w:val="00CC4CD7"/>
    <w:rsid w:val="00CC4D2E"/>
    <w:rsid w:val="00CC4DF5"/>
    <w:rsid w:val="00CC4E5D"/>
    <w:rsid w:val="00CC4E6A"/>
    <w:rsid w:val="00CC4EE1"/>
    <w:rsid w:val="00CC4F0D"/>
    <w:rsid w:val="00CC5254"/>
    <w:rsid w:val="00CC5258"/>
    <w:rsid w:val="00CC526A"/>
    <w:rsid w:val="00CC5286"/>
    <w:rsid w:val="00CC528C"/>
    <w:rsid w:val="00CC5313"/>
    <w:rsid w:val="00CC550F"/>
    <w:rsid w:val="00CC56E5"/>
    <w:rsid w:val="00CC5727"/>
    <w:rsid w:val="00CC5863"/>
    <w:rsid w:val="00CC5976"/>
    <w:rsid w:val="00CC5AD5"/>
    <w:rsid w:val="00CC5C57"/>
    <w:rsid w:val="00CC5C5E"/>
    <w:rsid w:val="00CC5C89"/>
    <w:rsid w:val="00CC5CBF"/>
    <w:rsid w:val="00CC5DD2"/>
    <w:rsid w:val="00CC5E84"/>
    <w:rsid w:val="00CC5F87"/>
    <w:rsid w:val="00CC5F8E"/>
    <w:rsid w:val="00CC6014"/>
    <w:rsid w:val="00CC6032"/>
    <w:rsid w:val="00CC6071"/>
    <w:rsid w:val="00CC6095"/>
    <w:rsid w:val="00CC61B7"/>
    <w:rsid w:val="00CC61F1"/>
    <w:rsid w:val="00CC6260"/>
    <w:rsid w:val="00CC630E"/>
    <w:rsid w:val="00CC6420"/>
    <w:rsid w:val="00CC64B3"/>
    <w:rsid w:val="00CC652F"/>
    <w:rsid w:val="00CC65ED"/>
    <w:rsid w:val="00CC66F5"/>
    <w:rsid w:val="00CC67F3"/>
    <w:rsid w:val="00CC682A"/>
    <w:rsid w:val="00CC698D"/>
    <w:rsid w:val="00CC69DA"/>
    <w:rsid w:val="00CC6A37"/>
    <w:rsid w:val="00CC6A68"/>
    <w:rsid w:val="00CC6A7D"/>
    <w:rsid w:val="00CC6BAD"/>
    <w:rsid w:val="00CC6C9F"/>
    <w:rsid w:val="00CC6D4C"/>
    <w:rsid w:val="00CC6D90"/>
    <w:rsid w:val="00CC6E38"/>
    <w:rsid w:val="00CC6ED9"/>
    <w:rsid w:val="00CC6F4E"/>
    <w:rsid w:val="00CC7189"/>
    <w:rsid w:val="00CC71BE"/>
    <w:rsid w:val="00CC7234"/>
    <w:rsid w:val="00CC72AE"/>
    <w:rsid w:val="00CC7319"/>
    <w:rsid w:val="00CC739A"/>
    <w:rsid w:val="00CC73AC"/>
    <w:rsid w:val="00CC73E7"/>
    <w:rsid w:val="00CC744C"/>
    <w:rsid w:val="00CC745F"/>
    <w:rsid w:val="00CC748F"/>
    <w:rsid w:val="00CC74B3"/>
    <w:rsid w:val="00CC74C3"/>
    <w:rsid w:val="00CC74FB"/>
    <w:rsid w:val="00CC7515"/>
    <w:rsid w:val="00CC7561"/>
    <w:rsid w:val="00CC7613"/>
    <w:rsid w:val="00CC7625"/>
    <w:rsid w:val="00CC7632"/>
    <w:rsid w:val="00CC7636"/>
    <w:rsid w:val="00CC779D"/>
    <w:rsid w:val="00CC77E3"/>
    <w:rsid w:val="00CC7869"/>
    <w:rsid w:val="00CC795E"/>
    <w:rsid w:val="00CC7A11"/>
    <w:rsid w:val="00CC7AA5"/>
    <w:rsid w:val="00CC7ADA"/>
    <w:rsid w:val="00CC7BAA"/>
    <w:rsid w:val="00CC7C2A"/>
    <w:rsid w:val="00CC7DD1"/>
    <w:rsid w:val="00CC7DD9"/>
    <w:rsid w:val="00CC7DF2"/>
    <w:rsid w:val="00CC7F20"/>
    <w:rsid w:val="00CC7F53"/>
    <w:rsid w:val="00CC7FD9"/>
    <w:rsid w:val="00CD0033"/>
    <w:rsid w:val="00CD00C3"/>
    <w:rsid w:val="00CD019D"/>
    <w:rsid w:val="00CD01E8"/>
    <w:rsid w:val="00CD0394"/>
    <w:rsid w:val="00CD0397"/>
    <w:rsid w:val="00CD03E7"/>
    <w:rsid w:val="00CD03E8"/>
    <w:rsid w:val="00CD0440"/>
    <w:rsid w:val="00CD0448"/>
    <w:rsid w:val="00CD045D"/>
    <w:rsid w:val="00CD06BE"/>
    <w:rsid w:val="00CD06DD"/>
    <w:rsid w:val="00CD088F"/>
    <w:rsid w:val="00CD08A0"/>
    <w:rsid w:val="00CD098E"/>
    <w:rsid w:val="00CD0998"/>
    <w:rsid w:val="00CD0B8B"/>
    <w:rsid w:val="00CD0C15"/>
    <w:rsid w:val="00CD0D0F"/>
    <w:rsid w:val="00CD0D31"/>
    <w:rsid w:val="00CD0DB6"/>
    <w:rsid w:val="00CD0DDA"/>
    <w:rsid w:val="00CD0E8B"/>
    <w:rsid w:val="00CD0ECF"/>
    <w:rsid w:val="00CD0F97"/>
    <w:rsid w:val="00CD0FA7"/>
    <w:rsid w:val="00CD11CC"/>
    <w:rsid w:val="00CD11F4"/>
    <w:rsid w:val="00CD1210"/>
    <w:rsid w:val="00CD1213"/>
    <w:rsid w:val="00CD1238"/>
    <w:rsid w:val="00CD134D"/>
    <w:rsid w:val="00CD13C9"/>
    <w:rsid w:val="00CD13E8"/>
    <w:rsid w:val="00CD1404"/>
    <w:rsid w:val="00CD1544"/>
    <w:rsid w:val="00CD1567"/>
    <w:rsid w:val="00CD15D1"/>
    <w:rsid w:val="00CD162E"/>
    <w:rsid w:val="00CD1684"/>
    <w:rsid w:val="00CD1728"/>
    <w:rsid w:val="00CD18D0"/>
    <w:rsid w:val="00CD1A4F"/>
    <w:rsid w:val="00CD1AA9"/>
    <w:rsid w:val="00CD1B05"/>
    <w:rsid w:val="00CD1BBD"/>
    <w:rsid w:val="00CD1C18"/>
    <w:rsid w:val="00CD1C8F"/>
    <w:rsid w:val="00CD1CAE"/>
    <w:rsid w:val="00CD1CF5"/>
    <w:rsid w:val="00CD1E22"/>
    <w:rsid w:val="00CD1E49"/>
    <w:rsid w:val="00CD1E81"/>
    <w:rsid w:val="00CD1EE4"/>
    <w:rsid w:val="00CD1F28"/>
    <w:rsid w:val="00CD2081"/>
    <w:rsid w:val="00CD2273"/>
    <w:rsid w:val="00CD23D9"/>
    <w:rsid w:val="00CD23F1"/>
    <w:rsid w:val="00CD25BB"/>
    <w:rsid w:val="00CD262F"/>
    <w:rsid w:val="00CD274E"/>
    <w:rsid w:val="00CD28FB"/>
    <w:rsid w:val="00CD294E"/>
    <w:rsid w:val="00CD29BA"/>
    <w:rsid w:val="00CD2A01"/>
    <w:rsid w:val="00CD2A77"/>
    <w:rsid w:val="00CD2B52"/>
    <w:rsid w:val="00CD2B7B"/>
    <w:rsid w:val="00CD2C77"/>
    <w:rsid w:val="00CD2CB0"/>
    <w:rsid w:val="00CD2DED"/>
    <w:rsid w:val="00CD2E04"/>
    <w:rsid w:val="00CD2E72"/>
    <w:rsid w:val="00CD2FE0"/>
    <w:rsid w:val="00CD3060"/>
    <w:rsid w:val="00CD30E1"/>
    <w:rsid w:val="00CD31DF"/>
    <w:rsid w:val="00CD3224"/>
    <w:rsid w:val="00CD32CF"/>
    <w:rsid w:val="00CD32F6"/>
    <w:rsid w:val="00CD336A"/>
    <w:rsid w:val="00CD342E"/>
    <w:rsid w:val="00CD345D"/>
    <w:rsid w:val="00CD348A"/>
    <w:rsid w:val="00CD35BE"/>
    <w:rsid w:val="00CD3602"/>
    <w:rsid w:val="00CD3712"/>
    <w:rsid w:val="00CD3794"/>
    <w:rsid w:val="00CD379B"/>
    <w:rsid w:val="00CD38D0"/>
    <w:rsid w:val="00CD3927"/>
    <w:rsid w:val="00CD3948"/>
    <w:rsid w:val="00CD39EF"/>
    <w:rsid w:val="00CD39FB"/>
    <w:rsid w:val="00CD3A7F"/>
    <w:rsid w:val="00CD3A86"/>
    <w:rsid w:val="00CD3A90"/>
    <w:rsid w:val="00CD3BC2"/>
    <w:rsid w:val="00CD3CC9"/>
    <w:rsid w:val="00CD3D2B"/>
    <w:rsid w:val="00CD3D44"/>
    <w:rsid w:val="00CD3F1B"/>
    <w:rsid w:val="00CD3F3D"/>
    <w:rsid w:val="00CD3F9F"/>
    <w:rsid w:val="00CD405A"/>
    <w:rsid w:val="00CD4071"/>
    <w:rsid w:val="00CD40AB"/>
    <w:rsid w:val="00CD4119"/>
    <w:rsid w:val="00CD419F"/>
    <w:rsid w:val="00CD4287"/>
    <w:rsid w:val="00CD42B3"/>
    <w:rsid w:val="00CD438F"/>
    <w:rsid w:val="00CD43C2"/>
    <w:rsid w:val="00CD4490"/>
    <w:rsid w:val="00CD449E"/>
    <w:rsid w:val="00CD46E7"/>
    <w:rsid w:val="00CD48CB"/>
    <w:rsid w:val="00CD492F"/>
    <w:rsid w:val="00CD49A4"/>
    <w:rsid w:val="00CD4A09"/>
    <w:rsid w:val="00CD4A4C"/>
    <w:rsid w:val="00CD4A5D"/>
    <w:rsid w:val="00CD4B7C"/>
    <w:rsid w:val="00CD4B86"/>
    <w:rsid w:val="00CD4C08"/>
    <w:rsid w:val="00CD4C93"/>
    <w:rsid w:val="00CD4D8D"/>
    <w:rsid w:val="00CD4EF9"/>
    <w:rsid w:val="00CD4F19"/>
    <w:rsid w:val="00CD4F7B"/>
    <w:rsid w:val="00CD514F"/>
    <w:rsid w:val="00CD5258"/>
    <w:rsid w:val="00CD526F"/>
    <w:rsid w:val="00CD52A4"/>
    <w:rsid w:val="00CD52D6"/>
    <w:rsid w:val="00CD5455"/>
    <w:rsid w:val="00CD5492"/>
    <w:rsid w:val="00CD558B"/>
    <w:rsid w:val="00CD56EE"/>
    <w:rsid w:val="00CD5747"/>
    <w:rsid w:val="00CD57B0"/>
    <w:rsid w:val="00CD57E6"/>
    <w:rsid w:val="00CD58A8"/>
    <w:rsid w:val="00CD58CD"/>
    <w:rsid w:val="00CD59F1"/>
    <w:rsid w:val="00CD5B31"/>
    <w:rsid w:val="00CD5C3E"/>
    <w:rsid w:val="00CD5C48"/>
    <w:rsid w:val="00CD5C89"/>
    <w:rsid w:val="00CD5D48"/>
    <w:rsid w:val="00CD5DE0"/>
    <w:rsid w:val="00CD5F4D"/>
    <w:rsid w:val="00CD6031"/>
    <w:rsid w:val="00CD608D"/>
    <w:rsid w:val="00CD613B"/>
    <w:rsid w:val="00CD6217"/>
    <w:rsid w:val="00CD6239"/>
    <w:rsid w:val="00CD6445"/>
    <w:rsid w:val="00CD652F"/>
    <w:rsid w:val="00CD65D7"/>
    <w:rsid w:val="00CD6601"/>
    <w:rsid w:val="00CD6709"/>
    <w:rsid w:val="00CD671B"/>
    <w:rsid w:val="00CD674E"/>
    <w:rsid w:val="00CD67A7"/>
    <w:rsid w:val="00CD67EC"/>
    <w:rsid w:val="00CD67F1"/>
    <w:rsid w:val="00CD6872"/>
    <w:rsid w:val="00CD68CF"/>
    <w:rsid w:val="00CD68FA"/>
    <w:rsid w:val="00CD6A3D"/>
    <w:rsid w:val="00CD6A87"/>
    <w:rsid w:val="00CD6AFB"/>
    <w:rsid w:val="00CD6B83"/>
    <w:rsid w:val="00CD6B95"/>
    <w:rsid w:val="00CD6C78"/>
    <w:rsid w:val="00CD6CB2"/>
    <w:rsid w:val="00CD6CC4"/>
    <w:rsid w:val="00CD6DB9"/>
    <w:rsid w:val="00CD6DD1"/>
    <w:rsid w:val="00CD6E3E"/>
    <w:rsid w:val="00CD6F3E"/>
    <w:rsid w:val="00CD6F49"/>
    <w:rsid w:val="00CD6F52"/>
    <w:rsid w:val="00CD6F6B"/>
    <w:rsid w:val="00CD7127"/>
    <w:rsid w:val="00CD7225"/>
    <w:rsid w:val="00CD72C6"/>
    <w:rsid w:val="00CD72C7"/>
    <w:rsid w:val="00CD7353"/>
    <w:rsid w:val="00CD7419"/>
    <w:rsid w:val="00CD7664"/>
    <w:rsid w:val="00CD78EC"/>
    <w:rsid w:val="00CD7D11"/>
    <w:rsid w:val="00CD7DE4"/>
    <w:rsid w:val="00CD7F19"/>
    <w:rsid w:val="00CD7F1B"/>
    <w:rsid w:val="00CD7F43"/>
    <w:rsid w:val="00CD7F75"/>
    <w:rsid w:val="00CD7FBB"/>
    <w:rsid w:val="00CD7FC1"/>
    <w:rsid w:val="00CD7FCD"/>
    <w:rsid w:val="00CE030F"/>
    <w:rsid w:val="00CE0392"/>
    <w:rsid w:val="00CE0458"/>
    <w:rsid w:val="00CE0465"/>
    <w:rsid w:val="00CE058E"/>
    <w:rsid w:val="00CE05E8"/>
    <w:rsid w:val="00CE05F7"/>
    <w:rsid w:val="00CE070F"/>
    <w:rsid w:val="00CE075D"/>
    <w:rsid w:val="00CE0771"/>
    <w:rsid w:val="00CE0835"/>
    <w:rsid w:val="00CE09E6"/>
    <w:rsid w:val="00CE0A19"/>
    <w:rsid w:val="00CE0AA8"/>
    <w:rsid w:val="00CE0AF1"/>
    <w:rsid w:val="00CE0B2C"/>
    <w:rsid w:val="00CE0C65"/>
    <w:rsid w:val="00CE0CA5"/>
    <w:rsid w:val="00CE0D40"/>
    <w:rsid w:val="00CE0D80"/>
    <w:rsid w:val="00CE0DC1"/>
    <w:rsid w:val="00CE0F32"/>
    <w:rsid w:val="00CE1046"/>
    <w:rsid w:val="00CE105F"/>
    <w:rsid w:val="00CE1067"/>
    <w:rsid w:val="00CE11E8"/>
    <w:rsid w:val="00CE12B0"/>
    <w:rsid w:val="00CE12D7"/>
    <w:rsid w:val="00CE1445"/>
    <w:rsid w:val="00CE14AC"/>
    <w:rsid w:val="00CE159F"/>
    <w:rsid w:val="00CE15B6"/>
    <w:rsid w:val="00CE1675"/>
    <w:rsid w:val="00CE1683"/>
    <w:rsid w:val="00CE17C0"/>
    <w:rsid w:val="00CE1840"/>
    <w:rsid w:val="00CE184E"/>
    <w:rsid w:val="00CE190A"/>
    <w:rsid w:val="00CE1A2D"/>
    <w:rsid w:val="00CE1A7D"/>
    <w:rsid w:val="00CE1ABF"/>
    <w:rsid w:val="00CE1AF4"/>
    <w:rsid w:val="00CE1D11"/>
    <w:rsid w:val="00CE1D26"/>
    <w:rsid w:val="00CE1D3B"/>
    <w:rsid w:val="00CE1D5F"/>
    <w:rsid w:val="00CE1E39"/>
    <w:rsid w:val="00CE1EF0"/>
    <w:rsid w:val="00CE1F10"/>
    <w:rsid w:val="00CE20E8"/>
    <w:rsid w:val="00CE210F"/>
    <w:rsid w:val="00CE2170"/>
    <w:rsid w:val="00CE22F4"/>
    <w:rsid w:val="00CE2437"/>
    <w:rsid w:val="00CE2516"/>
    <w:rsid w:val="00CE258E"/>
    <w:rsid w:val="00CE2656"/>
    <w:rsid w:val="00CE26E3"/>
    <w:rsid w:val="00CE26F7"/>
    <w:rsid w:val="00CE2714"/>
    <w:rsid w:val="00CE27BD"/>
    <w:rsid w:val="00CE27C3"/>
    <w:rsid w:val="00CE28E3"/>
    <w:rsid w:val="00CE2976"/>
    <w:rsid w:val="00CE29F1"/>
    <w:rsid w:val="00CE2AD3"/>
    <w:rsid w:val="00CE2BA5"/>
    <w:rsid w:val="00CE2BE4"/>
    <w:rsid w:val="00CE2C11"/>
    <w:rsid w:val="00CE2CB4"/>
    <w:rsid w:val="00CE2D41"/>
    <w:rsid w:val="00CE2EA5"/>
    <w:rsid w:val="00CE2F17"/>
    <w:rsid w:val="00CE2F8C"/>
    <w:rsid w:val="00CE2FDC"/>
    <w:rsid w:val="00CE2FF0"/>
    <w:rsid w:val="00CE3106"/>
    <w:rsid w:val="00CE315D"/>
    <w:rsid w:val="00CE3172"/>
    <w:rsid w:val="00CE319C"/>
    <w:rsid w:val="00CE320F"/>
    <w:rsid w:val="00CE326D"/>
    <w:rsid w:val="00CE32D5"/>
    <w:rsid w:val="00CE3347"/>
    <w:rsid w:val="00CE3366"/>
    <w:rsid w:val="00CE3457"/>
    <w:rsid w:val="00CE34C3"/>
    <w:rsid w:val="00CE3529"/>
    <w:rsid w:val="00CE3552"/>
    <w:rsid w:val="00CE358D"/>
    <w:rsid w:val="00CE35A7"/>
    <w:rsid w:val="00CE35E3"/>
    <w:rsid w:val="00CE3736"/>
    <w:rsid w:val="00CE37FF"/>
    <w:rsid w:val="00CE386F"/>
    <w:rsid w:val="00CE38DD"/>
    <w:rsid w:val="00CE392A"/>
    <w:rsid w:val="00CE39AD"/>
    <w:rsid w:val="00CE39C1"/>
    <w:rsid w:val="00CE3A7F"/>
    <w:rsid w:val="00CE3B18"/>
    <w:rsid w:val="00CE3BF3"/>
    <w:rsid w:val="00CE3C23"/>
    <w:rsid w:val="00CE3C9B"/>
    <w:rsid w:val="00CE3E09"/>
    <w:rsid w:val="00CE3E80"/>
    <w:rsid w:val="00CE3EBD"/>
    <w:rsid w:val="00CE3EC5"/>
    <w:rsid w:val="00CE3F4C"/>
    <w:rsid w:val="00CE3FF9"/>
    <w:rsid w:val="00CE4004"/>
    <w:rsid w:val="00CE4112"/>
    <w:rsid w:val="00CE4121"/>
    <w:rsid w:val="00CE41BA"/>
    <w:rsid w:val="00CE420E"/>
    <w:rsid w:val="00CE4228"/>
    <w:rsid w:val="00CE424F"/>
    <w:rsid w:val="00CE429C"/>
    <w:rsid w:val="00CE42D6"/>
    <w:rsid w:val="00CE42E4"/>
    <w:rsid w:val="00CE43D4"/>
    <w:rsid w:val="00CE4407"/>
    <w:rsid w:val="00CE450F"/>
    <w:rsid w:val="00CE471A"/>
    <w:rsid w:val="00CE4721"/>
    <w:rsid w:val="00CE4908"/>
    <w:rsid w:val="00CE498C"/>
    <w:rsid w:val="00CE49E7"/>
    <w:rsid w:val="00CE4A17"/>
    <w:rsid w:val="00CE4A19"/>
    <w:rsid w:val="00CE4A98"/>
    <w:rsid w:val="00CE4B0F"/>
    <w:rsid w:val="00CE4B7F"/>
    <w:rsid w:val="00CE4BD4"/>
    <w:rsid w:val="00CE4DF3"/>
    <w:rsid w:val="00CE4E18"/>
    <w:rsid w:val="00CE4E47"/>
    <w:rsid w:val="00CE4E49"/>
    <w:rsid w:val="00CE4E7E"/>
    <w:rsid w:val="00CE4E82"/>
    <w:rsid w:val="00CE5029"/>
    <w:rsid w:val="00CE506D"/>
    <w:rsid w:val="00CE50D5"/>
    <w:rsid w:val="00CE5214"/>
    <w:rsid w:val="00CE5287"/>
    <w:rsid w:val="00CE5394"/>
    <w:rsid w:val="00CE53BF"/>
    <w:rsid w:val="00CE5453"/>
    <w:rsid w:val="00CE55EE"/>
    <w:rsid w:val="00CE571F"/>
    <w:rsid w:val="00CE5867"/>
    <w:rsid w:val="00CE5931"/>
    <w:rsid w:val="00CE59BC"/>
    <w:rsid w:val="00CE59C6"/>
    <w:rsid w:val="00CE5B53"/>
    <w:rsid w:val="00CE5B5E"/>
    <w:rsid w:val="00CE5C62"/>
    <w:rsid w:val="00CE5CBB"/>
    <w:rsid w:val="00CE5D30"/>
    <w:rsid w:val="00CE5F12"/>
    <w:rsid w:val="00CE5F6B"/>
    <w:rsid w:val="00CE5FDB"/>
    <w:rsid w:val="00CE5FE5"/>
    <w:rsid w:val="00CE6031"/>
    <w:rsid w:val="00CE607E"/>
    <w:rsid w:val="00CE608C"/>
    <w:rsid w:val="00CE62AC"/>
    <w:rsid w:val="00CE63EB"/>
    <w:rsid w:val="00CE63FE"/>
    <w:rsid w:val="00CE64FB"/>
    <w:rsid w:val="00CE6508"/>
    <w:rsid w:val="00CE650D"/>
    <w:rsid w:val="00CE66C8"/>
    <w:rsid w:val="00CE687A"/>
    <w:rsid w:val="00CE6896"/>
    <w:rsid w:val="00CE68E1"/>
    <w:rsid w:val="00CE6A16"/>
    <w:rsid w:val="00CE6A72"/>
    <w:rsid w:val="00CE6A78"/>
    <w:rsid w:val="00CE6B36"/>
    <w:rsid w:val="00CE6BB7"/>
    <w:rsid w:val="00CE6D44"/>
    <w:rsid w:val="00CE6E54"/>
    <w:rsid w:val="00CE7097"/>
    <w:rsid w:val="00CE7128"/>
    <w:rsid w:val="00CE7168"/>
    <w:rsid w:val="00CE7229"/>
    <w:rsid w:val="00CE7284"/>
    <w:rsid w:val="00CE735C"/>
    <w:rsid w:val="00CE74FF"/>
    <w:rsid w:val="00CE7563"/>
    <w:rsid w:val="00CE7583"/>
    <w:rsid w:val="00CE768F"/>
    <w:rsid w:val="00CE77D4"/>
    <w:rsid w:val="00CE7848"/>
    <w:rsid w:val="00CE7860"/>
    <w:rsid w:val="00CE78A8"/>
    <w:rsid w:val="00CE7B51"/>
    <w:rsid w:val="00CE7BE3"/>
    <w:rsid w:val="00CE7C9B"/>
    <w:rsid w:val="00CE7D8E"/>
    <w:rsid w:val="00CE7F0A"/>
    <w:rsid w:val="00CE7F74"/>
    <w:rsid w:val="00CE7FDC"/>
    <w:rsid w:val="00CF00A8"/>
    <w:rsid w:val="00CF00FB"/>
    <w:rsid w:val="00CF0107"/>
    <w:rsid w:val="00CF01EB"/>
    <w:rsid w:val="00CF0256"/>
    <w:rsid w:val="00CF0280"/>
    <w:rsid w:val="00CF0301"/>
    <w:rsid w:val="00CF030E"/>
    <w:rsid w:val="00CF0333"/>
    <w:rsid w:val="00CF04DB"/>
    <w:rsid w:val="00CF04ED"/>
    <w:rsid w:val="00CF0502"/>
    <w:rsid w:val="00CF0519"/>
    <w:rsid w:val="00CF0540"/>
    <w:rsid w:val="00CF054C"/>
    <w:rsid w:val="00CF0648"/>
    <w:rsid w:val="00CF0720"/>
    <w:rsid w:val="00CF092F"/>
    <w:rsid w:val="00CF0949"/>
    <w:rsid w:val="00CF09EB"/>
    <w:rsid w:val="00CF0A8C"/>
    <w:rsid w:val="00CF0CFA"/>
    <w:rsid w:val="00CF0D68"/>
    <w:rsid w:val="00CF0E13"/>
    <w:rsid w:val="00CF0E8A"/>
    <w:rsid w:val="00CF0F2E"/>
    <w:rsid w:val="00CF100C"/>
    <w:rsid w:val="00CF1020"/>
    <w:rsid w:val="00CF1212"/>
    <w:rsid w:val="00CF128F"/>
    <w:rsid w:val="00CF12B2"/>
    <w:rsid w:val="00CF12FA"/>
    <w:rsid w:val="00CF1365"/>
    <w:rsid w:val="00CF145D"/>
    <w:rsid w:val="00CF14FE"/>
    <w:rsid w:val="00CF1582"/>
    <w:rsid w:val="00CF1694"/>
    <w:rsid w:val="00CF182A"/>
    <w:rsid w:val="00CF187B"/>
    <w:rsid w:val="00CF1903"/>
    <w:rsid w:val="00CF19C9"/>
    <w:rsid w:val="00CF19E3"/>
    <w:rsid w:val="00CF1A2D"/>
    <w:rsid w:val="00CF1AF7"/>
    <w:rsid w:val="00CF1BA4"/>
    <w:rsid w:val="00CF1C50"/>
    <w:rsid w:val="00CF1D1B"/>
    <w:rsid w:val="00CF1D29"/>
    <w:rsid w:val="00CF1DFB"/>
    <w:rsid w:val="00CF1E0A"/>
    <w:rsid w:val="00CF1F2D"/>
    <w:rsid w:val="00CF220A"/>
    <w:rsid w:val="00CF2218"/>
    <w:rsid w:val="00CF2238"/>
    <w:rsid w:val="00CF2280"/>
    <w:rsid w:val="00CF228D"/>
    <w:rsid w:val="00CF22B5"/>
    <w:rsid w:val="00CF234C"/>
    <w:rsid w:val="00CF243D"/>
    <w:rsid w:val="00CF24D2"/>
    <w:rsid w:val="00CF260E"/>
    <w:rsid w:val="00CF2659"/>
    <w:rsid w:val="00CF2691"/>
    <w:rsid w:val="00CF26EC"/>
    <w:rsid w:val="00CF2827"/>
    <w:rsid w:val="00CF2913"/>
    <w:rsid w:val="00CF29EC"/>
    <w:rsid w:val="00CF2A35"/>
    <w:rsid w:val="00CF2AA8"/>
    <w:rsid w:val="00CF2BD6"/>
    <w:rsid w:val="00CF2C31"/>
    <w:rsid w:val="00CF2C82"/>
    <w:rsid w:val="00CF2D05"/>
    <w:rsid w:val="00CF2DA3"/>
    <w:rsid w:val="00CF2DED"/>
    <w:rsid w:val="00CF2E43"/>
    <w:rsid w:val="00CF2FF9"/>
    <w:rsid w:val="00CF3036"/>
    <w:rsid w:val="00CF3068"/>
    <w:rsid w:val="00CF3407"/>
    <w:rsid w:val="00CF3482"/>
    <w:rsid w:val="00CF34A2"/>
    <w:rsid w:val="00CF35B0"/>
    <w:rsid w:val="00CF36D2"/>
    <w:rsid w:val="00CF37A5"/>
    <w:rsid w:val="00CF37AE"/>
    <w:rsid w:val="00CF3894"/>
    <w:rsid w:val="00CF399D"/>
    <w:rsid w:val="00CF39BA"/>
    <w:rsid w:val="00CF3B2A"/>
    <w:rsid w:val="00CF3C9F"/>
    <w:rsid w:val="00CF3CB2"/>
    <w:rsid w:val="00CF3DE7"/>
    <w:rsid w:val="00CF3F20"/>
    <w:rsid w:val="00CF3F93"/>
    <w:rsid w:val="00CF3FEF"/>
    <w:rsid w:val="00CF40AB"/>
    <w:rsid w:val="00CF417F"/>
    <w:rsid w:val="00CF4220"/>
    <w:rsid w:val="00CF4378"/>
    <w:rsid w:val="00CF439F"/>
    <w:rsid w:val="00CF43A2"/>
    <w:rsid w:val="00CF4410"/>
    <w:rsid w:val="00CF4417"/>
    <w:rsid w:val="00CF4426"/>
    <w:rsid w:val="00CF4519"/>
    <w:rsid w:val="00CF45CB"/>
    <w:rsid w:val="00CF4624"/>
    <w:rsid w:val="00CF46B4"/>
    <w:rsid w:val="00CF4798"/>
    <w:rsid w:val="00CF48DA"/>
    <w:rsid w:val="00CF4925"/>
    <w:rsid w:val="00CF492A"/>
    <w:rsid w:val="00CF4947"/>
    <w:rsid w:val="00CF499B"/>
    <w:rsid w:val="00CF49E6"/>
    <w:rsid w:val="00CF4B66"/>
    <w:rsid w:val="00CF4B95"/>
    <w:rsid w:val="00CF4C06"/>
    <w:rsid w:val="00CF4C4C"/>
    <w:rsid w:val="00CF4C91"/>
    <w:rsid w:val="00CF4D5A"/>
    <w:rsid w:val="00CF4E23"/>
    <w:rsid w:val="00CF4E53"/>
    <w:rsid w:val="00CF4F58"/>
    <w:rsid w:val="00CF4FA4"/>
    <w:rsid w:val="00CF4FB2"/>
    <w:rsid w:val="00CF50F0"/>
    <w:rsid w:val="00CF5247"/>
    <w:rsid w:val="00CF52B0"/>
    <w:rsid w:val="00CF53BF"/>
    <w:rsid w:val="00CF53CD"/>
    <w:rsid w:val="00CF541F"/>
    <w:rsid w:val="00CF54B8"/>
    <w:rsid w:val="00CF54DB"/>
    <w:rsid w:val="00CF5510"/>
    <w:rsid w:val="00CF55AA"/>
    <w:rsid w:val="00CF55F5"/>
    <w:rsid w:val="00CF579A"/>
    <w:rsid w:val="00CF57AA"/>
    <w:rsid w:val="00CF5AE8"/>
    <w:rsid w:val="00CF5B1E"/>
    <w:rsid w:val="00CF5BC5"/>
    <w:rsid w:val="00CF5CCF"/>
    <w:rsid w:val="00CF5CD9"/>
    <w:rsid w:val="00CF5E0C"/>
    <w:rsid w:val="00CF5F17"/>
    <w:rsid w:val="00CF6028"/>
    <w:rsid w:val="00CF60C4"/>
    <w:rsid w:val="00CF6118"/>
    <w:rsid w:val="00CF611B"/>
    <w:rsid w:val="00CF62CA"/>
    <w:rsid w:val="00CF63B8"/>
    <w:rsid w:val="00CF650E"/>
    <w:rsid w:val="00CF6611"/>
    <w:rsid w:val="00CF6655"/>
    <w:rsid w:val="00CF671B"/>
    <w:rsid w:val="00CF6799"/>
    <w:rsid w:val="00CF67BC"/>
    <w:rsid w:val="00CF689A"/>
    <w:rsid w:val="00CF6A9C"/>
    <w:rsid w:val="00CF6D91"/>
    <w:rsid w:val="00CF6D9D"/>
    <w:rsid w:val="00CF6DCB"/>
    <w:rsid w:val="00CF6FA6"/>
    <w:rsid w:val="00CF7019"/>
    <w:rsid w:val="00CF7062"/>
    <w:rsid w:val="00CF7120"/>
    <w:rsid w:val="00CF7163"/>
    <w:rsid w:val="00CF71A8"/>
    <w:rsid w:val="00CF71B2"/>
    <w:rsid w:val="00CF7236"/>
    <w:rsid w:val="00CF724C"/>
    <w:rsid w:val="00CF7298"/>
    <w:rsid w:val="00CF72A8"/>
    <w:rsid w:val="00CF7371"/>
    <w:rsid w:val="00CF73F2"/>
    <w:rsid w:val="00CF741C"/>
    <w:rsid w:val="00CF749A"/>
    <w:rsid w:val="00CF7517"/>
    <w:rsid w:val="00CF75E5"/>
    <w:rsid w:val="00CF76D4"/>
    <w:rsid w:val="00CF76DF"/>
    <w:rsid w:val="00CF775E"/>
    <w:rsid w:val="00CF788B"/>
    <w:rsid w:val="00CF7944"/>
    <w:rsid w:val="00CF795B"/>
    <w:rsid w:val="00CF7971"/>
    <w:rsid w:val="00CF7987"/>
    <w:rsid w:val="00CF7A1F"/>
    <w:rsid w:val="00CF7B11"/>
    <w:rsid w:val="00CF7BC5"/>
    <w:rsid w:val="00CF7CCD"/>
    <w:rsid w:val="00CF7DE4"/>
    <w:rsid w:val="00CF7EC0"/>
    <w:rsid w:val="00CF7EFC"/>
    <w:rsid w:val="00D00032"/>
    <w:rsid w:val="00D000BD"/>
    <w:rsid w:val="00D00132"/>
    <w:rsid w:val="00D0019D"/>
    <w:rsid w:val="00D001B4"/>
    <w:rsid w:val="00D0024C"/>
    <w:rsid w:val="00D0026B"/>
    <w:rsid w:val="00D003B7"/>
    <w:rsid w:val="00D0045F"/>
    <w:rsid w:val="00D0053F"/>
    <w:rsid w:val="00D0065E"/>
    <w:rsid w:val="00D0068C"/>
    <w:rsid w:val="00D0072A"/>
    <w:rsid w:val="00D0075A"/>
    <w:rsid w:val="00D00782"/>
    <w:rsid w:val="00D007B8"/>
    <w:rsid w:val="00D007EB"/>
    <w:rsid w:val="00D00856"/>
    <w:rsid w:val="00D00985"/>
    <w:rsid w:val="00D0098A"/>
    <w:rsid w:val="00D00AE1"/>
    <w:rsid w:val="00D00B24"/>
    <w:rsid w:val="00D00D10"/>
    <w:rsid w:val="00D00D90"/>
    <w:rsid w:val="00D00DB6"/>
    <w:rsid w:val="00D00E36"/>
    <w:rsid w:val="00D00E3A"/>
    <w:rsid w:val="00D01015"/>
    <w:rsid w:val="00D01186"/>
    <w:rsid w:val="00D011F2"/>
    <w:rsid w:val="00D0129C"/>
    <w:rsid w:val="00D012FE"/>
    <w:rsid w:val="00D01311"/>
    <w:rsid w:val="00D01332"/>
    <w:rsid w:val="00D0156E"/>
    <w:rsid w:val="00D015D8"/>
    <w:rsid w:val="00D0174B"/>
    <w:rsid w:val="00D017FE"/>
    <w:rsid w:val="00D018A2"/>
    <w:rsid w:val="00D01983"/>
    <w:rsid w:val="00D01A9E"/>
    <w:rsid w:val="00D01BAC"/>
    <w:rsid w:val="00D01C8A"/>
    <w:rsid w:val="00D01E59"/>
    <w:rsid w:val="00D01EFD"/>
    <w:rsid w:val="00D01F0F"/>
    <w:rsid w:val="00D020B0"/>
    <w:rsid w:val="00D021B8"/>
    <w:rsid w:val="00D02276"/>
    <w:rsid w:val="00D02280"/>
    <w:rsid w:val="00D022DB"/>
    <w:rsid w:val="00D02387"/>
    <w:rsid w:val="00D0239D"/>
    <w:rsid w:val="00D023CB"/>
    <w:rsid w:val="00D024AC"/>
    <w:rsid w:val="00D024D4"/>
    <w:rsid w:val="00D024F4"/>
    <w:rsid w:val="00D025AC"/>
    <w:rsid w:val="00D0266C"/>
    <w:rsid w:val="00D027A0"/>
    <w:rsid w:val="00D027E5"/>
    <w:rsid w:val="00D028CA"/>
    <w:rsid w:val="00D029D8"/>
    <w:rsid w:val="00D02A81"/>
    <w:rsid w:val="00D02A9C"/>
    <w:rsid w:val="00D02B84"/>
    <w:rsid w:val="00D02CD5"/>
    <w:rsid w:val="00D02CE9"/>
    <w:rsid w:val="00D02D86"/>
    <w:rsid w:val="00D02E7A"/>
    <w:rsid w:val="00D02F4F"/>
    <w:rsid w:val="00D03023"/>
    <w:rsid w:val="00D0318B"/>
    <w:rsid w:val="00D031D8"/>
    <w:rsid w:val="00D03214"/>
    <w:rsid w:val="00D0325C"/>
    <w:rsid w:val="00D0331C"/>
    <w:rsid w:val="00D0337D"/>
    <w:rsid w:val="00D03408"/>
    <w:rsid w:val="00D034D3"/>
    <w:rsid w:val="00D03526"/>
    <w:rsid w:val="00D03587"/>
    <w:rsid w:val="00D036DC"/>
    <w:rsid w:val="00D03B0D"/>
    <w:rsid w:val="00D03B96"/>
    <w:rsid w:val="00D03D87"/>
    <w:rsid w:val="00D03E44"/>
    <w:rsid w:val="00D03EB4"/>
    <w:rsid w:val="00D04106"/>
    <w:rsid w:val="00D0416B"/>
    <w:rsid w:val="00D0421F"/>
    <w:rsid w:val="00D04331"/>
    <w:rsid w:val="00D043B4"/>
    <w:rsid w:val="00D04484"/>
    <w:rsid w:val="00D044EE"/>
    <w:rsid w:val="00D0455D"/>
    <w:rsid w:val="00D04877"/>
    <w:rsid w:val="00D048BA"/>
    <w:rsid w:val="00D04A0B"/>
    <w:rsid w:val="00D04A98"/>
    <w:rsid w:val="00D04AED"/>
    <w:rsid w:val="00D04B37"/>
    <w:rsid w:val="00D04B67"/>
    <w:rsid w:val="00D04BA0"/>
    <w:rsid w:val="00D04BA4"/>
    <w:rsid w:val="00D04BD0"/>
    <w:rsid w:val="00D04C50"/>
    <w:rsid w:val="00D04CB3"/>
    <w:rsid w:val="00D04CD3"/>
    <w:rsid w:val="00D04D0A"/>
    <w:rsid w:val="00D04D81"/>
    <w:rsid w:val="00D04D8B"/>
    <w:rsid w:val="00D04E5A"/>
    <w:rsid w:val="00D0506D"/>
    <w:rsid w:val="00D0507A"/>
    <w:rsid w:val="00D05128"/>
    <w:rsid w:val="00D0518E"/>
    <w:rsid w:val="00D0518F"/>
    <w:rsid w:val="00D053EC"/>
    <w:rsid w:val="00D0543B"/>
    <w:rsid w:val="00D054DB"/>
    <w:rsid w:val="00D054DE"/>
    <w:rsid w:val="00D05660"/>
    <w:rsid w:val="00D056D4"/>
    <w:rsid w:val="00D056D9"/>
    <w:rsid w:val="00D0570C"/>
    <w:rsid w:val="00D05756"/>
    <w:rsid w:val="00D05759"/>
    <w:rsid w:val="00D057AA"/>
    <w:rsid w:val="00D057AD"/>
    <w:rsid w:val="00D05AD9"/>
    <w:rsid w:val="00D05B17"/>
    <w:rsid w:val="00D05B46"/>
    <w:rsid w:val="00D05B5D"/>
    <w:rsid w:val="00D05CD7"/>
    <w:rsid w:val="00D05D03"/>
    <w:rsid w:val="00D05DA6"/>
    <w:rsid w:val="00D05E01"/>
    <w:rsid w:val="00D05E0E"/>
    <w:rsid w:val="00D05E35"/>
    <w:rsid w:val="00D05E8E"/>
    <w:rsid w:val="00D05F8B"/>
    <w:rsid w:val="00D060AF"/>
    <w:rsid w:val="00D061D3"/>
    <w:rsid w:val="00D06536"/>
    <w:rsid w:val="00D06550"/>
    <w:rsid w:val="00D0658B"/>
    <w:rsid w:val="00D0669A"/>
    <w:rsid w:val="00D06711"/>
    <w:rsid w:val="00D06746"/>
    <w:rsid w:val="00D06773"/>
    <w:rsid w:val="00D067ED"/>
    <w:rsid w:val="00D068A6"/>
    <w:rsid w:val="00D069B4"/>
    <w:rsid w:val="00D06AA3"/>
    <w:rsid w:val="00D06ACC"/>
    <w:rsid w:val="00D06B42"/>
    <w:rsid w:val="00D06BD0"/>
    <w:rsid w:val="00D06C0B"/>
    <w:rsid w:val="00D06C48"/>
    <w:rsid w:val="00D06CEF"/>
    <w:rsid w:val="00D06D08"/>
    <w:rsid w:val="00D0701C"/>
    <w:rsid w:val="00D07030"/>
    <w:rsid w:val="00D0712C"/>
    <w:rsid w:val="00D0712D"/>
    <w:rsid w:val="00D0713E"/>
    <w:rsid w:val="00D07170"/>
    <w:rsid w:val="00D071B8"/>
    <w:rsid w:val="00D07236"/>
    <w:rsid w:val="00D072FC"/>
    <w:rsid w:val="00D073A7"/>
    <w:rsid w:val="00D07460"/>
    <w:rsid w:val="00D07464"/>
    <w:rsid w:val="00D0753B"/>
    <w:rsid w:val="00D07671"/>
    <w:rsid w:val="00D07682"/>
    <w:rsid w:val="00D076C9"/>
    <w:rsid w:val="00D07708"/>
    <w:rsid w:val="00D077CA"/>
    <w:rsid w:val="00D0796D"/>
    <w:rsid w:val="00D07A4F"/>
    <w:rsid w:val="00D07AEC"/>
    <w:rsid w:val="00D07B3C"/>
    <w:rsid w:val="00D07BAD"/>
    <w:rsid w:val="00D07BE9"/>
    <w:rsid w:val="00D07C02"/>
    <w:rsid w:val="00D07C37"/>
    <w:rsid w:val="00D07C68"/>
    <w:rsid w:val="00D07DD7"/>
    <w:rsid w:val="00D07E51"/>
    <w:rsid w:val="00D07EA9"/>
    <w:rsid w:val="00D100CE"/>
    <w:rsid w:val="00D1012E"/>
    <w:rsid w:val="00D1017C"/>
    <w:rsid w:val="00D101CE"/>
    <w:rsid w:val="00D10259"/>
    <w:rsid w:val="00D10353"/>
    <w:rsid w:val="00D10399"/>
    <w:rsid w:val="00D103AF"/>
    <w:rsid w:val="00D103C7"/>
    <w:rsid w:val="00D103D4"/>
    <w:rsid w:val="00D104A4"/>
    <w:rsid w:val="00D104DE"/>
    <w:rsid w:val="00D105B3"/>
    <w:rsid w:val="00D10722"/>
    <w:rsid w:val="00D107DB"/>
    <w:rsid w:val="00D10826"/>
    <w:rsid w:val="00D10875"/>
    <w:rsid w:val="00D10900"/>
    <w:rsid w:val="00D10924"/>
    <w:rsid w:val="00D10944"/>
    <w:rsid w:val="00D109AD"/>
    <w:rsid w:val="00D109EF"/>
    <w:rsid w:val="00D109F4"/>
    <w:rsid w:val="00D10ACA"/>
    <w:rsid w:val="00D10AEB"/>
    <w:rsid w:val="00D10B4A"/>
    <w:rsid w:val="00D10BAA"/>
    <w:rsid w:val="00D10C57"/>
    <w:rsid w:val="00D10D46"/>
    <w:rsid w:val="00D10E53"/>
    <w:rsid w:val="00D10E73"/>
    <w:rsid w:val="00D10F4A"/>
    <w:rsid w:val="00D10F66"/>
    <w:rsid w:val="00D10F6E"/>
    <w:rsid w:val="00D10F74"/>
    <w:rsid w:val="00D1101C"/>
    <w:rsid w:val="00D110CA"/>
    <w:rsid w:val="00D110DB"/>
    <w:rsid w:val="00D1116D"/>
    <w:rsid w:val="00D111B1"/>
    <w:rsid w:val="00D11276"/>
    <w:rsid w:val="00D11323"/>
    <w:rsid w:val="00D1132C"/>
    <w:rsid w:val="00D11562"/>
    <w:rsid w:val="00D115AC"/>
    <w:rsid w:val="00D115D8"/>
    <w:rsid w:val="00D11748"/>
    <w:rsid w:val="00D11851"/>
    <w:rsid w:val="00D11BB5"/>
    <w:rsid w:val="00D11BEC"/>
    <w:rsid w:val="00D11CD4"/>
    <w:rsid w:val="00D11E2B"/>
    <w:rsid w:val="00D11E7A"/>
    <w:rsid w:val="00D11FFD"/>
    <w:rsid w:val="00D1214B"/>
    <w:rsid w:val="00D1226C"/>
    <w:rsid w:val="00D122A7"/>
    <w:rsid w:val="00D122D8"/>
    <w:rsid w:val="00D122E5"/>
    <w:rsid w:val="00D12313"/>
    <w:rsid w:val="00D12441"/>
    <w:rsid w:val="00D12472"/>
    <w:rsid w:val="00D124FB"/>
    <w:rsid w:val="00D12517"/>
    <w:rsid w:val="00D1254C"/>
    <w:rsid w:val="00D1266E"/>
    <w:rsid w:val="00D126DA"/>
    <w:rsid w:val="00D12705"/>
    <w:rsid w:val="00D1272F"/>
    <w:rsid w:val="00D128F5"/>
    <w:rsid w:val="00D1293C"/>
    <w:rsid w:val="00D12AC6"/>
    <w:rsid w:val="00D12B0E"/>
    <w:rsid w:val="00D12BB0"/>
    <w:rsid w:val="00D12BBA"/>
    <w:rsid w:val="00D12C7D"/>
    <w:rsid w:val="00D12CB1"/>
    <w:rsid w:val="00D12D76"/>
    <w:rsid w:val="00D12DAC"/>
    <w:rsid w:val="00D12E01"/>
    <w:rsid w:val="00D12E31"/>
    <w:rsid w:val="00D12E59"/>
    <w:rsid w:val="00D12E78"/>
    <w:rsid w:val="00D12EB4"/>
    <w:rsid w:val="00D12F3D"/>
    <w:rsid w:val="00D130EF"/>
    <w:rsid w:val="00D131B5"/>
    <w:rsid w:val="00D134B9"/>
    <w:rsid w:val="00D1350C"/>
    <w:rsid w:val="00D13558"/>
    <w:rsid w:val="00D135F6"/>
    <w:rsid w:val="00D136D4"/>
    <w:rsid w:val="00D13710"/>
    <w:rsid w:val="00D13749"/>
    <w:rsid w:val="00D13753"/>
    <w:rsid w:val="00D137DA"/>
    <w:rsid w:val="00D13865"/>
    <w:rsid w:val="00D1387D"/>
    <w:rsid w:val="00D139E2"/>
    <w:rsid w:val="00D13A44"/>
    <w:rsid w:val="00D13A88"/>
    <w:rsid w:val="00D13BF4"/>
    <w:rsid w:val="00D13CAD"/>
    <w:rsid w:val="00D13DD2"/>
    <w:rsid w:val="00D13DDC"/>
    <w:rsid w:val="00D13DF3"/>
    <w:rsid w:val="00D13E7B"/>
    <w:rsid w:val="00D13F03"/>
    <w:rsid w:val="00D13F4A"/>
    <w:rsid w:val="00D13F94"/>
    <w:rsid w:val="00D13FCE"/>
    <w:rsid w:val="00D140A8"/>
    <w:rsid w:val="00D140CD"/>
    <w:rsid w:val="00D14107"/>
    <w:rsid w:val="00D14200"/>
    <w:rsid w:val="00D14392"/>
    <w:rsid w:val="00D1443C"/>
    <w:rsid w:val="00D14483"/>
    <w:rsid w:val="00D14509"/>
    <w:rsid w:val="00D1465E"/>
    <w:rsid w:val="00D146AD"/>
    <w:rsid w:val="00D146F8"/>
    <w:rsid w:val="00D1471F"/>
    <w:rsid w:val="00D147DB"/>
    <w:rsid w:val="00D14818"/>
    <w:rsid w:val="00D14824"/>
    <w:rsid w:val="00D14888"/>
    <w:rsid w:val="00D14A14"/>
    <w:rsid w:val="00D14AD9"/>
    <w:rsid w:val="00D14B83"/>
    <w:rsid w:val="00D14BC6"/>
    <w:rsid w:val="00D14C48"/>
    <w:rsid w:val="00D14D14"/>
    <w:rsid w:val="00D14D5B"/>
    <w:rsid w:val="00D14D91"/>
    <w:rsid w:val="00D14DBC"/>
    <w:rsid w:val="00D14E4C"/>
    <w:rsid w:val="00D14E59"/>
    <w:rsid w:val="00D14EC0"/>
    <w:rsid w:val="00D14FAE"/>
    <w:rsid w:val="00D14FD3"/>
    <w:rsid w:val="00D15005"/>
    <w:rsid w:val="00D1510B"/>
    <w:rsid w:val="00D15176"/>
    <w:rsid w:val="00D15257"/>
    <w:rsid w:val="00D153A4"/>
    <w:rsid w:val="00D154C4"/>
    <w:rsid w:val="00D1573C"/>
    <w:rsid w:val="00D15757"/>
    <w:rsid w:val="00D15759"/>
    <w:rsid w:val="00D157F8"/>
    <w:rsid w:val="00D15912"/>
    <w:rsid w:val="00D159E4"/>
    <w:rsid w:val="00D15A70"/>
    <w:rsid w:val="00D15A82"/>
    <w:rsid w:val="00D15AA5"/>
    <w:rsid w:val="00D15ADB"/>
    <w:rsid w:val="00D15BFC"/>
    <w:rsid w:val="00D15D79"/>
    <w:rsid w:val="00D15E1B"/>
    <w:rsid w:val="00D15E82"/>
    <w:rsid w:val="00D15E98"/>
    <w:rsid w:val="00D15F83"/>
    <w:rsid w:val="00D16140"/>
    <w:rsid w:val="00D16147"/>
    <w:rsid w:val="00D16171"/>
    <w:rsid w:val="00D16252"/>
    <w:rsid w:val="00D162B2"/>
    <w:rsid w:val="00D1644C"/>
    <w:rsid w:val="00D16453"/>
    <w:rsid w:val="00D164E5"/>
    <w:rsid w:val="00D165C4"/>
    <w:rsid w:val="00D165E9"/>
    <w:rsid w:val="00D166B4"/>
    <w:rsid w:val="00D166E1"/>
    <w:rsid w:val="00D16801"/>
    <w:rsid w:val="00D16974"/>
    <w:rsid w:val="00D1698B"/>
    <w:rsid w:val="00D169AF"/>
    <w:rsid w:val="00D169B9"/>
    <w:rsid w:val="00D169C8"/>
    <w:rsid w:val="00D16B06"/>
    <w:rsid w:val="00D16B54"/>
    <w:rsid w:val="00D16BA1"/>
    <w:rsid w:val="00D16BD4"/>
    <w:rsid w:val="00D16D8A"/>
    <w:rsid w:val="00D16D8D"/>
    <w:rsid w:val="00D16ED2"/>
    <w:rsid w:val="00D1707F"/>
    <w:rsid w:val="00D17137"/>
    <w:rsid w:val="00D1721E"/>
    <w:rsid w:val="00D17370"/>
    <w:rsid w:val="00D17471"/>
    <w:rsid w:val="00D1748C"/>
    <w:rsid w:val="00D174AF"/>
    <w:rsid w:val="00D174FE"/>
    <w:rsid w:val="00D1756C"/>
    <w:rsid w:val="00D178E6"/>
    <w:rsid w:val="00D1792D"/>
    <w:rsid w:val="00D17985"/>
    <w:rsid w:val="00D17AD4"/>
    <w:rsid w:val="00D17B02"/>
    <w:rsid w:val="00D17BE6"/>
    <w:rsid w:val="00D17CCC"/>
    <w:rsid w:val="00D17DEB"/>
    <w:rsid w:val="00D17E07"/>
    <w:rsid w:val="00D17EFB"/>
    <w:rsid w:val="00D17F78"/>
    <w:rsid w:val="00D17F93"/>
    <w:rsid w:val="00D2002B"/>
    <w:rsid w:val="00D20031"/>
    <w:rsid w:val="00D2008B"/>
    <w:rsid w:val="00D20188"/>
    <w:rsid w:val="00D202FB"/>
    <w:rsid w:val="00D20506"/>
    <w:rsid w:val="00D2052A"/>
    <w:rsid w:val="00D20555"/>
    <w:rsid w:val="00D2057C"/>
    <w:rsid w:val="00D20605"/>
    <w:rsid w:val="00D206D9"/>
    <w:rsid w:val="00D20752"/>
    <w:rsid w:val="00D207A9"/>
    <w:rsid w:val="00D2083A"/>
    <w:rsid w:val="00D20855"/>
    <w:rsid w:val="00D208E7"/>
    <w:rsid w:val="00D20A41"/>
    <w:rsid w:val="00D20A77"/>
    <w:rsid w:val="00D20A99"/>
    <w:rsid w:val="00D20BB5"/>
    <w:rsid w:val="00D20BF7"/>
    <w:rsid w:val="00D20C1D"/>
    <w:rsid w:val="00D20C44"/>
    <w:rsid w:val="00D20C82"/>
    <w:rsid w:val="00D20CD4"/>
    <w:rsid w:val="00D20D16"/>
    <w:rsid w:val="00D20D18"/>
    <w:rsid w:val="00D20DAF"/>
    <w:rsid w:val="00D20DE3"/>
    <w:rsid w:val="00D20E39"/>
    <w:rsid w:val="00D20E72"/>
    <w:rsid w:val="00D21046"/>
    <w:rsid w:val="00D2109B"/>
    <w:rsid w:val="00D211A0"/>
    <w:rsid w:val="00D21272"/>
    <w:rsid w:val="00D212FD"/>
    <w:rsid w:val="00D213B3"/>
    <w:rsid w:val="00D2144F"/>
    <w:rsid w:val="00D21582"/>
    <w:rsid w:val="00D215FD"/>
    <w:rsid w:val="00D21675"/>
    <w:rsid w:val="00D216DD"/>
    <w:rsid w:val="00D2171A"/>
    <w:rsid w:val="00D2172C"/>
    <w:rsid w:val="00D2183B"/>
    <w:rsid w:val="00D2199B"/>
    <w:rsid w:val="00D219BC"/>
    <w:rsid w:val="00D21A16"/>
    <w:rsid w:val="00D21C58"/>
    <w:rsid w:val="00D21CA8"/>
    <w:rsid w:val="00D21CD0"/>
    <w:rsid w:val="00D21D93"/>
    <w:rsid w:val="00D21E19"/>
    <w:rsid w:val="00D21E75"/>
    <w:rsid w:val="00D21F48"/>
    <w:rsid w:val="00D2212A"/>
    <w:rsid w:val="00D22153"/>
    <w:rsid w:val="00D221F3"/>
    <w:rsid w:val="00D22248"/>
    <w:rsid w:val="00D222A7"/>
    <w:rsid w:val="00D2234A"/>
    <w:rsid w:val="00D223DC"/>
    <w:rsid w:val="00D22445"/>
    <w:rsid w:val="00D2245D"/>
    <w:rsid w:val="00D22824"/>
    <w:rsid w:val="00D22984"/>
    <w:rsid w:val="00D229A2"/>
    <w:rsid w:val="00D22ABA"/>
    <w:rsid w:val="00D22B2E"/>
    <w:rsid w:val="00D22B50"/>
    <w:rsid w:val="00D22B99"/>
    <w:rsid w:val="00D22BAA"/>
    <w:rsid w:val="00D22C8F"/>
    <w:rsid w:val="00D22D8C"/>
    <w:rsid w:val="00D22E70"/>
    <w:rsid w:val="00D22F5E"/>
    <w:rsid w:val="00D22F61"/>
    <w:rsid w:val="00D22F70"/>
    <w:rsid w:val="00D22F7E"/>
    <w:rsid w:val="00D230BB"/>
    <w:rsid w:val="00D230EE"/>
    <w:rsid w:val="00D23101"/>
    <w:rsid w:val="00D23139"/>
    <w:rsid w:val="00D231C7"/>
    <w:rsid w:val="00D232AB"/>
    <w:rsid w:val="00D232E5"/>
    <w:rsid w:val="00D23405"/>
    <w:rsid w:val="00D2344C"/>
    <w:rsid w:val="00D2348E"/>
    <w:rsid w:val="00D234D1"/>
    <w:rsid w:val="00D234E5"/>
    <w:rsid w:val="00D23585"/>
    <w:rsid w:val="00D235EA"/>
    <w:rsid w:val="00D237F0"/>
    <w:rsid w:val="00D23848"/>
    <w:rsid w:val="00D238F6"/>
    <w:rsid w:val="00D23962"/>
    <w:rsid w:val="00D23983"/>
    <w:rsid w:val="00D239C6"/>
    <w:rsid w:val="00D23A22"/>
    <w:rsid w:val="00D23AA6"/>
    <w:rsid w:val="00D23BC7"/>
    <w:rsid w:val="00D23C70"/>
    <w:rsid w:val="00D23C7A"/>
    <w:rsid w:val="00D23C84"/>
    <w:rsid w:val="00D23CA1"/>
    <w:rsid w:val="00D23D16"/>
    <w:rsid w:val="00D23E3B"/>
    <w:rsid w:val="00D23E73"/>
    <w:rsid w:val="00D24002"/>
    <w:rsid w:val="00D24015"/>
    <w:rsid w:val="00D24034"/>
    <w:rsid w:val="00D2419F"/>
    <w:rsid w:val="00D241C9"/>
    <w:rsid w:val="00D241E0"/>
    <w:rsid w:val="00D2420D"/>
    <w:rsid w:val="00D24256"/>
    <w:rsid w:val="00D242B2"/>
    <w:rsid w:val="00D242FC"/>
    <w:rsid w:val="00D2431D"/>
    <w:rsid w:val="00D24385"/>
    <w:rsid w:val="00D243BA"/>
    <w:rsid w:val="00D246BB"/>
    <w:rsid w:val="00D246D1"/>
    <w:rsid w:val="00D24741"/>
    <w:rsid w:val="00D2474C"/>
    <w:rsid w:val="00D2481D"/>
    <w:rsid w:val="00D24863"/>
    <w:rsid w:val="00D248CE"/>
    <w:rsid w:val="00D248EF"/>
    <w:rsid w:val="00D24935"/>
    <w:rsid w:val="00D2495B"/>
    <w:rsid w:val="00D24A38"/>
    <w:rsid w:val="00D24A4D"/>
    <w:rsid w:val="00D24CF5"/>
    <w:rsid w:val="00D24D7A"/>
    <w:rsid w:val="00D24DF7"/>
    <w:rsid w:val="00D24DFF"/>
    <w:rsid w:val="00D24F89"/>
    <w:rsid w:val="00D24FC9"/>
    <w:rsid w:val="00D250E0"/>
    <w:rsid w:val="00D250E9"/>
    <w:rsid w:val="00D2515D"/>
    <w:rsid w:val="00D25201"/>
    <w:rsid w:val="00D25362"/>
    <w:rsid w:val="00D25370"/>
    <w:rsid w:val="00D25455"/>
    <w:rsid w:val="00D25515"/>
    <w:rsid w:val="00D25536"/>
    <w:rsid w:val="00D255B6"/>
    <w:rsid w:val="00D25641"/>
    <w:rsid w:val="00D256DA"/>
    <w:rsid w:val="00D256E4"/>
    <w:rsid w:val="00D256E9"/>
    <w:rsid w:val="00D25719"/>
    <w:rsid w:val="00D25727"/>
    <w:rsid w:val="00D257A3"/>
    <w:rsid w:val="00D25870"/>
    <w:rsid w:val="00D259C7"/>
    <w:rsid w:val="00D259F0"/>
    <w:rsid w:val="00D259F3"/>
    <w:rsid w:val="00D25AB3"/>
    <w:rsid w:val="00D25B21"/>
    <w:rsid w:val="00D25C30"/>
    <w:rsid w:val="00D25CAB"/>
    <w:rsid w:val="00D25CD6"/>
    <w:rsid w:val="00D25D14"/>
    <w:rsid w:val="00D25DAA"/>
    <w:rsid w:val="00D25E81"/>
    <w:rsid w:val="00D25EBC"/>
    <w:rsid w:val="00D25F1B"/>
    <w:rsid w:val="00D25F5E"/>
    <w:rsid w:val="00D26050"/>
    <w:rsid w:val="00D261CD"/>
    <w:rsid w:val="00D261FA"/>
    <w:rsid w:val="00D26289"/>
    <w:rsid w:val="00D26312"/>
    <w:rsid w:val="00D2633A"/>
    <w:rsid w:val="00D263C5"/>
    <w:rsid w:val="00D2646D"/>
    <w:rsid w:val="00D26549"/>
    <w:rsid w:val="00D2657D"/>
    <w:rsid w:val="00D26710"/>
    <w:rsid w:val="00D267A4"/>
    <w:rsid w:val="00D26844"/>
    <w:rsid w:val="00D269E6"/>
    <w:rsid w:val="00D26A51"/>
    <w:rsid w:val="00D26B4C"/>
    <w:rsid w:val="00D26BD8"/>
    <w:rsid w:val="00D26BE2"/>
    <w:rsid w:val="00D26C9C"/>
    <w:rsid w:val="00D26DD5"/>
    <w:rsid w:val="00D26E5E"/>
    <w:rsid w:val="00D26E74"/>
    <w:rsid w:val="00D26EEC"/>
    <w:rsid w:val="00D26F2A"/>
    <w:rsid w:val="00D27018"/>
    <w:rsid w:val="00D2704A"/>
    <w:rsid w:val="00D2712E"/>
    <w:rsid w:val="00D27197"/>
    <w:rsid w:val="00D2732E"/>
    <w:rsid w:val="00D27348"/>
    <w:rsid w:val="00D27429"/>
    <w:rsid w:val="00D2754E"/>
    <w:rsid w:val="00D275F3"/>
    <w:rsid w:val="00D2762B"/>
    <w:rsid w:val="00D2768A"/>
    <w:rsid w:val="00D2772B"/>
    <w:rsid w:val="00D277B6"/>
    <w:rsid w:val="00D279D3"/>
    <w:rsid w:val="00D279DE"/>
    <w:rsid w:val="00D27A21"/>
    <w:rsid w:val="00D27AC1"/>
    <w:rsid w:val="00D27B9B"/>
    <w:rsid w:val="00D27BA6"/>
    <w:rsid w:val="00D27C40"/>
    <w:rsid w:val="00D27D11"/>
    <w:rsid w:val="00D27DBF"/>
    <w:rsid w:val="00D27F4F"/>
    <w:rsid w:val="00D2D685"/>
    <w:rsid w:val="00D30137"/>
    <w:rsid w:val="00D3037A"/>
    <w:rsid w:val="00D30381"/>
    <w:rsid w:val="00D303D3"/>
    <w:rsid w:val="00D30453"/>
    <w:rsid w:val="00D305D6"/>
    <w:rsid w:val="00D307A8"/>
    <w:rsid w:val="00D307CD"/>
    <w:rsid w:val="00D3086E"/>
    <w:rsid w:val="00D3094F"/>
    <w:rsid w:val="00D30ABC"/>
    <w:rsid w:val="00D30ADB"/>
    <w:rsid w:val="00D30ADF"/>
    <w:rsid w:val="00D30B5B"/>
    <w:rsid w:val="00D30B60"/>
    <w:rsid w:val="00D30BC9"/>
    <w:rsid w:val="00D30BF5"/>
    <w:rsid w:val="00D30C48"/>
    <w:rsid w:val="00D30E3A"/>
    <w:rsid w:val="00D310FC"/>
    <w:rsid w:val="00D31115"/>
    <w:rsid w:val="00D3111E"/>
    <w:rsid w:val="00D313B3"/>
    <w:rsid w:val="00D3141B"/>
    <w:rsid w:val="00D315D4"/>
    <w:rsid w:val="00D31695"/>
    <w:rsid w:val="00D316CD"/>
    <w:rsid w:val="00D316E2"/>
    <w:rsid w:val="00D31703"/>
    <w:rsid w:val="00D31746"/>
    <w:rsid w:val="00D31750"/>
    <w:rsid w:val="00D31772"/>
    <w:rsid w:val="00D31794"/>
    <w:rsid w:val="00D317E0"/>
    <w:rsid w:val="00D31840"/>
    <w:rsid w:val="00D31950"/>
    <w:rsid w:val="00D319B2"/>
    <w:rsid w:val="00D319CE"/>
    <w:rsid w:val="00D31A84"/>
    <w:rsid w:val="00D31B41"/>
    <w:rsid w:val="00D31B49"/>
    <w:rsid w:val="00D31B71"/>
    <w:rsid w:val="00D31C30"/>
    <w:rsid w:val="00D31C63"/>
    <w:rsid w:val="00D31D90"/>
    <w:rsid w:val="00D31EA1"/>
    <w:rsid w:val="00D31EB8"/>
    <w:rsid w:val="00D31EF9"/>
    <w:rsid w:val="00D31FDB"/>
    <w:rsid w:val="00D31FF2"/>
    <w:rsid w:val="00D3206A"/>
    <w:rsid w:val="00D32198"/>
    <w:rsid w:val="00D321EC"/>
    <w:rsid w:val="00D3233B"/>
    <w:rsid w:val="00D32374"/>
    <w:rsid w:val="00D323A7"/>
    <w:rsid w:val="00D32490"/>
    <w:rsid w:val="00D32526"/>
    <w:rsid w:val="00D32551"/>
    <w:rsid w:val="00D325C0"/>
    <w:rsid w:val="00D3265E"/>
    <w:rsid w:val="00D326C1"/>
    <w:rsid w:val="00D32708"/>
    <w:rsid w:val="00D32826"/>
    <w:rsid w:val="00D3292B"/>
    <w:rsid w:val="00D3295E"/>
    <w:rsid w:val="00D32A0D"/>
    <w:rsid w:val="00D32B25"/>
    <w:rsid w:val="00D32B27"/>
    <w:rsid w:val="00D32C00"/>
    <w:rsid w:val="00D32C10"/>
    <w:rsid w:val="00D32C6D"/>
    <w:rsid w:val="00D32D4A"/>
    <w:rsid w:val="00D32DA9"/>
    <w:rsid w:val="00D32DB4"/>
    <w:rsid w:val="00D32E3F"/>
    <w:rsid w:val="00D32E58"/>
    <w:rsid w:val="00D32E61"/>
    <w:rsid w:val="00D3300C"/>
    <w:rsid w:val="00D330FE"/>
    <w:rsid w:val="00D331F4"/>
    <w:rsid w:val="00D33391"/>
    <w:rsid w:val="00D33400"/>
    <w:rsid w:val="00D335B8"/>
    <w:rsid w:val="00D336C5"/>
    <w:rsid w:val="00D33712"/>
    <w:rsid w:val="00D33771"/>
    <w:rsid w:val="00D337EF"/>
    <w:rsid w:val="00D3381C"/>
    <w:rsid w:val="00D3393B"/>
    <w:rsid w:val="00D3398D"/>
    <w:rsid w:val="00D33A06"/>
    <w:rsid w:val="00D33A3D"/>
    <w:rsid w:val="00D33A6F"/>
    <w:rsid w:val="00D33A79"/>
    <w:rsid w:val="00D33AB2"/>
    <w:rsid w:val="00D33ACB"/>
    <w:rsid w:val="00D33DFA"/>
    <w:rsid w:val="00D33F02"/>
    <w:rsid w:val="00D34029"/>
    <w:rsid w:val="00D34037"/>
    <w:rsid w:val="00D34058"/>
    <w:rsid w:val="00D340BD"/>
    <w:rsid w:val="00D341F6"/>
    <w:rsid w:val="00D342B8"/>
    <w:rsid w:val="00D343E5"/>
    <w:rsid w:val="00D343ED"/>
    <w:rsid w:val="00D3445F"/>
    <w:rsid w:val="00D344AF"/>
    <w:rsid w:val="00D344BF"/>
    <w:rsid w:val="00D34526"/>
    <w:rsid w:val="00D3457A"/>
    <w:rsid w:val="00D345B5"/>
    <w:rsid w:val="00D34645"/>
    <w:rsid w:val="00D3471A"/>
    <w:rsid w:val="00D347E6"/>
    <w:rsid w:val="00D34841"/>
    <w:rsid w:val="00D34844"/>
    <w:rsid w:val="00D348BC"/>
    <w:rsid w:val="00D34962"/>
    <w:rsid w:val="00D34963"/>
    <w:rsid w:val="00D34AE4"/>
    <w:rsid w:val="00D34BA8"/>
    <w:rsid w:val="00D34BDD"/>
    <w:rsid w:val="00D34C79"/>
    <w:rsid w:val="00D34C91"/>
    <w:rsid w:val="00D34CEC"/>
    <w:rsid w:val="00D34D7E"/>
    <w:rsid w:val="00D34D8A"/>
    <w:rsid w:val="00D34E47"/>
    <w:rsid w:val="00D34EB0"/>
    <w:rsid w:val="00D34EE2"/>
    <w:rsid w:val="00D34EE9"/>
    <w:rsid w:val="00D34F39"/>
    <w:rsid w:val="00D34FDF"/>
    <w:rsid w:val="00D350A1"/>
    <w:rsid w:val="00D35109"/>
    <w:rsid w:val="00D3510E"/>
    <w:rsid w:val="00D3511A"/>
    <w:rsid w:val="00D3513E"/>
    <w:rsid w:val="00D351DD"/>
    <w:rsid w:val="00D3520D"/>
    <w:rsid w:val="00D353D9"/>
    <w:rsid w:val="00D353ED"/>
    <w:rsid w:val="00D3546C"/>
    <w:rsid w:val="00D35566"/>
    <w:rsid w:val="00D3556A"/>
    <w:rsid w:val="00D35581"/>
    <w:rsid w:val="00D355B0"/>
    <w:rsid w:val="00D35606"/>
    <w:rsid w:val="00D35623"/>
    <w:rsid w:val="00D357B5"/>
    <w:rsid w:val="00D357E9"/>
    <w:rsid w:val="00D357EF"/>
    <w:rsid w:val="00D35834"/>
    <w:rsid w:val="00D35898"/>
    <w:rsid w:val="00D358C1"/>
    <w:rsid w:val="00D358F5"/>
    <w:rsid w:val="00D358F7"/>
    <w:rsid w:val="00D358FE"/>
    <w:rsid w:val="00D3593F"/>
    <w:rsid w:val="00D3598F"/>
    <w:rsid w:val="00D359AD"/>
    <w:rsid w:val="00D359C5"/>
    <w:rsid w:val="00D359E3"/>
    <w:rsid w:val="00D35AA0"/>
    <w:rsid w:val="00D35B09"/>
    <w:rsid w:val="00D35B2E"/>
    <w:rsid w:val="00D35BB1"/>
    <w:rsid w:val="00D35C96"/>
    <w:rsid w:val="00D35CDC"/>
    <w:rsid w:val="00D35CED"/>
    <w:rsid w:val="00D35D8D"/>
    <w:rsid w:val="00D35E44"/>
    <w:rsid w:val="00D35EEC"/>
    <w:rsid w:val="00D35F71"/>
    <w:rsid w:val="00D35F7F"/>
    <w:rsid w:val="00D35FBF"/>
    <w:rsid w:val="00D360C4"/>
    <w:rsid w:val="00D3617B"/>
    <w:rsid w:val="00D361A7"/>
    <w:rsid w:val="00D36249"/>
    <w:rsid w:val="00D36340"/>
    <w:rsid w:val="00D36376"/>
    <w:rsid w:val="00D3639A"/>
    <w:rsid w:val="00D36427"/>
    <w:rsid w:val="00D364B6"/>
    <w:rsid w:val="00D36558"/>
    <w:rsid w:val="00D3656C"/>
    <w:rsid w:val="00D365F6"/>
    <w:rsid w:val="00D36626"/>
    <w:rsid w:val="00D3667E"/>
    <w:rsid w:val="00D366CB"/>
    <w:rsid w:val="00D36841"/>
    <w:rsid w:val="00D36871"/>
    <w:rsid w:val="00D36A11"/>
    <w:rsid w:val="00D36AC3"/>
    <w:rsid w:val="00D36ADA"/>
    <w:rsid w:val="00D36B69"/>
    <w:rsid w:val="00D36C37"/>
    <w:rsid w:val="00D36CF3"/>
    <w:rsid w:val="00D36D74"/>
    <w:rsid w:val="00D36DAA"/>
    <w:rsid w:val="00D36DCB"/>
    <w:rsid w:val="00D36E67"/>
    <w:rsid w:val="00D36E8C"/>
    <w:rsid w:val="00D3700F"/>
    <w:rsid w:val="00D3703C"/>
    <w:rsid w:val="00D370ED"/>
    <w:rsid w:val="00D37102"/>
    <w:rsid w:val="00D3710A"/>
    <w:rsid w:val="00D37132"/>
    <w:rsid w:val="00D373C0"/>
    <w:rsid w:val="00D37480"/>
    <w:rsid w:val="00D37495"/>
    <w:rsid w:val="00D374B6"/>
    <w:rsid w:val="00D37711"/>
    <w:rsid w:val="00D377E3"/>
    <w:rsid w:val="00D37881"/>
    <w:rsid w:val="00D37921"/>
    <w:rsid w:val="00D3793A"/>
    <w:rsid w:val="00D37A0B"/>
    <w:rsid w:val="00D37A4B"/>
    <w:rsid w:val="00D37A81"/>
    <w:rsid w:val="00D37A98"/>
    <w:rsid w:val="00D37B28"/>
    <w:rsid w:val="00D37C32"/>
    <w:rsid w:val="00D37C95"/>
    <w:rsid w:val="00D37CB8"/>
    <w:rsid w:val="00D37CED"/>
    <w:rsid w:val="00D37DB3"/>
    <w:rsid w:val="00D37E2D"/>
    <w:rsid w:val="00D37EF5"/>
    <w:rsid w:val="00D37F6E"/>
    <w:rsid w:val="00D37F86"/>
    <w:rsid w:val="00D37FD1"/>
    <w:rsid w:val="00D4036E"/>
    <w:rsid w:val="00D403D1"/>
    <w:rsid w:val="00D403D8"/>
    <w:rsid w:val="00D40426"/>
    <w:rsid w:val="00D40448"/>
    <w:rsid w:val="00D40469"/>
    <w:rsid w:val="00D40492"/>
    <w:rsid w:val="00D4058A"/>
    <w:rsid w:val="00D405FD"/>
    <w:rsid w:val="00D40648"/>
    <w:rsid w:val="00D406BA"/>
    <w:rsid w:val="00D406E4"/>
    <w:rsid w:val="00D4076F"/>
    <w:rsid w:val="00D407B7"/>
    <w:rsid w:val="00D4084A"/>
    <w:rsid w:val="00D409DC"/>
    <w:rsid w:val="00D409E6"/>
    <w:rsid w:val="00D40A54"/>
    <w:rsid w:val="00D40A9F"/>
    <w:rsid w:val="00D40B14"/>
    <w:rsid w:val="00D40B43"/>
    <w:rsid w:val="00D40BF9"/>
    <w:rsid w:val="00D40C45"/>
    <w:rsid w:val="00D40C9F"/>
    <w:rsid w:val="00D40CD4"/>
    <w:rsid w:val="00D40D02"/>
    <w:rsid w:val="00D40E59"/>
    <w:rsid w:val="00D40E94"/>
    <w:rsid w:val="00D40F22"/>
    <w:rsid w:val="00D4100F"/>
    <w:rsid w:val="00D41326"/>
    <w:rsid w:val="00D413B4"/>
    <w:rsid w:val="00D41475"/>
    <w:rsid w:val="00D41499"/>
    <w:rsid w:val="00D415A6"/>
    <w:rsid w:val="00D416A1"/>
    <w:rsid w:val="00D41753"/>
    <w:rsid w:val="00D4176E"/>
    <w:rsid w:val="00D417BB"/>
    <w:rsid w:val="00D417EE"/>
    <w:rsid w:val="00D41869"/>
    <w:rsid w:val="00D4195F"/>
    <w:rsid w:val="00D419C9"/>
    <w:rsid w:val="00D419E9"/>
    <w:rsid w:val="00D41A09"/>
    <w:rsid w:val="00D41A1D"/>
    <w:rsid w:val="00D41A7B"/>
    <w:rsid w:val="00D41AA6"/>
    <w:rsid w:val="00D41AB4"/>
    <w:rsid w:val="00D41AB9"/>
    <w:rsid w:val="00D41AE3"/>
    <w:rsid w:val="00D41E1D"/>
    <w:rsid w:val="00D41E7A"/>
    <w:rsid w:val="00D41F41"/>
    <w:rsid w:val="00D41FCC"/>
    <w:rsid w:val="00D4204B"/>
    <w:rsid w:val="00D420BB"/>
    <w:rsid w:val="00D4210F"/>
    <w:rsid w:val="00D42113"/>
    <w:rsid w:val="00D42291"/>
    <w:rsid w:val="00D42317"/>
    <w:rsid w:val="00D42322"/>
    <w:rsid w:val="00D42387"/>
    <w:rsid w:val="00D4239B"/>
    <w:rsid w:val="00D4244B"/>
    <w:rsid w:val="00D425BA"/>
    <w:rsid w:val="00D428B9"/>
    <w:rsid w:val="00D429C3"/>
    <w:rsid w:val="00D42AC0"/>
    <w:rsid w:val="00D42C39"/>
    <w:rsid w:val="00D42CEB"/>
    <w:rsid w:val="00D42CEC"/>
    <w:rsid w:val="00D42D62"/>
    <w:rsid w:val="00D42D6D"/>
    <w:rsid w:val="00D42FD6"/>
    <w:rsid w:val="00D430FD"/>
    <w:rsid w:val="00D4311A"/>
    <w:rsid w:val="00D431EB"/>
    <w:rsid w:val="00D43246"/>
    <w:rsid w:val="00D43271"/>
    <w:rsid w:val="00D4330A"/>
    <w:rsid w:val="00D43315"/>
    <w:rsid w:val="00D43526"/>
    <w:rsid w:val="00D43555"/>
    <w:rsid w:val="00D43571"/>
    <w:rsid w:val="00D4358C"/>
    <w:rsid w:val="00D435E7"/>
    <w:rsid w:val="00D435F4"/>
    <w:rsid w:val="00D4368C"/>
    <w:rsid w:val="00D436D8"/>
    <w:rsid w:val="00D4371C"/>
    <w:rsid w:val="00D43754"/>
    <w:rsid w:val="00D437A8"/>
    <w:rsid w:val="00D4382D"/>
    <w:rsid w:val="00D439C8"/>
    <w:rsid w:val="00D43B9A"/>
    <w:rsid w:val="00D43BB2"/>
    <w:rsid w:val="00D43BCD"/>
    <w:rsid w:val="00D43D16"/>
    <w:rsid w:val="00D43DD4"/>
    <w:rsid w:val="00D44032"/>
    <w:rsid w:val="00D441BB"/>
    <w:rsid w:val="00D44266"/>
    <w:rsid w:val="00D4434B"/>
    <w:rsid w:val="00D443A4"/>
    <w:rsid w:val="00D44463"/>
    <w:rsid w:val="00D444EA"/>
    <w:rsid w:val="00D444F0"/>
    <w:rsid w:val="00D44556"/>
    <w:rsid w:val="00D4459E"/>
    <w:rsid w:val="00D445CE"/>
    <w:rsid w:val="00D44618"/>
    <w:rsid w:val="00D44633"/>
    <w:rsid w:val="00D44708"/>
    <w:rsid w:val="00D4472A"/>
    <w:rsid w:val="00D44781"/>
    <w:rsid w:val="00D44799"/>
    <w:rsid w:val="00D44949"/>
    <w:rsid w:val="00D449E8"/>
    <w:rsid w:val="00D44A47"/>
    <w:rsid w:val="00D44B71"/>
    <w:rsid w:val="00D44BC3"/>
    <w:rsid w:val="00D44BF1"/>
    <w:rsid w:val="00D44D89"/>
    <w:rsid w:val="00D44DB7"/>
    <w:rsid w:val="00D4500F"/>
    <w:rsid w:val="00D45275"/>
    <w:rsid w:val="00D45500"/>
    <w:rsid w:val="00D4561D"/>
    <w:rsid w:val="00D45644"/>
    <w:rsid w:val="00D45750"/>
    <w:rsid w:val="00D457EA"/>
    <w:rsid w:val="00D458FC"/>
    <w:rsid w:val="00D45920"/>
    <w:rsid w:val="00D459B4"/>
    <w:rsid w:val="00D45B6C"/>
    <w:rsid w:val="00D45B74"/>
    <w:rsid w:val="00D45B90"/>
    <w:rsid w:val="00D45C0B"/>
    <w:rsid w:val="00D45C2F"/>
    <w:rsid w:val="00D45C42"/>
    <w:rsid w:val="00D45CE5"/>
    <w:rsid w:val="00D45D4D"/>
    <w:rsid w:val="00D45D64"/>
    <w:rsid w:val="00D45D75"/>
    <w:rsid w:val="00D45E2B"/>
    <w:rsid w:val="00D45F5B"/>
    <w:rsid w:val="00D460A2"/>
    <w:rsid w:val="00D460BA"/>
    <w:rsid w:val="00D4614A"/>
    <w:rsid w:val="00D461AE"/>
    <w:rsid w:val="00D462A2"/>
    <w:rsid w:val="00D462DB"/>
    <w:rsid w:val="00D463C5"/>
    <w:rsid w:val="00D4646F"/>
    <w:rsid w:val="00D46553"/>
    <w:rsid w:val="00D465AE"/>
    <w:rsid w:val="00D4665E"/>
    <w:rsid w:val="00D4665F"/>
    <w:rsid w:val="00D467D0"/>
    <w:rsid w:val="00D467EA"/>
    <w:rsid w:val="00D46926"/>
    <w:rsid w:val="00D46AA7"/>
    <w:rsid w:val="00D46AAD"/>
    <w:rsid w:val="00D46ACB"/>
    <w:rsid w:val="00D46B74"/>
    <w:rsid w:val="00D46B87"/>
    <w:rsid w:val="00D46BEB"/>
    <w:rsid w:val="00D46C25"/>
    <w:rsid w:val="00D46C40"/>
    <w:rsid w:val="00D46DB2"/>
    <w:rsid w:val="00D46DEB"/>
    <w:rsid w:val="00D46EF4"/>
    <w:rsid w:val="00D46EFA"/>
    <w:rsid w:val="00D46F09"/>
    <w:rsid w:val="00D4703A"/>
    <w:rsid w:val="00D4704B"/>
    <w:rsid w:val="00D4705A"/>
    <w:rsid w:val="00D4709D"/>
    <w:rsid w:val="00D47123"/>
    <w:rsid w:val="00D47160"/>
    <w:rsid w:val="00D47189"/>
    <w:rsid w:val="00D472E7"/>
    <w:rsid w:val="00D47342"/>
    <w:rsid w:val="00D4734E"/>
    <w:rsid w:val="00D47370"/>
    <w:rsid w:val="00D474D1"/>
    <w:rsid w:val="00D476DD"/>
    <w:rsid w:val="00D47707"/>
    <w:rsid w:val="00D47AB0"/>
    <w:rsid w:val="00D47ACB"/>
    <w:rsid w:val="00D47AF4"/>
    <w:rsid w:val="00D47B34"/>
    <w:rsid w:val="00D47CF1"/>
    <w:rsid w:val="00D47E00"/>
    <w:rsid w:val="00D47E39"/>
    <w:rsid w:val="00D47F37"/>
    <w:rsid w:val="00D5013C"/>
    <w:rsid w:val="00D50154"/>
    <w:rsid w:val="00D502AA"/>
    <w:rsid w:val="00D502B7"/>
    <w:rsid w:val="00D50562"/>
    <w:rsid w:val="00D505DF"/>
    <w:rsid w:val="00D5067A"/>
    <w:rsid w:val="00D506E2"/>
    <w:rsid w:val="00D506F0"/>
    <w:rsid w:val="00D506F1"/>
    <w:rsid w:val="00D50709"/>
    <w:rsid w:val="00D50732"/>
    <w:rsid w:val="00D508B5"/>
    <w:rsid w:val="00D5094C"/>
    <w:rsid w:val="00D50A21"/>
    <w:rsid w:val="00D50ACD"/>
    <w:rsid w:val="00D50C96"/>
    <w:rsid w:val="00D50CEF"/>
    <w:rsid w:val="00D50D28"/>
    <w:rsid w:val="00D50D32"/>
    <w:rsid w:val="00D50D64"/>
    <w:rsid w:val="00D50E20"/>
    <w:rsid w:val="00D50EEF"/>
    <w:rsid w:val="00D5100C"/>
    <w:rsid w:val="00D510FA"/>
    <w:rsid w:val="00D51194"/>
    <w:rsid w:val="00D511F1"/>
    <w:rsid w:val="00D51261"/>
    <w:rsid w:val="00D5129F"/>
    <w:rsid w:val="00D51300"/>
    <w:rsid w:val="00D51331"/>
    <w:rsid w:val="00D51350"/>
    <w:rsid w:val="00D51388"/>
    <w:rsid w:val="00D5140F"/>
    <w:rsid w:val="00D51501"/>
    <w:rsid w:val="00D51545"/>
    <w:rsid w:val="00D515EF"/>
    <w:rsid w:val="00D51640"/>
    <w:rsid w:val="00D516FE"/>
    <w:rsid w:val="00D51800"/>
    <w:rsid w:val="00D5183D"/>
    <w:rsid w:val="00D518B3"/>
    <w:rsid w:val="00D51998"/>
    <w:rsid w:val="00D519EC"/>
    <w:rsid w:val="00D51A11"/>
    <w:rsid w:val="00D51A66"/>
    <w:rsid w:val="00D51A97"/>
    <w:rsid w:val="00D51B1E"/>
    <w:rsid w:val="00D51B20"/>
    <w:rsid w:val="00D51BC8"/>
    <w:rsid w:val="00D51D79"/>
    <w:rsid w:val="00D51DB5"/>
    <w:rsid w:val="00D51DCA"/>
    <w:rsid w:val="00D51ED7"/>
    <w:rsid w:val="00D51F2D"/>
    <w:rsid w:val="00D5217E"/>
    <w:rsid w:val="00D52242"/>
    <w:rsid w:val="00D52362"/>
    <w:rsid w:val="00D523FB"/>
    <w:rsid w:val="00D52577"/>
    <w:rsid w:val="00D525DF"/>
    <w:rsid w:val="00D525FE"/>
    <w:rsid w:val="00D5260B"/>
    <w:rsid w:val="00D52611"/>
    <w:rsid w:val="00D526B9"/>
    <w:rsid w:val="00D526C5"/>
    <w:rsid w:val="00D526EE"/>
    <w:rsid w:val="00D5272C"/>
    <w:rsid w:val="00D5281B"/>
    <w:rsid w:val="00D528AE"/>
    <w:rsid w:val="00D5294F"/>
    <w:rsid w:val="00D5299B"/>
    <w:rsid w:val="00D52A48"/>
    <w:rsid w:val="00D52A70"/>
    <w:rsid w:val="00D52A9D"/>
    <w:rsid w:val="00D52B51"/>
    <w:rsid w:val="00D52B6C"/>
    <w:rsid w:val="00D52DDD"/>
    <w:rsid w:val="00D52E0D"/>
    <w:rsid w:val="00D52E54"/>
    <w:rsid w:val="00D52EDD"/>
    <w:rsid w:val="00D52F1A"/>
    <w:rsid w:val="00D52FBC"/>
    <w:rsid w:val="00D52FF5"/>
    <w:rsid w:val="00D53071"/>
    <w:rsid w:val="00D53098"/>
    <w:rsid w:val="00D53129"/>
    <w:rsid w:val="00D5316A"/>
    <w:rsid w:val="00D5319C"/>
    <w:rsid w:val="00D531A8"/>
    <w:rsid w:val="00D53314"/>
    <w:rsid w:val="00D53334"/>
    <w:rsid w:val="00D53352"/>
    <w:rsid w:val="00D5339E"/>
    <w:rsid w:val="00D53422"/>
    <w:rsid w:val="00D53437"/>
    <w:rsid w:val="00D5346A"/>
    <w:rsid w:val="00D534B2"/>
    <w:rsid w:val="00D5350D"/>
    <w:rsid w:val="00D535D9"/>
    <w:rsid w:val="00D53627"/>
    <w:rsid w:val="00D53706"/>
    <w:rsid w:val="00D53760"/>
    <w:rsid w:val="00D5377C"/>
    <w:rsid w:val="00D537B6"/>
    <w:rsid w:val="00D53836"/>
    <w:rsid w:val="00D53957"/>
    <w:rsid w:val="00D5398C"/>
    <w:rsid w:val="00D53A59"/>
    <w:rsid w:val="00D53A7D"/>
    <w:rsid w:val="00D53A8B"/>
    <w:rsid w:val="00D53AD4"/>
    <w:rsid w:val="00D53B18"/>
    <w:rsid w:val="00D53B4B"/>
    <w:rsid w:val="00D53BA5"/>
    <w:rsid w:val="00D53C1E"/>
    <w:rsid w:val="00D53CEA"/>
    <w:rsid w:val="00D53DE5"/>
    <w:rsid w:val="00D53DF6"/>
    <w:rsid w:val="00D53E6E"/>
    <w:rsid w:val="00D53E85"/>
    <w:rsid w:val="00D53ECA"/>
    <w:rsid w:val="00D54020"/>
    <w:rsid w:val="00D54049"/>
    <w:rsid w:val="00D541CB"/>
    <w:rsid w:val="00D5427C"/>
    <w:rsid w:val="00D54282"/>
    <w:rsid w:val="00D542DC"/>
    <w:rsid w:val="00D54362"/>
    <w:rsid w:val="00D543A3"/>
    <w:rsid w:val="00D54464"/>
    <w:rsid w:val="00D54488"/>
    <w:rsid w:val="00D545EB"/>
    <w:rsid w:val="00D54612"/>
    <w:rsid w:val="00D54681"/>
    <w:rsid w:val="00D546E3"/>
    <w:rsid w:val="00D54716"/>
    <w:rsid w:val="00D54734"/>
    <w:rsid w:val="00D5473D"/>
    <w:rsid w:val="00D5477F"/>
    <w:rsid w:val="00D54867"/>
    <w:rsid w:val="00D5487A"/>
    <w:rsid w:val="00D5493B"/>
    <w:rsid w:val="00D5497E"/>
    <w:rsid w:val="00D549B5"/>
    <w:rsid w:val="00D54A4B"/>
    <w:rsid w:val="00D54B00"/>
    <w:rsid w:val="00D54B18"/>
    <w:rsid w:val="00D54B58"/>
    <w:rsid w:val="00D54B80"/>
    <w:rsid w:val="00D54C38"/>
    <w:rsid w:val="00D54D05"/>
    <w:rsid w:val="00D54E10"/>
    <w:rsid w:val="00D54F4F"/>
    <w:rsid w:val="00D54F70"/>
    <w:rsid w:val="00D550F5"/>
    <w:rsid w:val="00D55109"/>
    <w:rsid w:val="00D5510B"/>
    <w:rsid w:val="00D55157"/>
    <w:rsid w:val="00D5515F"/>
    <w:rsid w:val="00D5516B"/>
    <w:rsid w:val="00D5517D"/>
    <w:rsid w:val="00D55252"/>
    <w:rsid w:val="00D552C9"/>
    <w:rsid w:val="00D5536E"/>
    <w:rsid w:val="00D554C5"/>
    <w:rsid w:val="00D5550A"/>
    <w:rsid w:val="00D5559D"/>
    <w:rsid w:val="00D555D2"/>
    <w:rsid w:val="00D55636"/>
    <w:rsid w:val="00D5567E"/>
    <w:rsid w:val="00D5570C"/>
    <w:rsid w:val="00D55788"/>
    <w:rsid w:val="00D557BF"/>
    <w:rsid w:val="00D55869"/>
    <w:rsid w:val="00D558FC"/>
    <w:rsid w:val="00D55933"/>
    <w:rsid w:val="00D5594B"/>
    <w:rsid w:val="00D55A7A"/>
    <w:rsid w:val="00D55D4A"/>
    <w:rsid w:val="00D55EA0"/>
    <w:rsid w:val="00D55EBE"/>
    <w:rsid w:val="00D55F2E"/>
    <w:rsid w:val="00D55F4B"/>
    <w:rsid w:val="00D560BD"/>
    <w:rsid w:val="00D5623F"/>
    <w:rsid w:val="00D56243"/>
    <w:rsid w:val="00D5642A"/>
    <w:rsid w:val="00D56474"/>
    <w:rsid w:val="00D56506"/>
    <w:rsid w:val="00D566A0"/>
    <w:rsid w:val="00D5678F"/>
    <w:rsid w:val="00D56812"/>
    <w:rsid w:val="00D5694D"/>
    <w:rsid w:val="00D56973"/>
    <w:rsid w:val="00D569F5"/>
    <w:rsid w:val="00D56A40"/>
    <w:rsid w:val="00D56D36"/>
    <w:rsid w:val="00D56D41"/>
    <w:rsid w:val="00D56DC6"/>
    <w:rsid w:val="00D56DFA"/>
    <w:rsid w:val="00D56E5A"/>
    <w:rsid w:val="00D56F7A"/>
    <w:rsid w:val="00D57087"/>
    <w:rsid w:val="00D57098"/>
    <w:rsid w:val="00D570DE"/>
    <w:rsid w:val="00D570E4"/>
    <w:rsid w:val="00D57104"/>
    <w:rsid w:val="00D5716A"/>
    <w:rsid w:val="00D571E4"/>
    <w:rsid w:val="00D57279"/>
    <w:rsid w:val="00D57292"/>
    <w:rsid w:val="00D57297"/>
    <w:rsid w:val="00D5729C"/>
    <w:rsid w:val="00D5729D"/>
    <w:rsid w:val="00D572D6"/>
    <w:rsid w:val="00D572DC"/>
    <w:rsid w:val="00D573E0"/>
    <w:rsid w:val="00D573FF"/>
    <w:rsid w:val="00D57652"/>
    <w:rsid w:val="00D57691"/>
    <w:rsid w:val="00D576C7"/>
    <w:rsid w:val="00D576F5"/>
    <w:rsid w:val="00D5779A"/>
    <w:rsid w:val="00D5790E"/>
    <w:rsid w:val="00D579E1"/>
    <w:rsid w:val="00D57B3D"/>
    <w:rsid w:val="00D57B50"/>
    <w:rsid w:val="00D57BDC"/>
    <w:rsid w:val="00D57C8C"/>
    <w:rsid w:val="00D57D11"/>
    <w:rsid w:val="00D57D7D"/>
    <w:rsid w:val="00D57DDB"/>
    <w:rsid w:val="00D57E15"/>
    <w:rsid w:val="00D60057"/>
    <w:rsid w:val="00D6007C"/>
    <w:rsid w:val="00D6008C"/>
    <w:rsid w:val="00D600B1"/>
    <w:rsid w:val="00D60145"/>
    <w:rsid w:val="00D601AD"/>
    <w:rsid w:val="00D602D1"/>
    <w:rsid w:val="00D602E5"/>
    <w:rsid w:val="00D603B4"/>
    <w:rsid w:val="00D60437"/>
    <w:rsid w:val="00D604CB"/>
    <w:rsid w:val="00D6071C"/>
    <w:rsid w:val="00D607EB"/>
    <w:rsid w:val="00D6090F"/>
    <w:rsid w:val="00D60A48"/>
    <w:rsid w:val="00D60A9B"/>
    <w:rsid w:val="00D60B2A"/>
    <w:rsid w:val="00D60B37"/>
    <w:rsid w:val="00D60C21"/>
    <w:rsid w:val="00D60D6C"/>
    <w:rsid w:val="00D60E22"/>
    <w:rsid w:val="00D60E52"/>
    <w:rsid w:val="00D60E64"/>
    <w:rsid w:val="00D60E78"/>
    <w:rsid w:val="00D60F0A"/>
    <w:rsid w:val="00D61116"/>
    <w:rsid w:val="00D61122"/>
    <w:rsid w:val="00D61281"/>
    <w:rsid w:val="00D612B5"/>
    <w:rsid w:val="00D612F4"/>
    <w:rsid w:val="00D61302"/>
    <w:rsid w:val="00D61312"/>
    <w:rsid w:val="00D613B5"/>
    <w:rsid w:val="00D6157D"/>
    <w:rsid w:val="00D615AA"/>
    <w:rsid w:val="00D61659"/>
    <w:rsid w:val="00D6174E"/>
    <w:rsid w:val="00D617AC"/>
    <w:rsid w:val="00D61840"/>
    <w:rsid w:val="00D6199F"/>
    <w:rsid w:val="00D619C8"/>
    <w:rsid w:val="00D61A67"/>
    <w:rsid w:val="00D61B62"/>
    <w:rsid w:val="00D61B7D"/>
    <w:rsid w:val="00D61BA9"/>
    <w:rsid w:val="00D61C90"/>
    <w:rsid w:val="00D61D1A"/>
    <w:rsid w:val="00D61D2D"/>
    <w:rsid w:val="00D61E31"/>
    <w:rsid w:val="00D61E4C"/>
    <w:rsid w:val="00D61F15"/>
    <w:rsid w:val="00D61F75"/>
    <w:rsid w:val="00D61F87"/>
    <w:rsid w:val="00D61FDD"/>
    <w:rsid w:val="00D62030"/>
    <w:rsid w:val="00D6203C"/>
    <w:rsid w:val="00D62122"/>
    <w:rsid w:val="00D621EA"/>
    <w:rsid w:val="00D621FE"/>
    <w:rsid w:val="00D62257"/>
    <w:rsid w:val="00D6230D"/>
    <w:rsid w:val="00D6234C"/>
    <w:rsid w:val="00D623FF"/>
    <w:rsid w:val="00D62449"/>
    <w:rsid w:val="00D62543"/>
    <w:rsid w:val="00D6278B"/>
    <w:rsid w:val="00D62797"/>
    <w:rsid w:val="00D62882"/>
    <w:rsid w:val="00D629FA"/>
    <w:rsid w:val="00D62A3A"/>
    <w:rsid w:val="00D62ABC"/>
    <w:rsid w:val="00D62CB5"/>
    <w:rsid w:val="00D62E31"/>
    <w:rsid w:val="00D62ED0"/>
    <w:rsid w:val="00D62EE9"/>
    <w:rsid w:val="00D62F4D"/>
    <w:rsid w:val="00D62FB1"/>
    <w:rsid w:val="00D6305F"/>
    <w:rsid w:val="00D63178"/>
    <w:rsid w:val="00D6326F"/>
    <w:rsid w:val="00D63324"/>
    <w:rsid w:val="00D63387"/>
    <w:rsid w:val="00D63473"/>
    <w:rsid w:val="00D6355F"/>
    <w:rsid w:val="00D635A6"/>
    <w:rsid w:val="00D6361A"/>
    <w:rsid w:val="00D6362C"/>
    <w:rsid w:val="00D63699"/>
    <w:rsid w:val="00D636F7"/>
    <w:rsid w:val="00D63742"/>
    <w:rsid w:val="00D6379B"/>
    <w:rsid w:val="00D63882"/>
    <w:rsid w:val="00D638B6"/>
    <w:rsid w:val="00D639AC"/>
    <w:rsid w:val="00D63A42"/>
    <w:rsid w:val="00D63A79"/>
    <w:rsid w:val="00D63B59"/>
    <w:rsid w:val="00D63B5D"/>
    <w:rsid w:val="00D63BB0"/>
    <w:rsid w:val="00D63BCA"/>
    <w:rsid w:val="00D63C07"/>
    <w:rsid w:val="00D63CD4"/>
    <w:rsid w:val="00D63D75"/>
    <w:rsid w:val="00D63EEB"/>
    <w:rsid w:val="00D63FFF"/>
    <w:rsid w:val="00D640CF"/>
    <w:rsid w:val="00D64111"/>
    <w:rsid w:val="00D64282"/>
    <w:rsid w:val="00D64330"/>
    <w:rsid w:val="00D64368"/>
    <w:rsid w:val="00D64543"/>
    <w:rsid w:val="00D645BF"/>
    <w:rsid w:val="00D646D2"/>
    <w:rsid w:val="00D649AB"/>
    <w:rsid w:val="00D649F2"/>
    <w:rsid w:val="00D64B76"/>
    <w:rsid w:val="00D64C67"/>
    <w:rsid w:val="00D64CE6"/>
    <w:rsid w:val="00D64CFD"/>
    <w:rsid w:val="00D64E00"/>
    <w:rsid w:val="00D64E6C"/>
    <w:rsid w:val="00D64EE3"/>
    <w:rsid w:val="00D64FDD"/>
    <w:rsid w:val="00D650EB"/>
    <w:rsid w:val="00D65121"/>
    <w:rsid w:val="00D65160"/>
    <w:rsid w:val="00D651C7"/>
    <w:rsid w:val="00D651E5"/>
    <w:rsid w:val="00D652A0"/>
    <w:rsid w:val="00D652B7"/>
    <w:rsid w:val="00D652D9"/>
    <w:rsid w:val="00D65330"/>
    <w:rsid w:val="00D65424"/>
    <w:rsid w:val="00D65551"/>
    <w:rsid w:val="00D65575"/>
    <w:rsid w:val="00D65633"/>
    <w:rsid w:val="00D6564F"/>
    <w:rsid w:val="00D65691"/>
    <w:rsid w:val="00D65710"/>
    <w:rsid w:val="00D657CA"/>
    <w:rsid w:val="00D65860"/>
    <w:rsid w:val="00D65900"/>
    <w:rsid w:val="00D65A04"/>
    <w:rsid w:val="00D65B02"/>
    <w:rsid w:val="00D65B3A"/>
    <w:rsid w:val="00D65C3A"/>
    <w:rsid w:val="00D65CD9"/>
    <w:rsid w:val="00D65D5C"/>
    <w:rsid w:val="00D65E7F"/>
    <w:rsid w:val="00D65EB8"/>
    <w:rsid w:val="00D65EEB"/>
    <w:rsid w:val="00D6614E"/>
    <w:rsid w:val="00D66169"/>
    <w:rsid w:val="00D661B5"/>
    <w:rsid w:val="00D66278"/>
    <w:rsid w:val="00D6627B"/>
    <w:rsid w:val="00D66293"/>
    <w:rsid w:val="00D663DF"/>
    <w:rsid w:val="00D664CE"/>
    <w:rsid w:val="00D66525"/>
    <w:rsid w:val="00D665A9"/>
    <w:rsid w:val="00D665BE"/>
    <w:rsid w:val="00D666FC"/>
    <w:rsid w:val="00D6674B"/>
    <w:rsid w:val="00D667C8"/>
    <w:rsid w:val="00D668BE"/>
    <w:rsid w:val="00D66935"/>
    <w:rsid w:val="00D66989"/>
    <w:rsid w:val="00D669BD"/>
    <w:rsid w:val="00D66A0A"/>
    <w:rsid w:val="00D66A62"/>
    <w:rsid w:val="00D66AA3"/>
    <w:rsid w:val="00D66AB1"/>
    <w:rsid w:val="00D66AC3"/>
    <w:rsid w:val="00D66B27"/>
    <w:rsid w:val="00D66D1E"/>
    <w:rsid w:val="00D66F60"/>
    <w:rsid w:val="00D6703B"/>
    <w:rsid w:val="00D6711A"/>
    <w:rsid w:val="00D6717B"/>
    <w:rsid w:val="00D67246"/>
    <w:rsid w:val="00D67358"/>
    <w:rsid w:val="00D67386"/>
    <w:rsid w:val="00D674C8"/>
    <w:rsid w:val="00D67839"/>
    <w:rsid w:val="00D67888"/>
    <w:rsid w:val="00D67A37"/>
    <w:rsid w:val="00D67A9B"/>
    <w:rsid w:val="00D67B2B"/>
    <w:rsid w:val="00D67B3B"/>
    <w:rsid w:val="00D67B3E"/>
    <w:rsid w:val="00D67BDB"/>
    <w:rsid w:val="00D67D0D"/>
    <w:rsid w:val="00D67E1A"/>
    <w:rsid w:val="00D67FF7"/>
    <w:rsid w:val="00D70011"/>
    <w:rsid w:val="00D7010B"/>
    <w:rsid w:val="00D7019F"/>
    <w:rsid w:val="00D70242"/>
    <w:rsid w:val="00D702E3"/>
    <w:rsid w:val="00D704C3"/>
    <w:rsid w:val="00D70591"/>
    <w:rsid w:val="00D705B2"/>
    <w:rsid w:val="00D705B9"/>
    <w:rsid w:val="00D70651"/>
    <w:rsid w:val="00D70885"/>
    <w:rsid w:val="00D709EF"/>
    <w:rsid w:val="00D70A81"/>
    <w:rsid w:val="00D70C0E"/>
    <w:rsid w:val="00D70D38"/>
    <w:rsid w:val="00D70DDA"/>
    <w:rsid w:val="00D70E3E"/>
    <w:rsid w:val="00D71024"/>
    <w:rsid w:val="00D710CA"/>
    <w:rsid w:val="00D71117"/>
    <w:rsid w:val="00D7114E"/>
    <w:rsid w:val="00D7121D"/>
    <w:rsid w:val="00D71313"/>
    <w:rsid w:val="00D7144C"/>
    <w:rsid w:val="00D7145A"/>
    <w:rsid w:val="00D71496"/>
    <w:rsid w:val="00D7165E"/>
    <w:rsid w:val="00D71853"/>
    <w:rsid w:val="00D71919"/>
    <w:rsid w:val="00D71920"/>
    <w:rsid w:val="00D71A1F"/>
    <w:rsid w:val="00D71AFA"/>
    <w:rsid w:val="00D71D5B"/>
    <w:rsid w:val="00D71E95"/>
    <w:rsid w:val="00D71EAC"/>
    <w:rsid w:val="00D71F06"/>
    <w:rsid w:val="00D71F16"/>
    <w:rsid w:val="00D71F83"/>
    <w:rsid w:val="00D7204A"/>
    <w:rsid w:val="00D72230"/>
    <w:rsid w:val="00D7226F"/>
    <w:rsid w:val="00D72342"/>
    <w:rsid w:val="00D7253C"/>
    <w:rsid w:val="00D726A9"/>
    <w:rsid w:val="00D727C2"/>
    <w:rsid w:val="00D72844"/>
    <w:rsid w:val="00D728AE"/>
    <w:rsid w:val="00D729B5"/>
    <w:rsid w:val="00D72A55"/>
    <w:rsid w:val="00D72ABD"/>
    <w:rsid w:val="00D72AE9"/>
    <w:rsid w:val="00D72B6A"/>
    <w:rsid w:val="00D72C44"/>
    <w:rsid w:val="00D72CE0"/>
    <w:rsid w:val="00D72CEC"/>
    <w:rsid w:val="00D73083"/>
    <w:rsid w:val="00D730A2"/>
    <w:rsid w:val="00D730CA"/>
    <w:rsid w:val="00D73102"/>
    <w:rsid w:val="00D73246"/>
    <w:rsid w:val="00D7330C"/>
    <w:rsid w:val="00D7332A"/>
    <w:rsid w:val="00D7340E"/>
    <w:rsid w:val="00D735A0"/>
    <w:rsid w:val="00D735FF"/>
    <w:rsid w:val="00D7366F"/>
    <w:rsid w:val="00D7367D"/>
    <w:rsid w:val="00D7375D"/>
    <w:rsid w:val="00D73799"/>
    <w:rsid w:val="00D7393B"/>
    <w:rsid w:val="00D73A05"/>
    <w:rsid w:val="00D73A3E"/>
    <w:rsid w:val="00D73A62"/>
    <w:rsid w:val="00D73AD9"/>
    <w:rsid w:val="00D73B68"/>
    <w:rsid w:val="00D73B6D"/>
    <w:rsid w:val="00D73BA2"/>
    <w:rsid w:val="00D73BE7"/>
    <w:rsid w:val="00D73C8F"/>
    <w:rsid w:val="00D73CF2"/>
    <w:rsid w:val="00D73E81"/>
    <w:rsid w:val="00D74029"/>
    <w:rsid w:val="00D74041"/>
    <w:rsid w:val="00D74147"/>
    <w:rsid w:val="00D7419A"/>
    <w:rsid w:val="00D74270"/>
    <w:rsid w:val="00D743D2"/>
    <w:rsid w:val="00D7458A"/>
    <w:rsid w:val="00D7465D"/>
    <w:rsid w:val="00D74771"/>
    <w:rsid w:val="00D747E3"/>
    <w:rsid w:val="00D7481C"/>
    <w:rsid w:val="00D7482C"/>
    <w:rsid w:val="00D748F5"/>
    <w:rsid w:val="00D7491A"/>
    <w:rsid w:val="00D74940"/>
    <w:rsid w:val="00D7496A"/>
    <w:rsid w:val="00D74A28"/>
    <w:rsid w:val="00D74B95"/>
    <w:rsid w:val="00D74BF5"/>
    <w:rsid w:val="00D74C4E"/>
    <w:rsid w:val="00D74C54"/>
    <w:rsid w:val="00D74D06"/>
    <w:rsid w:val="00D74D8A"/>
    <w:rsid w:val="00D74E4D"/>
    <w:rsid w:val="00D74E76"/>
    <w:rsid w:val="00D74E88"/>
    <w:rsid w:val="00D74FC3"/>
    <w:rsid w:val="00D75002"/>
    <w:rsid w:val="00D75046"/>
    <w:rsid w:val="00D7520B"/>
    <w:rsid w:val="00D75219"/>
    <w:rsid w:val="00D753B5"/>
    <w:rsid w:val="00D753F7"/>
    <w:rsid w:val="00D7540B"/>
    <w:rsid w:val="00D75469"/>
    <w:rsid w:val="00D75491"/>
    <w:rsid w:val="00D754AE"/>
    <w:rsid w:val="00D75508"/>
    <w:rsid w:val="00D7556D"/>
    <w:rsid w:val="00D75631"/>
    <w:rsid w:val="00D756DA"/>
    <w:rsid w:val="00D75844"/>
    <w:rsid w:val="00D75846"/>
    <w:rsid w:val="00D758B0"/>
    <w:rsid w:val="00D758E1"/>
    <w:rsid w:val="00D75A0B"/>
    <w:rsid w:val="00D75A4F"/>
    <w:rsid w:val="00D75AE1"/>
    <w:rsid w:val="00D75AF5"/>
    <w:rsid w:val="00D75C25"/>
    <w:rsid w:val="00D75D64"/>
    <w:rsid w:val="00D75DC4"/>
    <w:rsid w:val="00D75E72"/>
    <w:rsid w:val="00D7607D"/>
    <w:rsid w:val="00D761A8"/>
    <w:rsid w:val="00D761FA"/>
    <w:rsid w:val="00D76201"/>
    <w:rsid w:val="00D762A3"/>
    <w:rsid w:val="00D76320"/>
    <w:rsid w:val="00D76335"/>
    <w:rsid w:val="00D76376"/>
    <w:rsid w:val="00D76380"/>
    <w:rsid w:val="00D763A6"/>
    <w:rsid w:val="00D7659C"/>
    <w:rsid w:val="00D765FB"/>
    <w:rsid w:val="00D7674D"/>
    <w:rsid w:val="00D769AD"/>
    <w:rsid w:val="00D769B3"/>
    <w:rsid w:val="00D76AFF"/>
    <w:rsid w:val="00D76B34"/>
    <w:rsid w:val="00D76BC6"/>
    <w:rsid w:val="00D76C6A"/>
    <w:rsid w:val="00D76CC6"/>
    <w:rsid w:val="00D76CEC"/>
    <w:rsid w:val="00D76DC8"/>
    <w:rsid w:val="00D76E92"/>
    <w:rsid w:val="00D76E9D"/>
    <w:rsid w:val="00D76F24"/>
    <w:rsid w:val="00D76F26"/>
    <w:rsid w:val="00D7700E"/>
    <w:rsid w:val="00D770E4"/>
    <w:rsid w:val="00D77186"/>
    <w:rsid w:val="00D77299"/>
    <w:rsid w:val="00D772C8"/>
    <w:rsid w:val="00D7741B"/>
    <w:rsid w:val="00D77602"/>
    <w:rsid w:val="00D77735"/>
    <w:rsid w:val="00D777F3"/>
    <w:rsid w:val="00D77855"/>
    <w:rsid w:val="00D7789E"/>
    <w:rsid w:val="00D77904"/>
    <w:rsid w:val="00D77914"/>
    <w:rsid w:val="00D779B8"/>
    <w:rsid w:val="00D77A16"/>
    <w:rsid w:val="00D77AF9"/>
    <w:rsid w:val="00D77B00"/>
    <w:rsid w:val="00D77B53"/>
    <w:rsid w:val="00D77B63"/>
    <w:rsid w:val="00D77BF8"/>
    <w:rsid w:val="00D77C57"/>
    <w:rsid w:val="00D77CBE"/>
    <w:rsid w:val="00D77D62"/>
    <w:rsid w:val="00D77DA6"/>
    <w:rsid w:val="00D77F11"/>
    <w:rsid w:val="00D800EE"/>
    <w:rsid w:val="00D80130"/>
    <w:rsid w:val="00D80456"/>
    <w:rsid w:val="00D8047D"/>
    <w:rsid w:val="00D804DB"/>
    <w:rsid w:val="00D80511"/>
    <w:rsid w:val="00D80551"/>
    <w:rsid w:val="00D805CA"/>
    <w:rsid w:val="00D805E7"/>
    <w:rsid w:val="00D80655"/>
    <w:rsid w:val="00D80673"/>
    <w:rsid w:val="00D8077B"/>
    <w:rsid w:val="00D807C3"/>
    <w:rsid w:val="00D80891"/>
    <w:rsid w:val="00D809D5"/>
    <w:rsid w:val="00D80AD6"/>
    <w:rsid w:val="00D80AF9"/>
    <w:rsid w:val="00D80C29"/>
    <w:rsid w:val="00D80C2D"/>
    <w:rsid w:val="00D80C3C"/>
    <w:rsid w:val="00D80CC9"/>
    <w:rsid w:val="00D80CDF"/>
    <w:rsid w:val="00D80D60"/>
    <w:rsid w:val="00D80D9E"/>
    <w:rsid w:val="00D80D9F"/>
    <w:rsid w:val="00D80E4D"/>
    <w:rsid w:val="00D80EC1"/>
    <w:rsid w:val="00D80ECF"/>
    <w:rsid w:val="00D80ED5"/>
    <w:rsid w:val="00D80F5F"/>
    <w:rsid w:val="00D80FBB"/>
    <w:rsid w:val="00D810CB"/>
    <w:rsid w:val="00D8113D"/>
    <w:rsid w:val="00D8120B"/>
    <w:rsid w:val="00D8127F"/>
    <w:rsid w:val="00D8147D"/>
    <w:rsid w:val="00D816B8"/>
    <w:rsid w:val="00D816BE"/>
    <w:rsid w:val="00D81989"/>
    <w:rsid w:val="00D819AF"/>
    <w:rsid w:val="00D81C6E"/>
    <w:rsid w:val="00D81DCB"/>
    <w:rsid w:val="00D8213B"/>
    <w:rsid w:val="00D8219C"/>
    <w:rsid w:val="00D821B2"/>
    <w:rsid w:val="00D822BB"/>
    <w:rsid w:val="00D8234A"/>
    <w:rsid w:val="00D823FB"/>
    <w:rsid w:val="00D82436"/>
    <w:rsid w:val="00D8273D"/>
    <w:rsid w:val="00D82787"/>
    <w:rsid w:val="00D82827"/>
    <w:rsid w:val="00D8282B"/>
    <w:rsid w:val="00D82995"/>
    <w:rsid w:val="00D82B47"/>
    <w:rsid w:val="00D82C28"/>
    <w:rsid w:val="00D82CD0"/>
    <w:rsid w:val="00D82D08"/>
    <w:rsid w:val="00D82D16"/>
    <w:rsid w:val="00D82D6F"/>
    <w:rsid w:val="00D82DB6"/>
    <w:rsid w:val="00D82FB7"/>
    <w:rsid w:val="00D82FC4"/>
    <w:rsid w:val="00D82FE6"/>
    <w:rsid w:val="00D82FE7"/>
    <w:rsid w:val="00D8301A"/>
    <w:rsid w:val="00D830A2"/>
    <w:rsid w:val="00D8316D"/>
    <w:rsid w:val="00D831D9"/>
    <w:rsid w:val="00D83200"/>
    <w:rsid w:val="00D832E6"/>
    <w:rsid w:val="00D8338A"/>
    <w:rsid w:val="00D835EC"/>
    <w:rsid w:val="00D8361F"/>
    <w:rsid w:val="00D8363F"/>
    <w:rsid w:val="00D83690"/>
    <w:rsid w:val="00D836B1"/>
    <w:rsid w:val="00D836B4"/>
    <w:rsid w:val="00D837B5"/>
    <w:rsid w:val="00D837C0"/>
    <w:rsid w:val="00D83830"/>
    <w:rsid w:val="00D838CD"/>
    <w:rsid w:val="00D8391C"/>
    <w:rsid w:val="00D83B2F"/>
    <w:rsid w:val="00D83B51"/>
    <w:rsid w:val="00D83B7B"/>
    <w:rsid w:val="00D83C90"/>
    <w:rsid w:val="00D83CDF"/>
    <w:rsid w:val="00D83DCD"/>
    <w:rsid w:val="00D83F06"/>
    <w:rsid w:val="00D83F6A"/>
    <w:rsid w:val="00D83FA7"/>
    <w:rsid w:val="00D84022"/>
    <w:rsid w:val="00D8402E"/>
    <w:rsid w:val="00D8407B"/>
    <w:rsid w:val="00D840C1"/>
    <w:rsid w:val="00D84134"/>
    <w:rsid w:val="00D8413C"/>
    <w:rsid w:val="00D841E8"/>
    <w:rsid w:val="00D84215"/>
    <w:rsid w:val="00D84303"/>
    <w:rsid w:val="00D8434A"/>
    <w:rsid w:val="00D8435B"/>
    <w:rsid w:val="00D8438E"/>
    <w:rsid w:val="00D843D9"/>
    <w:rsid w:val="00D845F1"/>
    <w:rsid w:val="00D84632"/>
    <w:rsid w:val="00D84654"/>
    <w:rsid w:val="00D847BE"/>
    <w:rsid w:val="00D84820"/>
    <w:rsid w:val="00D8497C"/>
    <w:rsid w:val="00D84B0D"/>
    <w:rsid w:val="00D84BD1"/>
    <w:rsid w:val="00D84D5C"/>
    <w:rsid w:val="00D84DBC"/>
    <w:rsid w:val="00D84E8D"/>
    <w:rsid w:val="00D84ECA"/>
    <w:rsid w:val="00D84ECC"/>
    <w:rsid w:val="00D84F4B"/>
    <w:rsid w:val="00D85052"/>
    <w:rsid w:val="00D850A5"/>
    <w:rsid w:val="00D850ED"/>
    <w:rsid w:val="00D85139"/>
    <w:rsid w:val="00D85175"/>
    <w:rsid w:val="00D8522E"/>
    <w:rsid w:val="00D8525E"/>
    <w:rsid w:val="00D85298"/>
    <w:rsid w:val="00D8532A"/>
    <w:rsid w:val="00D8538C"/>
    <w:rsid w:val="00D853FA"/>
    <w:rsid w:val="00D854CF"/>
    <w:rsid w:val="00D85589"/>
    <w:rsid w:val="00D8558B"/>
    <w:rsid w:val="00D85700"/>
    <w:rsid w:val="00D85713"/>
    <w:rsid w:val="00D857C9"/>
    <w:rsid w:val="00D85839"/>
    <w:rsid w:val="00D858F6"/>
    <w:rsid w:val="00D8591D"/>
    <w:rsid w:val="00D85BCA"/>
    <w:rsid w:val="00D85CF9"/>
    <w:rsid w:val="00D85D1A"/>
    <w:rsid w:val="00D86195"/>
    <w:rsid w:val="00D86272"/>
    <w:rsid w:val="00D86297"/>
    <w:rsid w:val="00D86341"/>
    <w:rsid w:val="00D86374"/>
    <w:rsid w:val="00D864E2"/>
    <w:rsid w:val="00D8661D"/>
    <w:rsid w:val="00D86651"/>
    <w:rsid w:val="00D866FE"/>
    <w:rsid w:val="00D86926"/>
    <w:rsid w:val="00D8692E"/>
    <w:rsid w:val="00D8693C"/>
    <w:rsid w:val="00D86A67"/>
    <w:rsid w:val="00D86B49"/>
    <w:rsid w:val="00D86E6D"/>
    <w:rsid w:val="00D86ED6"/>
    <w:rsid w:val="00D86EED"/>
    <w:rsid w:val="00D86EF6"/>
    <w:rsid w:val="00D86F3F"/>
    <w:rsid w:val="00D86FC0"/>
    <w:rsid w:val="00D86FC2"/>
    <w:rsid w:val="00D8702D"/>
    <w:rsid w:val="00D87093"/>
    <w:rsid w:val="00D87148"/>
    <w:rsid w:val="00D8738C"/>
    <w:rsid w:val="00D873ED"/>
    <w:rsid w:val="00D87444"/>
    <w:rsid w:val="00D87522"/>
    <w:rsid w:val="00D876B1"/>
    <w:rsid w:val="00D87749"/>
    <w:rsid w:val="00D8792C"/>
    <w:rsid w:val="00D87985"/>
    <w:rsid w:val="00D87988"/>
    <w:rsid w:val="00D879E3"/>
    <w:rsid w:val="00D879EE"/>
    <w:rsid w:val="00D87AAE"/>
    <w:rsid w:val="00D87B2B"/>
    <w:rsid w:val="00D87C39"/>
    <w:rsid w:val="00D87CA9"/>
    <w:rsid w:val="00D87CE4"/>
    <w:rsid w:val="00D87CFD"/>
    <w:rsid w:val="00D87D0F"/>
    <w:rsid w:val="00D87FA8"/>
    <w:rsid w:val="00D90016"/>
    <w:rsid w:val="00D901C9"/>
    <w:rsid w:val="00D90246"/>
    <w:rsid w:val="00D902AE"/>
    <w:rsid w:val="00D90307"/>
    <w:rsid w:val="00D9031F"/>
    <w:rsid w:val="00D90387"/>
    <w:rsid w:val="00D903B6"/>
    <w:rsid w:val="00D903D8"/>
    <w:rsid w:val="00D9041B"/>
    <w:rsid w:val="00D9044B"/>
    <w:rsid w:val="00D9048E"/>
    <w:rsid w:val="00D90535"/>
    <w:rsid w:val="00D90580"/>
    <w:rsid w:val="00D90620"/>
    <w:rsid w:val="00D90642"/>
    <w:rsid w:val="00D906D5"/>
    <w:rsid w:val="00D90776"/>
    <w:rsid w:val="00D907A2"/>
    <w:rsid w:val="00D90974"/>
    <w:rsid w:val="00D90999"/>
    <w:rsid w:val="00D90A1A"/>
    <w:rsid w:val="00D90A71"/>
    <w:rsid w:val="00D90BC8"/>
    <w:rsid w:val="00D90C05"/>
    <w:rsid w:val="00D90C8A"/>
    <w:rsid w:val="00D90DBB"/>
    <w:rsid w:val="00D90E27"/>
    <w:rsid w:val="00D90E74"/>
    <w:rsid w:val="00D90EE4"/>
    <w:rsid w:val="00D90F54"/>
    <w:rsid w:val="00D90FC6"/>
    <w:rsid w:val="00D91039"/>
    <w:rsid w:val="00D91046"/>
    <w:rsid w:val="00D9105B"/>
    <w:rsid w:val="00D91124"/>
    <w:rsid w:val="00D9119B"/>
    <w:rsid w:val="00D913B4"/>
    <w:rsid w:val="00D9141D"/>
    <w:rsid w:val="00D9152B"/>
    <w:rsid w:val="00D91559"/>
    <w:rsid w:val="00D9159E"/>
    <w:rsid w:val="00D9161F"/>
    <w:rsid w:val="00D9170A"/>
    <w:rsid w:val="00D917D0"/>
    <w:rsid w:val="00D91810"/>
    <w:rsid w:val="00D919E5"/>
    <w:rsid w:val="00D91A56"/>
    <w:rsid w:val="00D91AB9"/>
    <w:rsid w:val="00D91AEC"/>
    <w:rsid w:val="00D91B44"/>
    <w:rsid w:val="00D91B66"/>
    <w:rsid w:val="00D91C22"/>
    <w:rsid w:val="00D91C32"/>
    <w:rsid w:val="00D91C61"/>
    <w:rsid w:val="00D91D93"/>
    <w:rsid w:val="00D91DF8"/>
    <w:rsid w:val="00D91E1A"/>
    <w:rsid w:val="00D9204F"/>
    <w:rsid w:val="00D921A3"/>
    <w:rsid w:val="00D92207"/>
    <w:rsid w:val="00D9222E"/>
    <w:rsid w:val="00D92319"/>
    <w:rsid w:val="00D9234B"/>
    <w:rsid w:val="00D92410"/>
    <w:rsid w:val="00D9244F"/>
    <w:rsid w:val="00D9255A"/>
    <w:rsid w:val="00D9257E"/>
    <w:rsid w:val="00D92624"/>
    <w:rsid w:val="00D9271C"/>
    <w:rsid w:val="00D92785"/>
    <w:rsid w:val="00D927FF"/>
    <w:rsid w:val="00D9281C"/>
    <w:rsid w:val="00D92893"/>
    <w:rsid w:val="00D928F6"/>
    <w:rsid w:val="00D92903"/>
    <w:rsid w:val="00D92989"/>
    <w:rsid w:val="00D92AA9"/>
    <w:rsid w:val="00D92ADD"/>
    <w:rsid w:val="00D92B3F"/>
    <w:rsid w:val="00D92B95"/>
    <w:rsid w:val="00D92B96"/>
    <w:rsid w:val="00D92D8B"/>
    <w:rsid w:val="00D92D9A"/>
    <w:rsid w:val="00D92DA1"/>
    <w:rsid w:val="00D92DB9"/>
    <w:rsid w:val="00D92E0C"/>
    <w:rsid w:val="00D92E29"/>
    <w:rsid w:val="00D92ED7"/>
    <w:rsid w:val="00D92F3B"/>
    <w:rsid w:val="00D92F5D"/>
    <w:rsid w:val="00D92F83"/>
    <w:rsid w:val="00D930FE"/>
    <w:rsid w:val="00D9315B"/>
    <w:rsid w:val="00D93171"/>
    <w:rsid w:val="00D9319D"/>
    <w:rsid w:val="00D933CC"/>
    <w:rsid w:val="00D9343F"/>
    <w:rsid w:val="00D9346C"/>
    <w:rsid w:val="00D93482"/>
    <w:rsid w:val="00D934C7"/>
    <w:rsid w:val="00D935DC"/>
    <w:rsid w:val="00D93647"/>
    <w:rsid w:val="00D93738"/>
    <w:rsid w:val="00D93747"/>
    <w:rsid w:val="00D93787"/>
    <w:rsid w:val="00D93828"/>
    <w:rsid w:val="00D93851"/>
    <w:rsid w:val="00D938D0"/>
    <w:rsid w:val="00D9397B"/>
    <w:rsid w:val="00D9399B"/>
    <w:rsid w:val="00D93A77"/>
    <w:rsid w:val="00D93A8E"/>
    <w:rsid w:val="00D93AD9"/>
    <w:rsid w:val="00D93B9C"/>
    <w:rsid w:val="00D93CE8"/>
    <w:rsid w:val="00D93DEC"/>
    <w:rsid w:val="00D93E4C"/>
    <w:rsid w:val="00D93ED2"/>
    <w:rsid w:val="00D93EF2"/>
    <w:rsid w:val="00D93F83"/>
    <w:rsid w:val="00D9401F"/>
    <w:rsid w:val="00D94115"/>
    <w:rsid w:val="00D9419F"/>
    <w:rsid w:val="00D94307"/>
    <w:rsid w:val="00D94315"/>
    <w:rsid w:val="00D94325"/>
    <w:rsid w:val="00D9443D"/>
    <w:rsid w:val="00D9445B"/>
    <w:rsid w:val="00D946C9"/>
    <w:rsid w:val="00D946CB"/>
    <w:rsid w:val="00D948B1"/>
    <w:rsid w:val="00D94A36"/>
    <w:rsid w:val="00D94A3E"/>
    <w:rsid w:val="00D94A47"/>
    <w:rsid w:val="00D94B3D"/>
    <w:rsid w:val="00D94B74"/>
    <w:rsid w:val="00D94C4A"/>
    <w:rsid w:val="00D94CB3"/>
    <w:rsid w:val="00D94CF3"/>
    <w:rsid w:val="00D94E29"/>
    <w:rsid w:val="00D94ED0"/>
    <w:rsid w:val="00D94F80"/>
    <w:rsid w:val="00D95080"/>
    <w:rsid w:val="00D950F1"/>
    <w:rsid w:val="00D95224"/>
    <w:rsid w:val="00D95257"/>
    <w:rsid w:val="00D9525C"/>
    <w:rsid w:val="00D95304"/>
    <w:rsid w:val="00D954B1"/>
    <w:rsid w:val="00D954C3"/>
    <w:rsid w:val="00D9564D"/>
    <w:rsid w:val="00D959B7"/>
    <w:rsid w:val="00D959D5"/>
    <w:rsid w:val="00D95B72"/>
    <w:rsid w:val="00D95CE7"/>
    <w:rsid w:val="00D95D9B"/>
    <w:rsid w:val="00D95E95"/>
    <w:rsid w:val="00D95FB7"/>
    <w:rsid w:val="00D95FBE"/>
    <w:rsid w:val="00D96024"/>
    <w:rsid w:val="00D96055"/>
    <w:rsid w:val="00D96067"/>
    <w:rsid w:val="00D960EB"/>
    <w:rsid w:val="00D9614B"/>
    <w:rsid w:val="00D961DA"/>
    <w:rsid w:val="00D9632C"/>
    <w:rsid w:val="00D963CA"/>
    <w:rsid w:val="00D96571"/>
    <w:rsid w:val="00D96599"/>
    <w:rsid w:val="00D965B1"/>
    <w:rsid w:val="00D96654"/>
    <w:rsid w:val="00D966DC"/>
    <w:rsid w:val="00D96705"/>
    <w:rsid w:val="00D967A8"/>
    <w:rsid w:val="00D967F9"/>
    <w:rsid w:val="00D9689E"/>
    <w:rsid w:val="00D96931"/>
    <w:rsid w:val="00D96970"/>
    <w:rsid w:val="00D96A2E"/>
    <w:rsid w:val="00D96A62"/>
    <w:rsid w:val="00D96C16"/>
    <w:rsid w:val="00D96C97"/>
    <w:rsid w:val="00D96CE3"/>
    <w:rsid w:val="00D96E7D"/>
    <w:rsid w:val="00D97048"/>
    <w:rsid w:val="00D9707D"/>
    <w:rsid w:val="00D9707F"/>
    <w:rsid w:val="00D970C1"/>
    <w:rsid w:val="00D970F5"/>
    <w:rsid w:val="00D97169"/>
    <w:rsid w:val="00D9726E"/>
    <w:rsid w:val="00D9731C"/>
    <w:rsid w:val="00D9736E"/>
    <w:rsid w:val="00D973B1"/>
    <w:rsid w:val="00D97508"/>
    <w:rsid w:val="00D9766B"/>
    <w:rsid w:val="00D97793"/>
    <w:rsid w:val="00D977A5"/>
    <w:rsid w:val="00D978FB"/>
    <w:rsid w:val="00D9791E"/>
    <w:rsid w:val="00D97A1F"/>
    <w:rsid w:val="00D97A7F"/>
    <w:rsid w:val="00D97B11"/>
    <w:rsid w:val="00D97B2D"/>
    <w:rsid w:val="00D97BA6"/>
    <w:rsid w:val="00D97C0E"/>
    <w:rsid w:val="00D97D6C"/>
    <w:rsid w:val="00D97DD9"/>
    <w:rsid w:val="00D97E5A"/>
    <w:rsid w:val="00D97EDB"/>
    <w:rsid w:val="00D97FC6"/>
    <w:rsid w:val="00D97FE2"/>
    <w:rsid w:val="00DA00AF"/>
    <w:rsid w:val="00DA0283"/>
    <w:rsid w:val="00DA02DF"/>
    <w:rsid w:val="00DA0339"/>
    <w:rsid w:val="00DA036F"/>
    <w:rsid w:val="00DA03B8"/>
    <w:rsid w:val="00DA040B"/>
    <w:rsid w:val="00DA042B"/>
    <w:rsid w:val="00DA053E"/>
    <w:rsid w:val="00DA058E"/>
    <w:rsid w:val="00DA0669"/>
    <w:rsid w:val="00DA06DB"/>
    <w:rsid w:val="00DA0730"/>
    <w:rsid w:val="00DA0747"/>
    <w:rsid w:val="00DA076D"/>
    <w:rsid w:val="00DA08B1"/>
    <w:rsid w:val="00DA0909"/>
    <w:rsid w:val="00DA094A"/>
    <w:rsid w:val="00DA0958"/>
    <w:rsid w:val="00DA0983"/>
    <w:rsid w:val="00DA09CD"/>
    <w:rsid w:val="00DA0B16"/>
    <w:rsid w:val="00DA0B2C"/>
    <w:rsid w:val="00DA0DA3"/>
    <w:rsid w:val="00DA0E2C"/>
    <w:rsid w:val="00DA0F23"/>
    <w:rsid w:val="00DA0F7C"/>
    <w:rsid w:val="00DA0F7E"/>
    <w:rsid w:val="00DA0F9B"/>
    <w:rsid w:val="00DA109F"/>
    <w:rsid w:val="00DA11D2"/>
    <w:rsid w:val="00DA121E"/>
    <w:rsid w:val="00DA1221"/>
    <w:rsid w:val="00DA1321"/>
    <w:rsid w:val="00DA14BB"/>
    <w:rsid w:val="00DA14C7"/>
    <w:rsid w:val="00DA1525"/>
    <w:rsid w:val="00DA153B"/>
    <w:rsid w:val="00DA15B9"/>
    <w:rsid w:val="00DA1683"/>
    <w:rsid w:val="00DA16A9"/>
    <w:rsid w:val="00DA1766"/>
    <w:rsid w:val="00DA1911"/>
    <w:rsid w:val="00DA19C8"/>
    <w:rsid w:val="00DA1A02"/>
    <w:rsid w:val="00DA1A10"/>
    <w:rsid w:val="00DA1AAF"/>
    <w:rsid w:val="00DA1AC9"/>
    <w:rsid w:val="00DA1AD8"/>
    <w:rsid w:val="00DA1B55"/>
    <w:rsid w:val="00DA1CB7"/>
    <w:rsid w:val="00DA1CBE"/>
    <w:rsid w:val="00DA1D9D"/>
    <w:rsid w:val="00DA1DAE"/>
    <w:rsid w:val="00DA1DB9"/>
    <w:rsid w:val="00DA1DC6"/>
    <w:rsid w:val="00DA1E98"/>
    <w:rsid w:val="00DA1F35"/>
    <w:rsid w:val="00DA2105"/>
    <w:rsid w:val="00DA216F"/>
    <w:rsid w:val="00DA225C"/>
    <w:rsid w:val="00DA228D"/>
    <w:rsid w:val="00DA229D"/>
    <w:rsid w:val="00DA22B1"/>
    <w:rsid w:val="00DA22DD"/>
    <w:rsid w:val="00DA2322"/>
    <w:rsid w:val="00DA23CC"/>
    <w:rsid w:val="00DA2544"/>
    <w:rsid w:val="00DA2568"/>
    <w:rsid w:val="00DA268A"/>
    <w:rsid w:val="00DA26EC"/>
    <w:rsid w:val="00DA270D"/>
    <w:rsid w:val="00DA273A"/>
    <w:rsid w:val="00DA27B3"/>
    <w:rsid w:val="00DA27D7"/>
    <w:rsid w:val="00DA2862"/>
    <w:rsid w:val="00DA29C4"/>
    <w:rsid w:val="00DA2ADA"/>
    <w:rsid w:val="00DA2AE6"/>
    <w:rsid w:val="00DA2B03"/>
    <w:rsid w:val="00DA2B1F"/>
    <w:rsid w:val="00DA2B24"/>
    <w:rsid w:val="00DA2C53"/>
    <w:rsid w:val="00DA2C6E"/>
    <w:rsid w:val="00DA2D4C"/>
    <w:rsid w:val="00DA2E0A"/>
    <w:rsid w:val="00DA2E7D"/>
    <w:rsid w:val="00DA2EB4"/>
    <w:rsid w:val="00DA2ED6"/>
    <w:rsid w:val="00DA302D"/>
    <w:rsid w:val="00DA3046"/>
    <w:rsid w:val="00DA3214"/>
    <w:rsid w:val="00DA3249"/>
    <w:rsid w:val="00DA338D"/>
    <w:rsid w:val="00DA3465"/>
    <w:rsid w:val="00DA34E1"/>
    <w:rsid w:val="00DA3528"/>
    <w:rsid w:val="00DA3540"/>
    <w:rsid w:val="00DA3696"/>
    <w:rsid w:val="00DA3771"/>
    <w:rsid w:val="00DA3833"/>
    <w:rsid w:val="00DA385B"/>
    <w:rsid w:val="00DA38D7"/>
    <w:rsid w:val="00DA3904"/>
    <w:rsid w:val="00DA3A0F"/>
    <w:rsid w:val="00DA3B3A"/>
    <w:rsid w:val="00DA3BD7"/>
    <w:rsid w:val="00DA3C58"/>
    <w:rsid w:val="00DA3D6C"/>
    <w:rsid w:val="00DA3D6D"/>
    <w:rsid w:val="00DA3E97"/>
    <w:rsid w:val="00DA3F4D"/>
    <w:rsid w:val="00DA4088"/>
    <w:rsid w:val="00DA435B"/>
    <w:rsid w:val="00DA4478"/>
    <w:rsid w:val="00DA462A"/>
    <w:rsid w:val="00DA4653"/>
    <w:rsid w:val="00DA4751"/>
    <w:rsid w:val="00DA4823"/>
    <w:rsid w:val="00DA485A"/>
    <w:rsid w:val="00DA487E"/>
    <w:rsid w:val="00DA4921"/>
    <w:rsid w:val="00DA49E9"/>
    <w:rsid w:val="00DA4AEC"/>
    <w:rsid w:val="00DA4B55"/>
    <w:rsid w:val="00DA4C56"/>
    <w:rsid w:val="00DA4C91"/>
    <w:rsid w:val="00DA4D14"/>
    <w:rsid w:val="00DA4E71"/>
    <w:rsid w:val="00DA4FFC"/>
    <w:rsid w:val="00DA5021"/>
    <w:rsid w:val="00DA50E2"/>
    <w:rsid w:val="00DA50F4"/>
    <w:rsid w:val="00DA512C"/>
    <w:rsid w:val="00DA51CE"/>
    <w:rsid w:val="00DA52D1"/>
    <w:rsid w:val="00DA535F"/>
    <w:rsid w:val="00DA545F"/>
    <w:rsid w:val="00DA54B1"/>
    <w:rsid w:val="00DA54E7"/>
    <w:rsid w:val="00DA5521"/>
    <w:rsid w:val="00DA561E"/>
    <w:rsid w:val="00DA57A3"/>
    <w:rsid w:val="00DA57C8"/>
    <w:rsid w:val="00DA5832"/>
    <w:rsid w:val="00DA5990"/>
    <w:rsid w:val="00DA599C"/>
    <w:rsid w:val="00DA59E8"/>
    <w:rsid w:val="00DA5A38"/>
    <w:rsid w:val="00DA5A5F"/>
    <w:rsid w:val="00DA5B1B"/>
    <w:rsid w:val="00DA5B31"/>
    <w:rsid w:val="00DA5B36"/>
    <w:rsid w:val="00DA5B9D"/>
    <w:rsid w:val="00DA5BB1"/>
    <w:rsid w:val="00DA5C29"/>
    <w:rsid w:val="00DA5FC1"/>
    <w:rsid w:val="00DA601B"/>
    <w:rsid w:val="00DA6110"/>
    <w:rsid w:val="00DA6143"/>
    <w:rsid w:val="00DA616B"/>
    <w:rsid w:val="00DA61B8"/>
    <w:rsid w:val="00DA61FA"/>
    <w:rsid w:val="00DA623E"/>
    <w:rsid w:val="00DA62B0"/>
    <w:rsid w:val="00DA62E8"/>
    <w:rsid w:val="00DA631D"/>
    <w:rsid w:val="00DA635A"/>
    <w:rsid w:val="00DA6377"/>
    <w:rsid w:val="00DA6399"/>
    <w:rsid w:val="00DA6411"/>
    <w:rsid w:val="00DA65F8"/>
    <w:rsid w:val="00DA6765"/>
    <w:rsid w:val="00DA67E9"/>
    <w:rsid w:val="00DA6837"/>
    <w:rsid w:val="00DA68F3"/>
    <w:rsid w:val="00DA6929"/>
    <w:rsid w:val="00DA6A93"/>
    <w:rsid w:val="00DA6AB5"/>
    <w:rsid w:val="00DA6C9A"/>
    <w:rsid w:val="00DA6D53"/>
    <w:rsid w:val="00DA6DA3"/>
    <w:rsid w:val="00DA6E04"/>
    <w:rsid w:val="00DA6E39"/>
    <w:rsid w:val="00DA6E79"/>
    <w:rsid w:val="00DA6F93"/>
    <w:rsid w:val="00DA70DE"/>
    <w:rsid w:val="00DA715F"/>
    <w:rsid w:val="00DA726F"/>
    <w:rsid w:val="00DA73A9"/>
    <w:rsid w:val="00DA7505"/>
    <w:rsid w:val="00DA750E"/>
    <w:rsid w:val="00DA7510"/>
    <w:rsid w:val="00DA773B"/>
    <w:rsid w:val="00DA777E"/>
    <w:rsid w:val="00DA77A7"/>
    <w:rsid w:val="00DA7801"/>
    <w:rsid w:val="00DA7A09"/>
    <w:rsid w:val="00DA7AB7"/>
    <w:rsid w:val="00DA7AD6"/>
    <w:rsid w:val="00DA7BD8"/>
    <w:rsid w:val="00DA7BF5"/>
    <w:rsid w:val="00DA7C5E"/>
    <w:rsid w:val="00DA7CBE"/>
    <w:rsid w:val="00DA7CBF"/>
    <w:rsid w:val="00DA7D5F"/>
    <w:rsid w:val="00DA7D7D"/>
    <w:rsid w:val="00DA7D7E"/>
    <w:rsid w:val="00DA7EEF"/>
    <w:rsid w:val="00DA7F32"/>
    <w:rsid w:val="00DA7F6A"/>
    <w:rsid w:val="00DB003C"/>
    <w:rsid w:val="00DB00B9"/>
    <w:rsid w:val="00DB014A"/>
    <w:rsid w:val="00DB024A"/>
    <w:rsid w:val="00DB0278"/>
    <w:rsid w:val="00DB0331"/>
    <w:rsid w:val="00DB0362"/>
    <w:rsid w:val="00DB0485"/>
    <w:rsid w:val="00DB04C7"/>
    <w:rsid w:val="00DB0555"/>
    <w:rsid w:val="00DB0557"/>
    <w:rsid w:val="00DB0573"/>
    <w:rsid w:val="00DB06DB"/>
    <w:rsid w:val="00DB07D8"/>
    <w:rsid w:val="00DB0883"/>
    <w:rsid w:val="00DB09C5"/>
    <w:rsid w:val="00DB09F1"/>
    <w:rsid w:val="00DB0B33"/>
    <w:rsid w:val="00DB0B5F"/>
    <w:rsid w:val="00DB0C91"/>
    <w:rsid w:val="00DB0D0B"/>
    <w:rsid w:val="00DB0D3C"/>
    <w:rsid w:val="00DB0D3F"/>
    <w:rsid w:val="00DB0E26"/>
    <w:rsid w:val="00DB0EFE"/>
    <w:rsid w:val="00DB0FBF"/>
    <w:rsid w:val="00DB0FF3"/>
    <w:rsid w:val="00DB1020"/>
    <w:rsid w:val="00DB1103"/>
    <w:rsid w:val="00DB125D"/>
    <w:rsid w:val="00DB12C9"/>
    <w:rsid w:val="00DB12EB"/>
    <w:rsid w:val="00DB13B1"/>
    <w:rsid w:val="00DB1455"/>
    <w:rsid w:val="00DB1597"/>
    <w:rsid w:val="00DB1604"/>
    <w:rsid w:val="00DB16D4"/>
    <w:rsid w:val="00DB1746"/>
    <w:rsid w:val="00DB1763"/>
    <w:rsid w:val="00DB179A"/>
    <w:rsid w:val="00DB17E0"/>
    <w:rsid w:val="00DB1836"/>
    <w:rsid w:val="00DB184D"/>
    <w:rsid w:val="00DB198D"/>
    <w:rsid w:val="00DB19EB"/>
    <w:rsid w:val="00DB1ADA"/>
    <w:rsid w:val="00DB1B76"/>
    <w:rsid w:val="00DB1BE3"/>
    <w:rsid w:val="00DB1CDD"/>
    <w:rsid w:val="00DB1E6B"/>
    <w:rsid w:val="00DB1E91"/>
    <w:rsid w:val="00DB1EA7"/>
    <w:rsid w:val="00DB1EB8"/>
    <w:rsid w:val="00DB1F37"/>
    <w:rsid w:val="00DB1F47"/>
    <w:rsid w:val="00DB1F84"/>
    <w:rsid w:val="00DB1FE5"/>
    <w:rsid w:val="00DB226C"/>
    <w:rsid w:val="00DB2330"/>
    <w:rsid w:val="00DB24A0"/>
    <w:rsid w:val="00DB25D3"/>
    <w:rsid w:val="00DB25D6"/>
    <w:rsid w:val="00DB25DC"/>
    <w:rsid w:val="00DB264E"/>
    <w:rsid w:val="00DB265E"/>
    <w:rsid w:val="00DB26A4"/>
    <w:rsid w:val="00DB26A9"/>
    <w:rsid w:val="00DB28A1"/>
    <w:rsid w:val="00DB2A9E"/>
    <w:rsid w:val="00DB2AE6"/>
    <w:rsid w:val="00DB2B07"/>
    <w:rsid w:val="00DB2CEE"/>
    <w:rsid w:val="00DB2DA5"/>
    <w:rsid w:val="00DB2DEE"/>
    <w:rsid w:val="00DB2F1F"/>
    <w:rsid w:val="00DB2FD4"/>
    <w:rsid w:val="00DB3033"/>
    <w:rsid w:val="00DB3058"/>
    <w:rsid w:val="00DB3079"/>
    <w:rsid w:val="00DB3155"/>
    <w:rsid w:val="00DB31FB"/>
    <w:rsid w:val="00DB3563"/>
    <w:rsid w:val="00DB35EF"/>
    <w:rsid w:val="00DB3633"/>
    <w:rsid w:val="00DB3797"/>
    <w:rsid w:val="00DB37EF"/>
    <w:rsid w:val="00DB380B"/>
    <w:rsid w:val="00DB3906"/>
    <w:rsid w:val="00DB3A43"/>
    <w:rsid w:val="00DB3A4D"/>
    <w:rsid w:val="00DB3A55"/>
    <w:rsid w:val="00DB3A78"/>
    <w:rsid w:val="00DB3BBD"/>
    <w:rsid w:val="00DB3C13"/>
    <w:rsid w:val="00DB3CC5"/>
    <w:rsid w:val="00DB3CF1"/>
    <w:rsid w:val="00DB3D42"/>
    <w:rsid w:val="00DB3D93"/>
    <w:rsid w:val="00DB3EB1"/>
    <w:rsid w:val="00DB3FAC"/>
    <w:rsid w:val="00DB401E"/>
    <w:rsid w:val="00DB405E"/>
    <w:rsid w:val="00DB4061"/>
    <w:rsid w:val="00DB40D1"/>
    <w:rsid w:val="00DB413C"/>
    <w:rsid w:val="00DB4269"/>
    <w:rsid w:val="00DB42AE"/>
    <w:rsid w:val="00DB42F6"/>
    <w:rsid w:val="00DB43A6"/>
    <w:rsid w:val="00DB43B6"/>
    <w:rsid w:val="00DB4410"/>
    <w:rsid w:val="00DB44AA"/>
    <w:rsid w:val="00DB4567"/>
    <w:rsid w:val="00DB4666"/>
    <w:rsid w:val="00DB4702"/>
    <w:rsid w:val="00DB47F6"/>
    <w:rsid w:val="00DB485E"/>
    <w:rsid w:val="00DB4873"/>
    <w:rsid w:val="00DB490C"/>
    <w:rsid w:val="00DB499D"/>
    <w:rsid w:val="00DB49D0"/>
    <w:rsid w:val="00DB49EF"/>
    <w:rsid w:val="00DB4A68"/>
    <w:rsid w:val="00DB4A8F"/>
    <w:rsid w:val="00DB4B2F"/>
    <w:rsid w:val="00DB4B36"/>
    <w:rsid w:val="00DB4BA0"/>
    <w:rsid w:val="00DB4C89"/>
    <w:rsid w:val="00DB4CC9"/>
    <w:rsid w:val="00DB4D26"/>
    <w:rsid w:val="00DB4D2D"/>
    <w:rsid w:val="00DB4D8C"/>
    <w:rsid w:val="00DB4F7F"/>
    <w:rsid w:val="00DB4FC4"/>
    <w:rsid w:val="00DB5117"/>
    <w:rsid w:val="00DB51CF"/>
    <w:rsid w:val="00DB552C"/>
    <w:rsid w:val="00DB5541"/>
    <w:rsid w:val="00DB55B1"/>
    <w:rsid w:val="00DB55C7"/>
    <w:rsid w:val="00DB5649"/>
    <w:rsid w:val="00DB573D"/>
    <w:rsid w:val="00DB57BE"/>
    <w:rsid w:val="00DB5801"/>
    <w:rsid w:val="00DB586D"/>
    <w:rsid w:val="00DB59D1"/>
    <w:rsid w:val="00DB5B26"/>
    <w:rsid w:val="00DB5C2D"/>
    <w:rsid w:val="00DB5CAC"/>
    <w:rsid w:val="00DB5CC6"/>
    <w:rsid w:val="00DB5DB3"/>
    <w:rsid w:val="00DB5DD9"/>
    <w:rsid w:val="00DB5E03"/>
    <w:rsid w:val="00DB5E7B"/>
    <w:rsid w:val="00DB5ED8"/>
    <w:rsid w:val="00DB5F0C"/>
    <w:rsid w:val="00DB5F9C"/>
    <w:rsid w:val="00DB5FCC"/>
    <w:rsid w:val="00DB5FE8"/>
    <w:rsid w:val="00DB6031"/>
    <w:rsid w:val="00DB628C"/>
    <w:rsid w:val="00DB6313"/>
    <w:rsid w:val="00DB6328"/>
    <w:rsid w:val="00DB6585"/>
    <w:rsid w:val="00DB661E"/>
    <w:rsid w:val="00DB6647"/>
    <w:rsid w:val="00DB664A"/>
    <w:rsid w:val="00DB6659"/>
    <w:rsid w:val="00DB67E1"/>
    <w:rsid w:val="00DB67F4"/>
    <w:rsid w:val="00DB6917"/>
    <w:rsid w:val="00DB6926"/>
    <w:rsid w:val="00DB6B0E"/>
    <w:rsid w:val="00DB6B68"/>
    <w:rsid w:val="00DB6BE4"/>
    <w:rsid w:val="00DB6C8A"/>
    <w:rsid w:val="00DB6DE3"/>
    <w:rsid w:val="00DB6EDC"/>
    <w:rsid w:val="00DB6F82"/>
    <w:rsid w:val="00DB6FE1"/>
    <w:rsid w:val="00DB703C"/>
    <w:rsid w:val="00DB725E"/>
    <w:rsid w:val="00DB7276"/>
    <w:rsid w:val="00DB7312"/>
    <w:rsid w:val="00DB736F"/>
    <w:rsid w:val="00DB739B"/>
    <w:rsid w:val="00DB7463"/>
    <w:rsid w:val="00DB74BC"/>
    <w:rsid w:val="00DB754A"/>
    <w:rsid w:val="00DB7591"/>
    <w:rsid w:val="00DB76C0"/>
    <w:rsid w:val="00DB7727"/>
    <w:rsid w:val="00DB7749"/>
    <w:rsid w:val="00DB77C2"/>
    <w:rsid w:val="00DB790A"/>
    <w:rsid w:val="00DB797A"/>
    <w:rsid w:val="00DB7A4A"/>
    <w:rsid w:val="00DB7A63"/>
    <w:rsid w:val="00DB7A81"/>
    <w:rsid w:val="00DB7B73"/>
    <w:rsid w:val="00DB7BAA"/>
    <w:rsid w:val="00DB7BBB"/>
    <w:rsid w:val="00DB7BE9"/>
    <w:rsid w:val="00DB7C9F"/>
    <w:rsid w:val="00DB7DF7"/>
    <w:rsid w:val="00DB7E73"/>
    <w:rsid w:val="00DB7F41"/>
    <w:rsid w:val="00DB7F53"/>
    <w:rsid w:val="00DB7F66"/>
    <w:rsid w:val="00DB7F94"/>
    <w:rsid w:val="00DC003B"/>
    <w:rsid w:val="00DC00E6"/>
    <w:rsid w:val="00DC0281"/>
    <w:rsid w:val="00DC0493"/>
    <w:rsid w:val="00DC062A"/>
    <w:rsid w:val="00DC06A6"/>
    <w:rsid w:val="00DC0752"/>
    <w:rsid w:val="00DC07AA"/>
    <w:rsid w:val="00DC07CC"/>
    <w:rsid w:val="00DC07D6"/>
    <w:rsid w:val="00DC081A"/>
    <w:rsid w:val="00DC085C"/>
    <w:rsid w:val="00DC0891"/>
    <w:rsid w:val="00DC0910"/>
    <w:rsid w:val="00DC09CF"/>
    <w:rsid w:val="00DC09F2"/>
    <w:rsid w:val="00DC0A4B"/>
    <w:rsid w:val="00DC0B87"/>
    <w:rsid w:val="00DC0BA5"/>
    <w:rsid w:val="00DC0C0E"/>
    <w:rsid w:val="00DC0C11"/>
    <w:rsid w:val="00DC0CD6"/>
    <w:rsid w:val="00DC0E05"/>
    <w:rsid w:val="00DC0F8F"/>
    <w:rsid w:val="00DC0FB4"/>
    <w:rsid w:val="00DC103E"/>
    <w:rsid w:val="00DC1146"/>
    <w:rsid w:val="00DC1179"/>
    <w:rsid w:val="00DC125F"/>
    <w:rsid w:val="00DC129D"/>
    <w:rsid w:val="00DC134C"/>
    <w:rsid w:val="00DC137D"/>
    <w:rsid w:val="00DC14AF"/>
    <w:rsid w:val="00DC14C2"/>
    <w:rsid w:val="00DC14E5"/>
    <w:rsid w:val="00DC1502"/>
    <w:rsid w:val="00DC1518"/>
    <w:rsid w:val="00DC15B4"/>
    <w:rsid w:val="00DC1614"/>
    <w:rsid w:val="00DC1710"/>
    <w:rsid w:val="00DC1720"/>
    <w:rsid w:val="00DC1723"/>
    <w:rsid w:val="00DC1740"/>
    <w:rsid w:val="00DC1774"/>
    <w:rsid w:val="00DC17CB"/>
    <w:rsid w:val="00DC1814"/>
    <w:rsid w:val="00DC1904"/>
    <w:rsid w:val="00DC19D7"/>
    <w:rsid w:val="00DC1E40"/>
    <w:rsid w:val="00DC1E81"/>
    <w:rsid w:val="00DC1EFF"/>
    <w:rsid w:val="00DC1F8E"/>
    <w:rsid w:val="00DC1FFE"/>
    <w:rsid w:val="00DC2169"/>
    <w:rsid w:val="00DC21A8"/>
    <w:rsid w:val="00DC21DA"/>
    <w:rsid w:val="00DC2212"/>
    <w:rsid w:val="00DC2318"/>
    <w:rsid w:val="00DC23AE"/>
    <w:rsid w:val="00DC23C9"/>
    <w:rsid w:val="00DC24C3"/>
    <w:rsid w:val="00DC25A7"/>
    <w:rsid w:val="00DC25EB"/>
    <w:rsid w:val="00DC25FC"/>
    <w:rsid w:val="00DC267C"/>
    <w:rsid w:val="00DC26D8"/>
    <w:rsid w:val="00DC27A9"/>
    <w:rsid w:val="00DC2863"/>
    <w:rsid w:val="00DC2970"/>
    <w:rsid w:val="00DC2A29"/>
    <w:rsid w:val="00DC2A90"/>
    <w:rsid w:val="00DC2AB6"/>
    <w:rsid w:val="00DC2AD1"/>
    <w:rsid w:val="00DC2B2A"/>
    <w:rsid w:val="00DC2B76"/>
    <w:rsid w:val="00DC2C02"/>
    <w:rsid w:val="00DC2C75"/>
    <w:rsid w:val="00DC2CCB"/>
    <w:rsid w:val="00DC2D3A"/>
    <w:rsid w:val="00DC2D7A"/>
    <w:rsid w:val="00DC2E7C"/>
    <w:rsid w:val="00DC2E8A"/>
    <w:rsid w:val="00DC3058"/>
    <w:rsid w:val="00DC30E5"/>
    <w:rsid w:val="00DC30F1"/>
    <w:rsid w:val="00DC311A"/>
    <w:rsid w:val="00DC316F"/>
    <w:rsid w:val="00DC3255"/>
    <w:rsid w:val="00DC325A"/>
    <w:rsid w:val="00DC327C"/>
    <w:rsid w:val="00DC3469"/>
    <w:rsid w:val="00DC3633"/>
    <w:rsid w:val="00DC36E4"/>
    <w:rsid w:val="00DC3A2E"/>
    <w:rsid w:val="00DC3ADE"/>
    <w:rsid w:val="00DC3AEF"/>
    <w:rsid w:val="00DC3BBB"/>
    <w:rsid w:val="00DC3CBE"/>
    <w:rsid w:val="00DC3DA0"/>
    <w:rsid w:val="00DC3E6B"/>
    <w:rsid w:val="00DC3EA0"/>
    <w:rsid w:val="00DC3EA5"/>
    <w:rsid w:val="00DC4023"/>
    <w:rsid w:val="00DC406E"/>
    <w:rsid w:val="00DC4108"/>
    <w:rsid w:val="00DC41DE"/>
    <w:rsid w:val="00DC42FA"/>
    <w:rsid w:val="00DC43C7"/>
    <w:rsid w:val="00DC4455"/>
    <w:rsid w:val="00DC4459"/>
    <w:rsid w:val="00DC44F6"/>
    <w:rsid w:val="00DC4566"/>
    <w:rsid w:val="00DC456D"/>
    <w:rsid w:val="00DC4616"/>
    <w:rsid w:val="00DC465C"/>
    <w:rsid w:val="00DC46DE"/>
    <w:rsid w:val="00DC4837"/>
    <w:rsid w:val="00DC48BC"/>
    <w:rsid w:val="00DC4A0A"/>
    <w:rsid w:val="00DC4A8A"/>
    <w:rsid w:val="00DC4B9E"/>
    <w:rsid w:val="00DC4BF1"/>
    <w:rsid w:val="00DC4C64"/>
    <w:rsid w:val="00DC4C76"/>
    <w:rsid w:val="00DC4DD0"/>
    <w:rsid w:val="00DC4E3C"/>
    <w:rsid w:val="00DC4E6F"/>
    <w:rsid w:val="00DC4E7F"/>
    <w:rsid w:val="00DC4EC7"/>
    <w:rsid w:val="00DC4EDF"/>
    <w:rsid w:val="00DC4F35"/>
    <w:rsid w:val="00DC4F64"/>
    <w:rsid w:val="00DC50C5"/>
    <w:rsid w:val="00DC51E3"/>
    <w:rsid w:val="00DC52E2"/>
    <w:rsid w:val="00DC52E5"/>
    <w:rsid w:val="00DC5315"/>
    <w:rsid w:val="00DC5326"/>
    <w:rsid w:val="00DC533A"/>
    <w:rsid w:val="00DC53CC"/>
    <w:rsid w:val="00DC54C6"/>
    <w:rsid w:val="00DC54EA"/>
    <w:rsid w:val="00DC5523"/>
    <w:rsid w:val="00DC554F"/>
    <w:rsid w:val="00DC55D5"/>
    <w:rsid w:val="00DC5621"/>
    <w:rsid w:val="00DC56EF"/>
    <w:rsid w:val="00DC5845"/>
    <w:rsid w:val="00DC5847"/>
    <w:rsid w:val="00DC586F"/>
    <w:rsid w:val="00DC58F6"/>
    <w:rsid w:val="00DC5977"/>
    <w:rsid w:val="00DC59D9"/>
    <w:rsid w:val="00DC5A79"/>
    <w:rsid w:val="00DC5AD8"/>
    <w:rsid w:val="00DC5CD7"/>
    <w:rsid w:val="00DC5DB3"/>
    <w:rsid w:val="00DC5EF0"/>
    <w:rsid w:val="00DC5F11"/>
    <w:rsid w:val="00DC5FC9"/>
    <w:rsid w:val="00DC6063"/>
    <w:rsid w:val="00DC624D"/>
    <w:rsid w:val="00DC62C0"/>
    <w:rsid w:val="00DC6339"/>
    <w:rsid w:val="00DC6355"/>
    <w:rsid w:val="00DC6387"/>
    <w:rsid w:val="00DC64A7"/>
    <w:rsid w:val="00DC64BF"/>
    <w:rsid w:val="00DC663B"/>
    <w:rsid w:val="00DC667D"/>
    <w:rsid w:val="00DC66C1"/>
    <w:rsid w:val="00DC697D"/>
    <w:rsid w:val="00DC6995"/>
    <w:rsid w:val="00DC6A34"/>
    <w:rsid w:val="00DC6B33"/>
    <w:rsid w:val="00DC6B46"/>
    <w:rsid w:val="00DC6BD1"/>
    <w:rsid w:val="00DC6BD5"/>
    <w:rsid w:val="00DC6C02"/>
    <w:rsid w:val="00DC6D67"/>
    <w:rsid w:val="00DC6DA1"/>
    <w:rsid w:val="00DC6DFF"/>
    <w:rsid w:val="00DC6EED"/>
    <w:rsid w:val="00DC6EF3"/>
    <w:rsid w:val="00DC6F29"/>
    <w:rsid w:val="00DC70AE"/>
    <w:rsid w:val="00DC7104"/>
    <w:rsid w:val="00DC722C"/>
    <w:rsid w:val="00DC72EE"/>
    <w:rsid w:val="00DC73FB"/>
    <w:rsid w:val="00DC740B"/>
    <w:rsid w:val="00DC7412"/>
    <w:rsid w:val="00DC745C"/>
    <w:rsid w:val="00DC749D"/>
    <w:rsid w:val="00DC74AD"/>
    <w:rsid w:val="00DC7583"/>
    <w:rsid w:val="00DC76B3"/>
    <w:rsid w:val="00DC772C"/>
    <w:rsid w:val="00DC7743"/>
    <w:rsid w:val="00DC77A4"/>
    <w:rsid w:val="00DC7973"/>
    <w:rsid w:val="00DC7A3E"/>
    <w:rsid w:val="00DC7A73"/>
    <w:rsid w:val="00DC7AE2"/>
    <w:rsid w:val="00DC7B8F"/>
    <w:rsid w:val="00DC7BCA"/>
    <w:rsid w:val="00DC7CCB"/>
    <w:rsid w:val="00DC7E59"/>
    <w:rsid w:val="00DC7EA6"/>
    <w:rsid w:val="00DC7F30"/>
    <w:rsid w:val="00DC7FDC"/>
    <w:rsid w:val="00DCC731"/>
    <w:rsid w:val="00DD0032"/>
    <w:rsid w:val="00DD004E"/>
    <w:rsid w:val="00DD00CA"/>
    <w:rsid w:val="00DD011E"/>
    <w:rsid w:val="00DD0121"/>
    <w:rsid w:val="00DD02A3"/>
    <w:rsid w:val="00DD0373"/>
    <w:rsid w:val="00DD051C"/>
    <w:rsid w:val="00DD05D7"/>
    <w:rsid w:val="00DD0812"/>
    <w:rsid w:val="00DD0953"/>
    <w:rsid w:val="00DD098F"/>
    <w:rsid w:val="00DD09EE"/>
    <w:rsid w:val="00DD0A27"/>
    <w:rsid w:val="00DD0AD7"/>
    <w:rsid w:val="00DD0BFD"/>
    <w:rsid w:val="00DD0CB7"/>
    <w:rsid w:val="00DD0D65"/>
    <w:rsid w:val="00DD0D74"/>
    <w:rsid w:val="00DD0E90"/>
    <w:rsid w:val="00DD0F13"/>
    <w:rsid w:val="00DD1018"/>
    <w:rsid w:val="00DD13F2"/>
    <w:rsid w:val="00DD14A4"/>
    <w:rsid w:val="00DD1533"/>
    <w:rsid w:val="00DD15A1"/>
    <w:rsid w:val="00DD1619"/>
    <w:rsid w:val="00DD16BC"/>
    <w:rsid w:val="00DD17DC"/>
    <w:rsid w:val="00DD1915"/>
    <w:rsid w:val="00DD1991"/>
    <w:rsid w:val="00DD19BE"/>
    <w:rsid w:val="00DD1A5E"/>
    <w:rsid w:val="00DD1A6A"/>
    <w:rsid w:val="00DD1A95"/>
    <w:rsid w:val="00DD1CD4"/>
    <w:rsid w:val="00DD1CDE"/>
    <w:rsid w:val="00DD1E2C"/>
    <w:rsid w:val="00DD1EB5"/>
    <w:rsid w:val="00DD1EED"/>
    <w:rsid w:val="00DD1EFB"/>
    <w:rsid w:val="00DD1F67"/>
    <w:rsid w:val="00DD20CB"/>
    <w:rsid w:val="00DD20E3"/>
    <w:rsid w:val="00DD21B2"/>
    <w:rsid w:val="00DD21C0"/>
    <w:rsid w:val="00DD2209"/>
    <w:rsid w:val="00DD221E"/>
    <w:rsid w:val="00DD22C1"/>
    <w:rsid w:val="00DD22F6"/>
    <w:rsid w:val="00DD237E"/>
    <w:rsid w:val="00DD23B1"/>
    <w:rsid w:val="00DD2708"/>
    <w:rsid w:val="00DD2810"/>
    <w:rsid w:val="00DD28B3"/>
    <w:rsid w:val="00DD2906"/>
    <w:rsid w:val="00DD29AF"/>
    <w:rsid w:val="00DD2A64"/>
    <w:rsid w:val="00DD2A96"/>
    <w:rsid w:val="00DD2B10"/>
    <w:rsid w:val="00DD2C81"/>
    <w:rsid w:val="00DD2C91"/>
    <w:rsid w:val="00DD2CB4"/>
    <w:rsid w:val="00DD2CFD"/>
    <w:rsid w:val="00DD2D2E"/>
    <w:rsid w:val="00DD3044"/>
    <w:rsid w:val="00DD304D"/>
    <w:rsid w:val="00DD307A"/>
    <w:rsid w:val="00DD30B7"/>
    <w:rsid w:val="00DD31D8"/>
    <w:rsid w:val="00DD3202"/>
    <w:rsid w:val="00DD331E"/>
    <w:rsid w:val="00DD3367"/>
    <w:rsid w:val="00DD3378"/>
    <w:rsid w:val="00DD33DE"/>
    <w:rsid w:val="00DD3494"/>
    <w:rsid w:val="00DD354E"/>
    <w:rsid w:val="00DD3559"/>
    <w:rsid w:val="00DD35AC"/>
    <w:rsid w:val="00DD3713"/>
    <w:rsid w:val="00DD3754"/>
    <w:rsid w:val="00DD3761"/>
    <w:rsid w:val="00DD3773"/>
    <w:rsid w:val="00DD37C4"/>
    <w:rsid w:val="00DD3855"/>
    <w:rsid w:val="00DD38FF"/>
    <w:rsid w:val="00DD3924"/>
    <w:rsid w:val="00DD39A3"/>
    <w:rsid w:val="00DD3B97"/>
    <w:rsid w:val="00DD3C67"/>
    <w:rsid w:val="00DD3D3E"/>
    <w:rsid w:val="00DD3D4F"/>
    <w:rsid w:val="00DD3DE9"/>
    <w:rsid w:val="00DD3E0A"/>
    <w:rsid w:val="00DD3E4A"/>
    <w:rsid w:val="00DD3EE0"/>
    <w:rsid w:val="00DD3F3D"/>
    <w:rsid w:val="00DD3F5E"/>
    <w:rsid w:val="00DD3F9E"/>
    <w:rsid w:val="00DD4062"/>
    <w:rsid w:val="00DD4097"/>
    <w:rsid w:val="00DD4101"/>
    <w:rsid w:val="00DD416A"/>
    <w:rsid w:val="00DD417C"/>
    <w:rsid w:val="00DD429F"/>
    <w:rsid w:val="00DD447C"/>
    <w:rsid w:val="00DD471E"/>
    <w:rsid w:val="00DD4834"/>
    <w:rsid w:val="00DD4858"/>
    <w:rsid w:val="00DD4AAB"/>
    <w:rsid w:val="00DD4AE0"/>
    <w:rsid w:val="00DD4BA2"/>
    <w:rsid w:val="00DD4C1B"/>
    <w:rsid w:val="00DD4D00"/>
    <w:rsid w:val="00DD4E7D"/>
    <w:rsid w:val="00DD4F9C"/>
    <w:rsid w:val="00DD4FE8"/>
    <w:rsid w:val="00DD50DC"/>
    <w:rsid w:val="00DD5147"/>
    <w:rsid w:val="00DD51EA"/>
    <w:rsid w:val="00DD52A4"/>
    <w:rsid w:val="00DD540F"/>
    <w:rsid w:val="00DD542C"/>
    <w:rsid w:val="00DD5475"/>
    <w:rsid w:val="00DD551A"/>
    <w:rsid w:val="00DD552F"/>
    <w:rsid w:val="00DD55A0"/>
    <w:rsid w:val="00DD569E"/>
    <w:rsid w:val="00DD56EA"/>
    <w:rsid w:val="00DD572E"/>
    <w:rsid w:val="00DD5805"/>
    <w:rsid w:val="00DD5811"/>
    <w:rsid w:val="00DD5876"/>
    <w:rsid w:val="00DD595E"/>
    <w:rsid w:val="00DD59C5"/>
    <w:rsid w:val="00DD59DB"/>
    <w:rsid w:val="00DD59F1"/>
    <w:rsid w:val="00DD5A7A"/>
    <w:rsid w:val="00DD5B77"/>
    <w:rsid w:val="00DD5B9B"/>
    <w:rsid w:val="00DD5C54"/>
    <w:rsid w:val="00DD5D4D"/>
    <w:rsid w:val="00DD5EAB"/>
    <w:rsid w:val="00DD6011"/>
    <w:rsid w:val="00DD603C"/>
    <w:rsid w:val="00DD60B2"/>
    <w:rsid w:val="00DD610A"/>
    <w:rsid w:val="00DD612F"/>
    <w:rsid w:val="00DD616B"/>
    <w:rsid w:val="00DD62DC"/>
    <w:rsid w:val="00DD6470"/>
    <w:rsid w:val="00DD64D8"/>
    <w:rsid w:val="00DD65A0"/>
    <w:rsid w:val="00DD6664"/>
    <w:rsid w:val="00DD66E0"/>
    <w:rsid w:val="00DD6780"/>
    <w:rsid w:val="00DD67FD"/>
    <w:rsid w:val="00DD6800"/>
    <w:rsid w:val="00DD69BD"/>
    <w:rsid w:val="00DD6AB6"/>
    <w:rsid w:val="00DD6E53"/>
    <w:rsid w:val="00DD70AB"/>
    <w:rsid w:val="00DD7198"/>
    <w:rsid w:val="00DD71F7"/>
    <w:rsid w:val="00DD7304"/>
    <w:rsid w:val="00DD7418"/>
    <w:rsid w:val="00DD74DA"/>
    <w:rsid w:val="00DD768A"/>
    <w:rsid w:val="00DD7718"/>
    <w:rsid w:val="00DD77C8"/>
    <w:rsid w:val="00DD79E0"/>
    <w:rsid w:val="00DD7A99"/>
    <w:rsid w:val="00DD7AAE"/>
    <w:rsid w:val="00DD7BDB"/>
    <w:rsid w:val="00DD7CC7"/>
    <w:rsid w:val="00DD7D04"/>
    <w:rsid w:val="00DD7E24"/>
    <w:rsid w:val="00DD7F77"/>
    <w:rsid w:val="00DD7FBD"/>
    <w:rsid w:val="00DE004E"/>
    <w:rsid w:val="00DE0071"/>
    <w:rsid w:val="00DE0298"/>
    <w:rsid w:val="00DE02F5"/>
    <w:rsid w:val="00DE0310"/>
    <w:rsid w:val="00DE0513"/>
    <w:rsid w:val="00DE05CD"/>
    <w:rsid w:val="00DE0697"/>
    <w:rsid w:val="00DE073A"/>
    <w:rsid w:val="00DE07EF"/>
    <w:rsid w:val="00DE0860"/>
    <w:rsid w:val="00DE092F"/>
    <w:rsid w:val="00DE0A19"/>
    <w:rsid w:val="00DE0A81"/>
    <w:rsid w:val="00DE0B27"/>
    <w:rsid w:val="00DE0B95"/>
    <w:rsid w:val="00DE0C46"/>
    <w:rsid w:val="00DE0C5A"/>
    <w:rsid w:val="00DE0D30"/>
    <w:rsid w:val="00DE0D6E"/>
    <w:rsid w:val="00DE0D9F"/>
    <w:rsid w:val="00DE0EA3"/>
    <w:rsid w:val="00DE0F3D"/>
    <w:rsid w:val="00DE11F4"/>
    <w:rsid w:val="00DE1223"/>
    <w:rsid w:val="00DE144D"/>
    <w:rsid w:val="00DE153A"/>
    <w:rsid w:val="00DE1560"/>
    <w:rsid w:val="00DE168E"/>
    <w:rsid w:val="00DE1703"/>
    <w:rsid w:val="00DE1796"/>
    <w:rsid w:val="00DE1813"/>
    <w:rsid w:val="00DE1829"/>
    <w:rsid w:val="00DE193A"/>
    <w:rsid w:val="00DE1973"/>
    <w:rsid w:val="00DE19F3"/>
    <w:rsid w:val="00DE19FE"/>
    <w:rsid w:val="00DE1A09"/>
    <w:rsid w:val="00DE1A0F"/>
    <w:rsid w:val="00DE1A1E"/>
    <w:rsid w:val="00DE1C2D"/>
    <w:rsid w:val="00DE1C43"/>
    <w:rsid w:val="00DE1D64"/>
    <w:rsid w:val="00DE1D66"/>
    <w:rsid w:val="00DE1F3F"/>
    <w:rsid w:val="00DE1FFB"/>
    <w:rsid w:val="00DE2052"/>
    <w:rsid w:val="00DE20FC"/>
    <w:rsid w:val="00DE219A"/>
    <w:rsid w:val="00DE221C"/>
    <w:rsid w:val="00DE224F"/>
    <w:rsid w:val="00DE229E"/>
    <w:rsid w:val="00DE23A0"/>
    <w:rsid w:val="00DE2496"/>
    <w:rsid w:val="00DE24AF"/>
    <w:rsid w:val="00DE2521"/>
    <w:rsid w:val="00DE2609"/>
    <w:rsid w:val="00DE2644"/>
    <w:rsid w:val="00DE267F"/>
    <w:rsid w:val="00DE26E3"/>
    <w:rsid w:val="00DE285C"/>
    <w:rsid w:val="00DE286F"/>
    <w:rsid w:val="00DE2924"/>
    <w:rsid w:val="00DE2990"/>
    <w:rsid w:val="00DE29D0"/>
    <w:rsid w:val="00DE2A2B"/>
    <w:rsid w:val="00DE2C16"/>
    <w:rsid w:val="00DE2C6A"/>
    <w:rsid w:val="00DE2DC7"/>
    <w:rsid w:val="00DE2DD2"/>
    <w:rsid w:val="00DE2F09"/>
    <w:rsid w:val="00DE2F3F"/>
    <w:rsid w:val="00DE3094"/>
    <w:rsid w:val="00DE30C7"/>
    <w:rsid w:val="00DE30E3"/>
    <w:rsid w:val="00DE3112"/>
    <w:rsid w:val="00DE3176"/>
    <w:rsid w:val="00DE31BC"/>
    <w:rsid w:val="00DE3239"/>
    <w:rsid w:val="00DE323C"/>
    <w:rsid w:val="00DE32E7"/>
    <w:rsid w:val="00DE3392"/>
    <w:rsid w:val="00DE33A8"/>
    <w:rsid w:val="00DE33B7"/>
    <w:rsid w:val="00DE33C8"/>
    <w:rsid w:val="00DE33FB"/>
    <w:rsid w:val="00DE350D"/>
    <w:rsid w:val="00DE3607"/>
    <w:rsid w:val="00DE3628"/>
    <w:rsid w:val="00DE384B"/>
    <w:rsid w:val="00DE3883"/>
    <w:rsid w:val="00DE3A45"/>
    <w:rsid w:val="00DE3A66"/>
    <w:rsid w:val="00DE3B01"/>
    <w:rsid w:val="00DE3B4B"/>
    <w:rsid w:val="00DE3B76"/>
    <w:rsid w:val="00DE3C10"/>
    <w:rsid w:val="00DE3C3B"/>
    <w:rsid w:val="00DE3C53"/>
    <w:rsid w:val="00DE3D5F"/>
    <w:rsid w:val="00DE3E13"/>
    <w:rsid w:val="00DE4065"/>
    <w:rsid w:val="00DE4074"/>
    <w:rsid w:val="00DE40C8"/>
    <w:rsid w:val="00DE4132"/>
    <w:rsid w:val="00DE4140"/>
    <w:rsid w:val="00DE41D3"/>
    <w:rsid w:val="00DE425A"/>
    <w:rsid w:val="00DE42DD"/>
    <w:rsid w:val="00DE4325"/>
    <w:rsid w:val="00DE4488"/>
    <w:rsid w:val="00DE450B"/>
    <w:rsid w:val="00DE4597"/>
    <w:rsid w:val="00DE45B5"/>
    <w:rsid w:val="00DE465F"/>
    <w:rsid w:val="00DE4773"/>
    <w:rsid w:val="00DE4860"/>
    <w:rsid w:val="00DE49E0"/>
    <w:rsid w:val="00DE49EB"/>
    <w:rsid w:val="00DE4A55"/>
    <w:rsid w:val="00DE4B60"/>
    <w:rsid w:val="00DE4BDA"/>
    <w:rsid w:val="00DE4BDB"/>
    <w:rsid w:val="00DE4C7E"/>
    <w:rsid w:val="00DE4C92"/>
    <w:rsid w:val="00DE4CCF"/>
    <w:rsid w:val="00DE4D8F"/>
    <w:rsid w:val="00DE4FCD"/>
    <w:rsid w:val="00DE5159"/>
    <w:rsid w:val="00DE52A2"/>
    <w:rsid w:val="00DE52EE"/>
    <w:rsid w:val="00DE5376"/>
    <w:rsid w:val="00DE537C"/>
    <w:rsid w:val="00DE5498"/>
    <w:rsid w:val="00DE5540"/>
    <w:rsid w:val="00DE55E9"/>
    <w:rsid w:val="00DE57F6"/>
    <w:rsid w:val="00DE5951"/>
    <w:rsid w:val="00DE5991"/>
    <w:rsid w:val="00DE5996"/>
    <w:rsid w:val="00DE59DF"/>
    <w:rsid w:val="00DE5A47"/>
    <w:rsid w:val="00DE5AA4"/>
    <w:rsid w:val="00DE5AC4"/>
    <w:rsid w:val="00DE5B08"/>
    <w:rsid w:val="00DE5B69"/>
    <w:rsid w:val="00DE5C2D"/>
    <w:rsid w:val="00DE5E45"/>
    <w:rsid w:val="00DE5ED1"/>
    <w:rsid w:val="00DE5F98"/>
    <w:rsid w:val="00DE6001"/>
    <w:rsid w:val="00DE6026"/>
    <w:rsid w:val="00DE6096"/>
    <w:rsid w:val="00DE609B"/>
    <w:rsid w:val="00DE60D2"/>
    <w:rsid w:val="00DE6160"/>
    <w:rsid w:val="00DE6167"/>
    <w:rsid w:val="00DE61DA"/>
    <w:rsid w:val="00DE6394"/>
    <w:rsid w:val="00DE63E4"/>
    <w:rsid w:val="00DE644D"/>
    <w:rsid w:val="00DE6614"/>
    <w:rsid w:val="00DE6618"/>
    <w:rsid w:val="00DE67F8"/>
    <w:rsid w:val="00DE685C"/>
    <w:rsid w:val="00DE68EA"/>
    <w:rsid w:val="00DE6908"/>
    <w:rsid w:val="00DE698B"/>
    <w:rsid w:val="00DE69A6"/>
    <w:rsid w:val="00DE69C1"/>
    <w:rsid w:val="00DE6AC9"/>
    <w:rsid w:val="00DE6BB2"/>
    <w:rsid w:val="00DE6BD8"/>
    <w:rsid w:val="00DE6CA4"/>
    <w:rsid w:val="00DE6CFA"/>
    <w:rsid w:val="00DE6D43"/>
    <w:rsid w:val="00DE6F2F"/>
    <w:rsid w:val="00DE6F85"/>
    <w:rsid w:val="00DE7099"/>
    <w:rsid w:val="00DE7180"/>
    <w:rsid w:val="00DE722F"/>
    <w:rsid w:val="00DE7263"/>
    <w:rsid w:val="00DE734D"/>
    <w:rsid w:val="00DE74A4"/>
    <w:rsid w:val="00DE7685"/>
    <w:rsid w:val="00DE7723"/>
    <w:rsid w:val="00DE7896"/>
    <w:rsid w:val="00DE790E"/>
    <w:rsid w:val="00DE7924"/>
    <w:rsid w:val="00DE79C7"/>
    <w:rsid w:val="00DE7A0F"/>
    <w:rsid w:val="00DE7A37"/>
    <w:rsid w:val="00DE7A82"/>
    <w:rsid w:val="00DE7AE5"/>
    <w:rsid w:val="00DE7B9D"/>
    <w:rsid w:val="00DE7C21"/>
    <w:rsid w:val="00DE7C62"/>
    <w:rsid w:val="00DE7CE0"/>
    <w:rsid w:val="00DE7DDE"/>
    <w:rsid w:val="00DE7F3A"/>
    <w:rsid w:val="00DE7F58"/>
    <w:rsid w:val="00DE7F77"/>
    <w:rsid w:val="00DE7FB8"/>
    <w:rsid w:val="00DF004F"/>
    <w:rsid w:val="00DF007A"/>
    <w:rsid w:val="00DF00FF"/>
    <w:rsid w:val="00DF013F"/>
    <w:rsid w:val="00DF0255"/>
    <w:rsid w:val="00DF02DD"/>
    <w:rsid w:val="00DF0401"/>
    <w:rsid w:val="00DF0493"/>
    <w:rsid w:val="00DF05C3"/>
    <w:rsid w:val="00DF0632"/>
    <w:rsid w:val="00DF064F"/>
    <w:rsid w:val="00DF0728"/>
    <w:rsid w:val="00DF072A"/>
    <w:rsid w:val="00DF0739"/>
    <w:rsid w:val="00DF0748"/>
    <w:rsid w:val="00DF0839"/>
    <w:rsid w:val="00DF09D7"/>
    <w:rsid w:val="00DF0C02"/>
    <w:rsid w:val="00DF0C74"/>
    <w:rsid w:val="00DF0E49"/>
    <w:rsid w:val="00DF0E4A"/>
    <w:rsid w:val="00DF0EAE"/>
    <w:rsid w:val="00DF0F73"/>
    <w:rsid w:val="00DF0FAA"/>
    <w:rsid w:val="00DF0FB1"/>
    <w:rsid w:val="00DF0FCB"/>
    <w:rsid w:val="00DF1064"/>
    <w:rsid w:val="00DF10B7"/>
    <w:rsid w:val="00DF10D9"/>
    <w:rsid w:val="00DF10FE"/>
    <w:rsid w:val="00DF1137"/>
    <w:rsid w:val="00DF1163"/>
    <w:rsid w:val="00DF11BE"/>
    <w:rsid w:val="00DF146C"/>
    <w:rsid w:val="00DF15B8"/>
    <w:rsid w:val="00DF15BA"/>
    <w:rsid w:val="00DF15F3"/>
    <w:rsid w:val="00DF17D4"/>
    <w:rsid w:val="00DF1833"/>
    <w:rsid w:val="00DF1855"/>
    <w:rsid w:val="00DF18A6"/>
    <w:rsid w:val="00DF1926"/>
    <w:rsid w:val="00DF1AEE"/>
    <w:rsid w:val="00DF1BBF"/>
    <w:rsid w:val="00DF1D08"/>
    <w:rsid w:val="00DF1D34"/>
    <w:rsid w:val="00DF1D90"/>
    <w:rsid w:val="00DF1D9A"/>
    <w:rsid w:val="00DF1E59"/>
    <w:rsid w:val="00DF1E93"/>
    <w:rsid w:val="00DF1E98"/>
    <w:rsid w:val="00DF1F2E"/>
    <w:rsid w:val="00DF1FB2"/>
    <w:rsid w:val="00DF1FE5"/>
    <w:rsid w:val="00DF20A2"/>
    <w:rsid w:val="00DF21DE"/>
    <w:rsid w:val="00DF22E1"/>
    <w:rsid w:val="00DF22E4"/>
    <w:rsid w:val="00DF2301"/>
    <w:rsid w:val="00DF2326"/>
    <w:rsid w:val="00DF23B3"/>
    <w:rsid w:val="00DF23EB"/>
    <w:rsid w:val="00DF2417"/>
    <w:rsid w:val="00DF2420"/>
    <w:rsid w:val="00DF243E"/>
    <w:rsid w:val="00DF25FA"/>
    <w:rsid w:val="00DF2691"/>
    <w:rsid w:val="00DF2735"/>
    <w:rsid w:val="00DF27A2"/>
    <w:rsid w:val="00DF286B"/>
    <w:rsid w:val="00DF29DD"/>
    <w:rsid w:val="00DF2AA3"/>
    <w:rsid w:val="00DF2B81"/>
    <w:rsid w:val="00DF2E68"/>
    <w:rsid w:val="00DF2EAF"/>
    <w:rsid w:val="00DF2F3F"/>
    <w:rsid w:val="00DF3032"/>
    <w:rsid w:val="00DF30D2"/>
    <w:rsid w:val="00DF319C"/>
    <w:rsid w:val="00DF31CC"/>
    <w:rsid w:val="00DF325A"/>
    <w:rsid w:val="00DF3321"/>
    <w:rsid w:val="00DF33F5"/>
    <w:rsid w:val="00DF341B"/>
    <w:rsid w:val="00DF3499"/>
    <w:rsid w:val="00DF3500"/>
    <w:rsid w:val="00DF35DE"/>
    <w:rsid w:val="00DF36D4"/>
    <w:rsid w:val="00DF38B4"/>
    <w:rsid w:val="00DF39E9"/>
    <w:rsid w:val="00DF3ABA"/>
    <w:rsid w:val="00DF3B67"/>
    <w:rsid w:val="00DF3C10"/>
    <w:rsid w:val="00DF3C38"/>
    <w:rsid w:val="00DF3D3B"/>
    <w:rsid w:val="00DF3E07"/>
    <w:rsid w:val="00DF3E23"/>
    <w:rsid w:val="00DF3E8B"/>
    <w:rsid w:val="00DF3EA3"/>
    <w:rsid w:val="00DF3F87"/>
    <w:rsid w:val="00DF4267"/>
    <w:rsid w:val="00DF42B1"/>
    <w:rsid w:val="00DF42EB"/>
    <w:rsid w:val="00DF42F0"/>
    <w:rsid w:val="00DF431B"/>
    <w:rsid w:val="00DF43A8"/>
    <w:rsid w:val="00DF43D5"/>
    <w:rsid w:val="00DF441D"/>
    <w:rsid w:val="00DF452D"/>
    <w:rsid w:val="00DF4550"/>
    <w:rsid w:val="00DF46E3"/>
    <w:rsid w:val="00DF47AC"/>
    <w:rsid w:val="00DF47FF"/>
    <w:rsid w:val="00DF4841"/>
    <w:rsid w:val="00DF48B2"/>
    <w:rsid w:val="00DF4934"/>
    <w:rsid w:val="00DF4A7B"/>
    <w:rsid w:val="00DF4A94"/>
    <w:rsid w:val="00DF4B75"/>
    <w:rsid w:val="00DF4C0B"/>
    <w:rsid w:val="00DF4D7E"/>
    <w:rsid w:val="00DF4E85"/>
    <w:rsid w:val="00DF4EA8"/>
    <w:rsid w:val="00DF4F88"/>
    <w:rsid w:val="00DF4FBB"/>
    <w:rsid w:val="00DF5013"/>
    <w:rsid w:val="00DF509C"/>
    <w:rsid w:val="00DF510F"/>
    <w:rsid w:val="00DF5183"/>
    <w:rsid w:val="00DF5228"/>
    <w:rsid w:val="00DF530F"/>
    <w:rsid w:val="00DF5372"/>
    <w:rsid w:val="00DF5397"/>
    <w:rsid w:val="00DF56EF"/>
    <w:rsid w:val="00DF575C"/>
    <w:rsid w:val="00DF575E"/>
    <w:rsid w:val="00DF5770"/>
    <w:rsid w:val="00DF57F6"/>
    <w:rsid w:val="00DF585C"/>
    <w:rsid w:val="00DF58A3"/>
    <w:rsid w:val="00DF5A84"/>
    <w:rsid w:val="00DF5B3B"/>
    <w:rsid w:val="00DF5BA9"/>
    <w:rsid w:val="00DF5BC6"/>
    <w:rsid w:val="00DF5CC7"/>
    <w:rsid w:val="00DF5CD1"/>
    <w:rsid w:val="00DF5D8F"/>
    <w:rsid w:val="00DF5DBA"/>
    <w:rsid w:val="00DF5F3B"/>
    <w:rsid w:val="00DF5FD0"/>
    <w:rsid w:val="00DF5FDA"/>
    <w:rsid w:val="00DF6027"/>
    <w:rsid w:val="00DF602F"/>
    <w:rsid w:val="00DF60B8"/>
    <w:rsid w:val="00DF60E5"/>
    <w:rsid w:val="00DF616E"/>
    <w:rsid w:val="00DF6307"/>
    <w:rsid w:val="00DF6323"/>
    <w:rsid w:val="00DF6447"/>
    <w:rsid w:val="00DF6473"/>
    <w:rsid w:val="00DF6575"/>
    <w:rsid w:val="00DF66BB"/>
    <w:rsid w:val="00DF6794"/>
    <w:rsid w:val="00DF6878"/>
    <w:rsid w:val="00DF68C6"/>
    <w:rsid w:val="00DF6969"/>
    <w:rsid w:val="00DF6B8D"/>
    <w:rsid w:val="00DF6BE7"/>
    <w:rsid w:val="00DF6D82"/>
    <w:rsid w:val="00DF6DB1"/>
    <w:rsid w:val="00DF6DF8"/>
    <w:rsid w:val="00DF6E81"/>
    <w:rsid w:val="00DF6E97"/>
    <w:rsid w:val="00DF6F3C"/>
    <w:rsid w:val="00DF6F60"/>
    <w:rsid w:val="00DF6FB9"/>
    <w:rsid w:val="00DF6FD0"/>
    <w:rsid w:val="00DF71F9"/>
    <w:rsid w:val="00DF727F"/>
    <w:rsid w:val="00DF72B2"/>
    <w:rsid w:val="00DF72FC"/>
    <w:rsid w:val="00DF732B"/>
    <w:rsid w:val="00DF73C6"/>
    <w:rsid w:val="00DF73F3"/>
    <w:rsid w:val="00DF74D9"/>
    <w:rsid w:val="00DF7558"/>
    <w:rsid w:val="00DF7793"/>
    <w:rsid w:val="00DF79C2"/>
    <w:rsid w:val="00DF7A82"/>
    <w:rsid w:val="00DF7AD9"/>
    <w:rsid w:val="00DF7D5E"/>
    <w:rsid w:val="00DF7D86"/>
    <w:rsid w:val="00DF7DA2"/>
    <w:rsid w:val="00DF7E66"/>
    <w:rsid w:val="00DF7F08"/>
    <w:rsid w:val="00DF7F5A"/>
    <w:rsid w:val="00E00035"/>
    <w:rsid w:val="00E0012B"/>
    <w:rsid w:val="00E00152"/>
    <w:rsid w:val="00E00217"/>
    <w:rsid w:val="00E00225"/>
    <w:rsid w:val="00E0025F"/>
    <w:rsid w:val="00E0028F"/>
    <w:rsid w:val="00E004C9"/>
    <w:rsid w:val="00E004F7"/>
    <w:rsid w:val="00E005AF"/>
    <w:rsid w:val="00E005C0"/>
    <w:rsid w:val="00E005E4"/>
    <w:rsid w:val="00E00780"/>
    <w:rsid w:val="00E007FA"/>
    <w:rsid w:val="00E0081C"/>
    <w:rsid w:val="00E0084A"/>
    <w:rsid w:val="00E009A5"/>
    <w:rsid w:val="00E00A47"/>
    <w:rsid w:val="00E00B4C"/>
    <w:rsid w:val="00E00DA9"/>
    <w:rsid w:val="00E00F6D"/>
    <w:rsid w:val="00E01125"/>
    <w:rsid w:val="00E0113A"/>
    <w:rsid w:val="00E012C6"/>
    <w:rsid w:val="00E012EF"/>
    <w:rsid w:val="00E012F7"/>
    <w:rsid w:val="00E013EE"/>
    <w:rsid w:val="00E01564"/>
    <w:rsid w:val="00E01614"/>
    <w:rsid w:val="00E016E2"/>
    <w:rsid w:val="00E0173E"/>
    <w:rsid w:val="00E0174F"/>
    <w:rsid w:val="00E017F2"/>
    <w:rsid w:val="00E01807"/>
    <w:rsid w:val="00E0191A"/>
    <w:rsid w:val="00E01994"/>
    <w:rsid w:val="00E019FE"/>
    <w:rsid w:val="00E01A47"/>
    <w:rsid w:val="00E01BA0"/>
    <w:rsid w:val="00E01BBF"/>
    <w:rsid w:val="00E01CD2"/>
    <w:rsid w:val="00E01D68"/>
    <w:rsid w:val="00E01E25"/>
    <w:rsid w:val="00E01E34"/>
    <w:rsid w:val="00E01ED0"/>
    <w:rsid w:val="00E01EF4"/>
    <w:rsid w:val="00E01F3C"/>
    <w:rsid w:val="00E0207F"/>
    <w:rsid w:val="00E0219C"/>
    <w:rsid w:val="00E023D0"/>
    <w:rsid w:val="00E023D2"/>
    <w:rsid w:val="00E0240B"/>
    <w:rsid w:val="00E0241A"/>
    <w:rsid w:val="00E024A2"/>
    <w:rsid w:val="00E025B8"/>
    <w:rsid w:val="00E026C9"/>
    <w:rsid w:val="00E02736"/>
    <w:rsid w:val="00E02914"/>
    <w:rsid w:val="00E02928"/>
    <w:rsid w:val="00E02967"/>
    <w:rsid w:val="00E029B6"/>
    <w:rsid w:val="00E02AF6"/>
    <w:rsid w:val="00E02B41"/>
    <w:rsid w:val="00E02B92"/>
    <w:rsid w:val="00E02C4E"/>
    <w:rsid w:val="00E02C50"/>
    <w:rsid w:val="00E02C67"/>
    <w:rsid w:val="00E02C6D"/>
    <w:rsid w:val="00E02CB8"/>
    <w:rsid w:val="00E02D15"/>
    <w:rsid w:val="00E02D3C"/>
    <w:rsid w:val="00E02E3E"/>
    <w:rsid w:val="00E02E7D"/>
    <w:rsid w:val="00E02E89"/>
    <w:rsid w:val="00E02EA9"/>
    <w:rsid w:val="00E02F8C"/>
    <w:rsid w:val="00E03000"/>
    <w:rsid w:val="00E0302B"/>
    <w:rsid w:val="00E0306C"/>
    <w:rsid w:val="00E03103"/>
    <w:rsid w:val="00E0311A"/>
    <w:rsid w:val="00E031D9"/>
    <w:rsid w:val="00E031F9"/>
    <w:rsid w:val="00E03267"/>
    <w:rsid w:val="00E0329C"/>
    <w:rsid w:val="00E03312"/>
    <w:rsid w:val="00E03327"/>
    <w:rsid w:val="00E03352"/>
    <w:rsid w:val="00E03390"/>
    <w:rsid w:val="00E0342C"/>
    <w:rsid w:val="00E03479"/>
    <w:rsid w:val="00E0352B"/>
    <w:rsid w:val="00E0352C"/>
    <w:rsid w:val="00E0360B"/>
    <w:rsid w:val="00E03631"/>
    <w:rsid w:val="00E036F4"/>
    <w:rsid w:val="00E03717"/>
    <w:rsid w:val="00E03727"/>
    <w:rsid w:val="00E03766"/>
    <w:rsid w:val="00E0376B"/>
    <w:rsid w:val="00E037DB"/>
    <w:rsid w:val="00E03966"/>
    <w:rsid w:val="00E03990"/>
    <w:rsid w:val="00E03A96"/>
    <w:rsid w:val="00E03AC6"/>
    <w:rsid w:val="00E03C02"/>
    <w:rsid w:val="00E03C88"/>
    <w:rsid w:val="00E03C96"/>
    <w:rsid w:val="00E03CEA"/>
    <w:rsid w:val="00E03DB6"/>
    <w:rsid w:val="00E03EFA"/>
    <w:rsid w:val="00E03F2C"/>
    <w:rsid w:val="00E03F98"/>
    <w:rsid w:val="00E03FED"/>
    <w:rsid w:val="00E0408D"/>
    <w:rsid w:val="00E04181"/>
    <w:rsid w:val="00E04246"/>
    <w:rsid w:val="00E04310"/>
    <w:rsid w:val="00E0432B"/>
    <w:rsid w:val="00E04331"/>
    <w:rsid w:val="00E043AA"/>
    <w:rsid w:val="00E0453B"/>
    <w:rsid w:val="00E04612"/>
    <w:rsid w:val="00E04630"/>
    <w:rsid w:val="00E0465F"/>
    <w:rsid w:val="00E04794"/>
    <w:rsid w:val="00E04824"/>
    <w:rsid w:val="00E0484D"/>
    <w:rsid w:val="00E048DF"/>
    <w:rsid w:val="00E049C9"/>
    <w:rsid w:val="00E04A6B"/>
    <w:rsid w:val="00E04B11"/>
    <w:rsid w:val="00E04C7A"/>
    <w:rsid w:val="00E04C93"/>
    <w:rsid w:val="00E04D2D"/>
    <w:rsid w:val="00E04E67"/>
    <w:rsid w:val="00E04EC7"/>
    <w:rsid w:val="00E05037"/>
    <w:rsid w:val="00E05168"/>
    <w:rsid w:val="00E051F0"/>
    <w:rsid w:val="00E0524F"/>
    <w:rsid w:val="00E052DB"/>
    <w:rsid w:val="00E05400"/>
    <w:rsid w:val="00E05411"/>
    <w:rsid w:val="00E0541B"/>
    <w:rsid w:val="00E054E5"/>
    <w:rsid w:val="00E05681"/>
    <w:rsid w:val="00E05693"/>
    <w:rsid w:val="00E056D5"/>
    <w:rsid w:val="00E0575A"/>
    <w:rsid w:val="00E0579A"/>
    <w:rsid w:val="00E0579D"/>
    <w:rsid w:val="00E057EA"/>
    <w:rsid w:val="00E0581A"/>
    <w:rsid w:val="00E058A2"/>
    <w:rsid w:val="00E058AA"/>
    <w:rsid w:val="00E0592A"/>
    <w:rsid w:val="00E05A8A"/>
    <w:rsid w:val="00E05B32"/>
    <w:rsid w:val="00E05B3A"/>
    <w:rsid w:val="00E05BEB"/>
    <w:rsid w:val="00E05C1C"/>
    <w:rsid w:val="00E05C1F"/>
    <w:rsid w:val="00E05C98"/>
    <w:rsid w:val="00E05D56"/>
    <w:rsid w:val="00E05EC9"/>
    <w:rsid w:val="00E06001"/>
    <w:rsid w:val="00E0604A"/>
    <w:rsid w:val="00E06195"/>
    <w:rsid w:val="00E061AA"/>
    <w:rsid w:val="00E0627E"/>
    <w:rsid w:val="00E062BF"/>
    <w:rsid w:val="00E062ED"/>
    <w:rsid w:val="00E06354"/>
    <w:rsid w:val="00E0636E"/>
    <w:rsid w:val="00E0638C"/>
    <w:rsid w:val="00E063F4"/>
    <w:rsid w:val="00E064C8"/>
    <w:rsid w:val="00E064CC"/>
    <w:rsid w:val="00E06503"/>
    <w:rsid w:val="00E06568"/>
    <w:rsid w:val="00E065DD"/>
    <w:rsid w:val="00E06690"/>
    <w:rsid w:val="00E06788"/>
    <w:rsid w:val="00E06831"/>
    <w:rsid w:val="00E069FA"/>
    <w:rsid w:val="00E06A53"/>
    <w:rsid w:val="00E06B33"/>
    <w:rsid w:val="00E06BA3"/>
    <w:rsid w:val="00E06BA4"/>
    <w:rsid w:val="00E06C63"/>
    <w:rsid w:val="00E06C7A"/>
    <w:rsid w:val="00E06C9E"/>
    <w:rsid w:val="00E06CD4"/>
    <w:rsid w:val="00E06D7F"/>
    <w:rsid w:val="00E06E25"/>
    <w:rsid w:val="00E06ECD"/>
    <w:rsid w:val="00E06F4C"/>
    <w:rsid w:val="00E06FDA"/>
    <w:rsid w:val="00E07085"/>
    <w:rsid w:val="00E07099"/>
    <w:rsid w:val="00E070F6"/>
    <w:rsid w:val="00E0713F"/>
    <w:rsid w:val="00E071A0"/>
    <w:rsid w:val="00E071EC"/>
    <w:rsid w:val="00E072A9"/>
    <w:rsid w:val="00E072FF"/>
    <w:rsid w:val="00E07348"/>
    <w:rsid w:val="00E07524"/>
    <w:rsid w:val="00E075B7"/>
    <w:rsid w:val="00E0770B"/>
    <w:rsid w:val="00E07779"/>
    <w:rsid w:val="00E0779F"/>
    <w:rsid w:val="00E07804"/>
    <w:rsid w:val="00E079B8"/>
    <w:rsid w:val="00E07A3B"/>
    <w:rsid w:val="00E07B30"/>
    <w:rsid w:val="00E07C40"/>
    <w:rsid w:val="00E07D2F"/>
    <w:rsid w:val="00E07D39"/>
    <w:rsid w:val="00E07DA1"/>
    <w:rsid w:val="00E07DCB"/>
    <w:rsid w:val="00E07E8E"/>
    <w:rsid w:val="00E07EDE"/>
    <w:rsid w:val="00E07F17"/>
    <w:rsid w:val="00E07F5A"/>
    <w:rsid w:val="00E1016F"/>
    <w:rsid w:val="00E10250"/>
    <w:rsid w:val="00E1035D"/>
    <w:rsid w:val="00E103CC"/>
    <w:rsid w:val="00E1041D"/>
    <w:rsid w:val="00E1042C"/>
    <w:rsid w:val="00E1057F"/>
    <w:rsid w:val="00E105A9"/>
    <w:rsid w:val="00E105EF"/>
    <w:rsid w:val="00E10646"/>
    <w:rsid w:val="00E1087E"/>
    <w:rsid w:val="00E10A47"/>
    <w:rsid w:val="00E10B04"/>
    <w:rsid w:val="00E10BB2"/>
    <w:rsid w:val="00E10D01"/>
    <w:rsid w:val="00E10DCF"/>
    <w:rsid w:val="00E10F18"/>
    <w:rsid w:val="00E11046"/>
    <w:rsid w:val="00E110B2"/>
    <w:rsid w:val="00E110E4"/>
    <w:rsid w:val="00E110FE"/>
    <w:rsid w:val="00E11375"/>
    <w:rsid w:val="00E11419"/>
    <w:rsid w:val="00E114EF"/>
    <w:rsid w:val="00E11510"/>
    <w:rsid w:val="00E1157B"/>
    <w:rsid w:val="00E11803"/>
    <w:rsid w:val="00E118E0"/>
    <w:rsid w:val="00E11A9E"/>
    <w:rsid w:val="00E11B2E"/>
    <w:rsid w:val="00E11B53"/>
    <w:rsid w:val="00E11BA3"/>
    <w:rsid w:val="00E11C43"/>
    <w:rsid w:val="00E11C73"/>
    <w:rsid w:val="00E11CCE"/>
    <w:rsid w:val="00E11CE2"/>
    <w:rsid w:val="00E11E49"/>
    <w:rsid w:val="00E12081"/>
    <w:rsid w:val="00E1218A"/>
    <w:rsid w:val="00E121C6"/>
    <w:rsid w:val="00E12240"/>
    <w:rsid w:val="00E1227A"/>
    <w:rsid w:val="00E122A8"/>
    <w:rsid w:val="00E123EA"/>
    <w:rsid w:val="00E12482"/>
    <w:rsid w:val="00E124AC"/>
    <w:rsid w:val="00E124BB"/>
    <w:rsid w:val="00E12618"/>
    <w:rsid w:val="00E1270E"/>
    <w:rsid w:val="00E127B7"/>
    <w:rsid w:val="00E12887"/>
    <w:rsid w:val="00E12ACD"/>
    <w:rsid w:val="00E12B83"/>
    <w:rsid w:val="00E12B8B"/>
    <w:rsid w:val="00E12CA6"/>
    <w:rsid w:val="00E12D21"/>
    <w:rsid w:val="00E12ED3"/>
    <w:rsid w:val="00E12ED5"/>
    <w:rsid w:val="00E12FCC"/>
    <w:rsid w:val="00E13139"/>
    <w:rsid w:val="00E132C0"/>
    <w:rsid w:val="00E13346"/>
    <w:rsid w:val="00E13377"/>
    <w:rsid w:val="00E1345E"/>
    <w:rsid w:val="00E13483"/>
    <w:rsid w:val="00E1359D"/>
    <w:rsid w:val="00E135E7"/>
    <w:rsid w:val="00E136DF"/>
    <w:rsid w:val="00E13707"/>
    <w:rsid w:val="00E1378C"/>
    <w:rsid w:val="00E137D8"/>
    <w:rsid w:val="00E138F5"/>
    <w:rsid w:val="00E13988"/>
    <w:rsid w:val="00E13A6E"/>
    <w:rsid w:val="00E13C19"/>
    <w:rsid w:val="00E13C2A"/>
    <w:rsid w:val="00E13E50"/>
    <w:rsid w:val="00E13E7B"/>
    <w:rsid w:val="00E13ED1"/>
    <w:rsid w:val="00E13ED7"/>
    <w:rsid w:val="00E14003"/>
    <w:rsid w:val="00E14070"/>
    <w:rsid w:val="00E1416C"/>
    <w:rsid w:val="00E14386"/>
    <w:rsid w:val="00E143C2"/>
    <w:rsid w:val="00E1445E"/>
    <w:rsid w:val="00E144E8"/>
    <w:rsid w:val="00E14573"/>
    <w:rsid w:val="00E145B1"/>
    <w:rsid w:val="00E14602"/>
    <w:rsid w:val="00E14673"/>
    <w:rsid w:val="00E146E4"/>
    <w:rsid w:val="00E147F0"/>
    <w:rsid w:val="00E149C2"/>
    <w:rsid w:val="00E149E3"/>
    <w:rsid w:val="00E149EC"/>
    <w:rsid w:val="00E14A29"/>
    <w:rsid w:val="00E14B08"/>
    <w:rsid w:val="00E14BA0"/>
    <w:rsid w:val="00E14BFF"/>
    <w:rsid w:val="00E14C3E"/>
    <w:rsid w:val="00E14D00"/>
    <w:rsid w:val="00E14D1B"/>
    <w:rsid w:val="00E14D39"/>
    <w:rsid w:val="00E14EF8"/>
    <w:rsid w:val="00E14F03"/>
    <w:rsid w:val="00E14F7A"/>
    <w:rsid w:val="00E14FC3"/>
    <w:rsid w:val="00E14FE1"/>
    <w:rsid w:val="00E15029"/>
    <w:rsid w:val="00E15056"/>
    <w:rsid w:val="00E15081"/>
    <w:rsid w:val="00E1513A"/>
    <w:rsid w:val="00E1521A"/>
    <w:rsid w:val="00E15267"/>
    <w:rsid w:val="00E1527B"/>
    <w:rsid w:val="00E152C7"/>
    <w:rsid w:val="00E15383"/>
    <w:rsid w:val="00E153AB"/>
    <w:rsid w:val="00E15451"/>
    <w:rsid w:val="00E15587"/>
    <w:rsid w:val="00E1566B"/>
    <w:rsid w:val="00E158B2"/>
    <w:rsid w:val="00E15998"/>
    <w:rsid w:val="00E15AA8"/>
    <w:rsid w:val="00E15B07"/>
    <w:rsid w:val="00E15B7B"/>
    <w:rsid w:val="00E15BDF"/>
    <w:rsid w:val="00E15CB6"/>
    <w:rsid w:val="00E15CD3"/>
    <w:rsid w:val="00E15DA0"/>
    <w:rsid w:val="00E15DB1"/>
    <w:rsid w:val="00E15E07"/>
    <w:rsid w:val="00E15E67"/>
    <w:rsid w:val="00E15ED4"/>
    <w:rsid w:val="00E15EED"/>
    <w:rsid w:val="00E16024"/>
    <w:rsid w:val="00E161E7"/>
    <w:rsid w:val="00E16206"/>
    <w:rsid w:val="00E16227"/>
    <w:rsid w:val="00E1624A"/>
    <w:rsid w:val="00E162E3"/>
    <w:rsid w:val="00E16308"/>
    <w:rsid w:val="00E1636C"/>
    <w:rsid w:val="00E16426"/>
    <w:rsid w:val="00E16571"/>
    <w:rsid w:val="00E16743"/>
    <w:rsid w:val="00E167A1"/>
    <w:rsid w:val="00E16AF7"/>
    <w:rsid w:val="00E16B17"/>
    <w:rsid w:val="00E16D76"/>
    <w:rsid w:val="00E16DD4"/>
    <w:rsid w:val="00E16E19"/>
    <w:rsid w:val="00E16FB3"/>
    <w:rsid w:val="00E17169"/>
    <w:rsid w:val="00E17188"/>
    <w:rsid w:val="00E171B1"/>
    <w:rsid w:val="00E17219"/>
    <w:rsid w:val="00E17328"/>
    <w:rsid w:val="00E17360"/>
    <w:rsid w:val="00E1736E"/>
    <w:rsid w:val="00E1742C"/>
    <w:rsid w:val="00E17464"/>
    <w:rsid w:val="00E17470"/>
    <w:rsid w:val="00E17496"/>
    <w:rsid w:val="00E174FB"/>
    <w:rsid w:val="00E1750A"/>
    <w:rsid w:val="00E17552"/>
    <w:rsid w:val="00E17562"/>
    <w:rsid w:val="00E175AF"/>
    <w:rsid w:val="00E176B4"/>
    <w:rsid w:val="00E176C1"/>
    <w:rsid w:val="00E176E4"/>
    <w:rsid w:val="00E177AC"/>
    <w:rsid w:val="00E17826"/>
    <w:rsid w:val="00E17883"/>
    <w:rsid w:val="00E178D7"/>
    <w:rsid w:val="00E179CF"/>
    <w:rsid w:val="00E17AE6"/>
    <w:rsid w:val="00E17C34"/>
    <w:rsid w:val="00E17CE8"/>
    <w:rsid w:val="00E17D6C"/>
    <w:rsid w:val="00E17D80"/>
    <w:rsid w:val="00E17D9A"/>
    <w:rsid w:val="00E17E07"/>
    <w:rsid w:val="00E17E40"/>
    <w:rsid w:val="00E17FA7"/>
    <w:rsid w:val="00E20137"/>
    <w:rsid w:val="00E20163"/>
    <w:rsid w:val="00E2031A"/>
    <w:rsid w:val="00E2033A"/>
    <w:rsid w:val="00E20534"/>
    <w:rsid w:val="00E205C2"/>
    <w:rsid w:val="00E2065A"/>
    <w:rsid w:val="00E20768"/>
    <w:rsid w:val="00E208B9"/>
    <w:rsid w:val="00E209B6"/>
    <w:rsid w:val="00E209CB"/>
    <w:rsid w:val="00E20A94"/>
    <w:rsid w:val="00E20B1E"/>
    <w:rsid w:val="00E20C3B"/>
    <w:rsid w:val="00E20D3C"/>
    <w:rsid w:val="00E20D76"/>
    <w:rsid w:val="00E20DA2"/>
    <w:rsid w:val="00E20EB4"/>
    <w:rsid w:val="00E20F3B"/>
    <w:rsid w:val="00E20F63"/>
    <w:rsid w:val="00E20FA0"/>
    <w:rsid w:val="00E21148"/>
    <w:rsid w:val="00E21177"/>
    <w:rsid w:val="00E211A2"/>
    <w:rsid w:val="00E21285"/>
    <w:rsid w:val="00E21563"/>
    <w:rsid w:val="00E215C8"/>
    <w:rsid w:val="00E217AD"/>
    <w:rsid w:val="00E2185D"/>
    <w:rsid w:val="00E2189B"/>
    <w:rsid w:val="00E21A83"/>
    <w:rsid w:val="00E21AC9"/>
    <w:rsid w:val="00E21AD4"/>
    <w:rsid w:val="00E21B03"/>
    <w:rsid w:val="00E21BF8"/>
    <w:rsid w:val="00E21C74"/>
    <w:rsid w:val="00E21CFE"/>
    <w:rsid w:val="00E21DE5"/>
    <w:rsid w:val="00E21EE2"/>
    <w:rsid w:val="00E21F4D"/>
    <w:rsid w:val="00E21FDA"/>
    <w:rsid w:val="00E22014"/>
    <w:rsid w:val="00E22084"/>
    <w:rsid w:val="00E2215E"/>
    <w:rsid w:val="00E22194"/>
    <w:rsid w:val="00E2222A"/>
    <w:rsid w:val="00E2230D"/>
    <w:rsid w:val="00E22445"/>
    <w:rsid w:val="00E224E9"/>
    <w:rsid w:val="00E2256A"/>
    <w:rsid w:val="00E225EC"/>
    <w:rsid w:val="00E22657"/>
    <w:rsid w:val="00E22890"/>
    <w:rsid w:val="00E22898"/>
    <w:rsid w:val="00E229B6"/>
    <w:rsid w:val="00E22B14"/>
    <w:rsid w:val="00E22B49"/>
    <w:rsid w:val="00E22B4D"/>
    <w:rsid w:val="00E22B55"/>
    <w:rsid w:val="00E22B86"/>
    <w:rsid w:val="00E22B99"/>
    <w:rsid w:val="00E22C00"/>
    <w:rsid w:val="00E22C4E"/>
    <w:rsid w:val="00E22C9B"/>
    <w:rsid w:val="00E22E24"/>
    <w:rsid w:val="00E22E94"/>
    <w:rsid w:val="00E22F29"/>
    <w:rsid w:val="00E22F3B"/>
    <w:rsid w:val="00E230AA"/>
    <w:rsid w:val="00E23291"/>
    <w:rsid w:val="00E23293"/>
    <w:rsid w:val="00E232B1"/>
    <w:rsid w:val="00E232F3"/>
    <w:rsid w:val="00E23465"/>
    <w:rsid w:val="00E23469"/>
    <w:rsid w:val="00E2353B"/>
    <w:rsid w:val="00E236FC"/>
    <w:rsid w:val="00E23713"/>
    <w:rsid w:val="00E237D6"/>
    <w:rsid w:val="00E23844"/>
    <w:rsid w:val="00E23957"/>
    <w:rsid w:val="00E239A4"/>
    <w:rsid w:val="00E239E0"/>
    <w:rsid w:val="00E23AEF"/>
    <w:rsid w:val="00E23B0E"/>
    <w:rsid w:val="00E23B43"/>
    <w:rsid w:val="00E23C37"/>
    <w:rsid w:val="00E23CCF"/>
    <w:rsid w:val="00E23F38"/>
    <w:rsid w:val="00E24039"/>
    <w:rsid w:val="00E2413C"/>
    <w:rsid w:val="00E2418C"/>
    <w:rsid w:val="00E241BD"/>
    <w:rsid w:val="00E241F1"/>
    <w:rsid w:val="00E242BA"/>
    <w:rsid w:val="00E242CE"/>
    <w:rsid w:val="00E24328"/>
    <w:rsid w:val="00E243CF"/>
    <w:rsid w:val="00E2440D"/>
    <w:rsid w:val="00E24444"/>
    <w:rsid w:val="00E244FA"/>
    <w:rsid w:val="00E245E1"/>
    <w:rsid w:val="00E24642"/>
    <w:rsid w:val="00E2469B"/>
    <w:rsid w:val="00E24802"/>
    <w:rsid w:val="00E24827"/>
    <w:rsid w:val="00E2484F"/>
    <w:rsid w:val="00E2486B"/>
    <w:rsid w:val="00E24A12"/>
    <w:rsid w:val="00E24AE9"/>
    <w:rsid w:val="00E24C06"/>
    <w:rsid w:val="00E24CC5"/>
    <w:rsid w:val="00E24DD6"/>
    <w:rsid w:val="00E24E42"/>
    <w:rsid w:val="00E24E78"/>
    <w:rsid w:val="00E24F08"/>
    <w:rsid w:val="00E24F21"/>
    <w:rsid w:val="00E24F7D"/>
    <w:rsid w:val="00E25102"/>
    <w:rsid w:val="00E25465"/>
    <w:rsid w:val="00E255D4"/>
    <w:rsid w:val="00E2565B"/>
    <w:rsid w:val="00E25753"/>
    <w:rsid w:val="00E25794"/>
    <w:rsid w:val="00E25892"/>
    <w:rsid w:val="00E258BC"/>
    <w:rsid w:val="00E258F7"/>
    <w:rsid w:val="00E25BBD"/>
    <w:rsid w:val="00E25C04"/>
    <w:rsid w:val="00E25CF3"/>
    <w:rsid w:val="00E25D95"/>
    <w:rsid w:val="00E25DAB"/>
    <w:rsid w:val="00E25E35"/>
    <w:rsid w:val="00E25EE8"/>
    <w:rsid w:val="00E260A3"/>
    <w:rsid w:val="00E2613A"/>
    <w:rsid w:val="00E261A2"/>
    <w:rsid w:val="00E261F8"/>
    <w:rsid w:val="00E26319"/>
    <w:rsid w:val="00E26419"/>
    <w:rsid w:val="00E26486"/>
    <w:rsid w:val="00E265F7"/>
    <w:rsid w:val="00E26795"/>
    <w:rsid w:val="00E2688A"/>
    <w:rsid w:val="00E26A06"/>
    <w:rsid w:val="00E26A6A"/>
    <w:rsid w:val="00E26BB1"/>
    <w:rsid w:val="00E26BB5"/>
    <w:rsid w:val="00E26BDB"/>
    <w:rsid w:val="00E26D15"/>
    <w:rsid w:val="00E26DF0"/>
    <w:rsid w:val="00E2702C"/>
    <w:rsid w:val="00E270B1"/>
    <w:rsid w:val="00E270C2"/>
    <w:rsid w:val="00E27111"/>
    <w:rsid w:val="00E271BF"/>
    <w:rsid w:val="00E271D0"/>
    <w:rsid w:val="00E27228"/>
    <w:rsid w:val="00E2727E"/>
    <w:rsid w:val="00E27353"/>
    <w:rsid w:val="00E2739F"/>
    <w:rsid w:val="00E27404"/>
    <w:rsid w:val="00E27439"/>
    <w:rsid w:val="00E2750A"/>
    <w:rsid w:val="00E275F9"/>
    <w:rsid w:val="00E27607"/>
    <w:rsid w:val="00E27709"/>
    <w:rsid w:val="00E27724"/>
    <w:rsid w:val="00E277B0"/>
    <w:rsid w:val="00E27916"/>
    <w:rsid w:val="00E27948"/>
    <w:rsid w:val="00E27963"/>
    <w:rsid w:val="00E27964"/>
    <w:rsid w:val="00E279A5"/>
    <w:rsid w:val="00E27A10"/>
    <w:rsid w:val="00E27A12"/>
    <w:rsid w:val="00E27B23"/>
    <w:rsid w:val="00E27C5D"/>
    <w:rsid w:val="00E27D39"/>
    <w:rsid w:val="00E27D4E"/>
    <w:rsid w:val="00E27D57"/>
    <w:rsid w:val="00E27DDB"/>
    <w:rsid w:val="00E27E5A"/>
    <w:rsid w:val="00E27F51"/>
    <w:rsid w:val="00E27F5E"/>
    <w:rsid w:val="00E27FEA"/>
    <w:rsid w:val="00E30250"/>
    <w:rsid w:val="00E302CE"/>
    <w:rsid w:val="00E3063E"/>
    <w:rsid w:val="00E308B6"/>
    <w:rsid w:val="00E30A8D"/>
    <w:rsid w:val="00E30AD5"/>
    <w:rsid w:val="00E30AF1"/>
    <w:rsid w:val="00E30B05"/>
    <w:rsid w:val="00E30B3E"/>
    <w:rsid w:val="00E30C84"/>
    <w:rsid w:val="00E30D29"/>
    <w:rsid w:val="00E30DD8"/>
    <w:rsid w:val="00E30DF1"/>
    <w:rsid w:val="00E30EAE"/>
    <w:rsid w:val="00E3103C"/>
    <w:rsid w:val="00E310DD"/>
    <w:rsid w:val="00E311E0"/>
    <w:rsid w:val="00E31224"/>
    <w:rsid w:val="00E3126D"/>
    <w:rsid w:val="00E313AD"/>
    <w:rsid w:val="00E314EB"/>
    <w:rsid w:val="00E31668"/>
    <w:rsid w:val="00E316DC"/>
    <w:rsid w:val="00E31702"/>
    <w:rsid w:val="00E31880"/>
    <w:rsid w:val="00E3188A"/>
    <w:rsid w:val="00E318EB"/>
    <w:rsid w:val="00E31929"/>
    <w:rsid w:val="00E31A61"/>
    <w:rsid w:val="00E31A69"/>
    <w:rsid w:val="00E31B75"/>
    <w:rsid w:val="00E31C37"/>
    <w:rsid w:val="00E31CE1"/>
    <w:rsid w:val="00E31DAB"/>
    <w:rsid w:val="00E31DD7"/>
    <w:rsid w:val="00E31E6A"/>
    <w:rsid w:val="00E3202D"/>
    <w:rsid w:val="00E32044"/>
    <w:rsid w:val="00E321B7"/>
    <w:rsid w:val="00E322D8"/>
    <w:rsid w:val="00E3236E"/>
    <w:rsid w:val="00E32402"/>
    <w:rsid w:val="00E3242E"/>
    <w:rsid w:val="00E32497"/>
    <w:rsid w:val="00E32500"/>
    <w:rsid w:val="00E3258F"/>
    <w:rsid w:val="00E3261E"/>
    <w:rsid w:val="00E3267F"/>
    <w:rsid w:val="00E326F5"/>
    <w:rsid w:val="00E3287C"/>
    <w:rsid w:val="00E328B1"/>
    <w:rsid w:val="00E329C7"/>
    <w:rsid w:val="00E32A31"/>
    <w:rsid w:val="00E32A92"/>
    <w:rsid w:val="00E32ADD"/>
    <w:rsid w:val="00E32B01"/>
    <w:rsid w:val="00E32B7A"/>
    <w:rsid w:val="00E32E69"/>
    <w:rsid w:val="00E32EDD"/>
    <w:rsid w:val="00E32FC3"/>
    <w:rsid w:val="00E32FED"/>
    <w:rsid w:val="00E3303F"/>
    <w:rsid w:val="00E33057"/>
    <w:rsid w:val="00E3308C"/>
    <w:rsid w:val="00E330C9"/>
    <w:rsid w:val="00E33208"/>
    <w:rsid w:val="00E3324B"/>
    <w:rsid w:val="00E33256"/>
    <w:rsid w:val="00E33300"/>
    <w:rsid w:val="00E3330E"/>
    <w:rsid w:val="00E333C7"/>
    <w:rsid w:val="00E333CD"/>
    <w:rsid w:val="00E3342D"/>
    <w:rsid w:val="00E33490"/>
    <w:rsid w:val="00E334E1"/>
    <w:rsid w:val="00E3351F"/>
    <w:rsid w:val="00E33551"/>
    <w:rsid w:val="00E335C1"/>
    <w:rsid w:val="00E3367C"/>
    <w:rsid w:val="00E3370D"/>
    <w:rsid w:val="00E33874"/>
    <w:rsid w:val="00E33964"/>
    <w:rsid w:val="00E33992"/>
    <w:rsid w:val="00E3399C"/>
    <w:rsid w:val="00E33ADE"/>
    <w:rsid w:val="00E33B7E"/>
    <w:rsid w:val="00E33C3E"/>
    <w:rsid w:val="00E33CE3"/>
    <w:rsid w:val="00E33D1E"/>
    <w:rsid w:val="00E33D52"/>
    <w:rsid w:val="00E33D7E"/>
    <w:rsid w:val="00E33DAC"/>
    <w:rsid w:val="00E33E10"/>
    <w:rsid w:val="00E33EE9"/>
    <w:rsid w:val="00E33F40"/>
    <w:rsid w:val="00E33F43"/>
    <w:rsid w:val="00E33F60"/>
    <w:rsid w:val="00E3407E"/>
    <w:rsid w:val="00E34153"/>
    <w:rsid w:val="00E34154"/>
    <w:rsid w:val="00E342AE"/>
    <w:rsid w:val="00E3433E"/>
    <w:rsid w:val="00E3437B"/>
    <w:rsid w:val="00E343FE"/>
    <w:rsid w:val="00E34421"/>
    <w:rsid w:val="00E34499"/>
    <w:rsid w:val="00E344E2"/>
    <w:rsid w:val="00E3470A"/>
    <w:rsid w:val="00E348AE"/>
    <w:rsid w:val="00E34946"/>
    <w:rsid w:val="00E3497D"/>
    <w:rsid w:val="00E34A87"/>
    <w:rsid w:val="00E34A91"/>
    <w:rsid w:val="00E34AE3"/>
    <w:rsid w:val="00E34AEE"/>
    <w:rsid w:val="00E34B62"/>
    <w:rsid w:val="00E34B98"/>
    <w:rsid w:val="00E34C3C"/>
    <w:rsid w:val="00E34CA2"/>
    <w:rsid w:val="00E34D7D"/>
    <w:rsid w:val="00E34F0E"/>
    <w:rsid w:val="00E34F3B"/>
    <w:rsid w:val="00E34FF4"/>
    <w:rsid w:val="00E3503E"/>
    <w:rsid w:val="00E35113"/>
    <w:rsid w:val="00E35156"/>
    <w:rsid w:val="00E35197"/>
    <w:rsid w:val="00E351CB"/>
    <w:rsid w:val="00E35283"/>
    <w:rsid w:val="00E3536E"/>
    <w:rsid w:val="00E355E1"/>
    <w:rsid w:val="00E356F9"/>
    <w:rsid w:val="00E357FE"/>
    <w:rsid w:val="00E35817"/>
    <w:rsid w:val="00E35822"/>
    <w:rsid w:val="00E358E0"/>
    <w:rsid w:val="00E35922"/>
    <w:rsid w:val="00E3598C"/>
    <w:rsid w:val="00E359B8"/>
    <w:rsid w:val="00E35AA3"/>
    <w:rsid w:val="00E35B23"/>
    <w:rsid w:val="00E35B4C"/>
    <w:rsid w:val="00E35B73"/>
    <w:rsid w:val="00E35BBE"/>
    <w:rsid w:val="00E35C1B"/>
    <w:rsid w:val="00E35CB9"/>
    <w:rsid w:val="00E35CD1"/>
    <w:rsid w:val="00E35E32"/>
    <w:rsid w:val="00E35EF0"/>
    <w:rsid w:val="00E35F1F"/>
    <w:rsid w:val="00E35F5E"/>
    <w:rsid w:val="00E35F91"/>
    <w:rsid w:val="00E361F1"/>
    <w:rsid w:val="00E362A7"/>
    <w:rsid w:val="00E36316"/>
    <w:rsid w:val="00E36326"/>
    <w:rsid w:val="00E36366"/>
    <w:rsid w:val="00E36461"/>
    <w:rsid w:val="00E36568"/>
    <w:rsid w:val="00E3667C"/>
    <w:rsid w:val="00E367E0"/>
    <w:rsid w:val="00E36814"/>
    <w:rsid w:val="00E36A08"/>
    <w:rsid w:val="00E36AAF"/>
    <w:rsid w:val="00E36B6A"/>
    <w:rsid w:val="00E36C3F"/>
    <w:rsid w:val="00E36C51"/>
    <w:rsid w:val="00E36C60"/>
    <w:rsid w:val="00E36CB3"/>
    <w:rsid w:val="00E36E7C"/>
    <w:rsid w:val="00E36EE0"/>
    <w:rsid w:val="00E36FEC"/>
    <w:rsid w:val="00E370BD"/>
    <w:rsid w:val="00E37201"/>
    <w:rsid w:val="00E372D5"/>
    <w:rsid w:val="00E374A1"/>
    <w:rsid w:val="00E37604"/>
    <w:rsid w:val="00E376EE"/>
    <w:rsid w:val="00E377CD"/>
    <w:rsid w:val="00E37825"/>
    <w:rsid w:val="00E3783B"/>
    <w:rsid w:val="00E37994"/>
    <w:rsid w:val="00E379C1"/>
    <w:rsid w:val="00E37AD9"/>
    <w:rsid w:val="00E37B15"/>
    <w:rsid w:val="00E37D15"/>
    <w:rsid w:val="00E37DB1"/>
    <w:rsid w:val="00E37DFA"/>
    <w:rsid w:val="00E37E19"/>
    <w:rsid w:val="00E37F4D"/>
    <w:rsid w:val="00E37FB0"/>
    <w:rsid w:val="00E40006"/>
    <w:rsid w:val="00E4002F"/>
    <w:rsid w:val="00E40098"/>
    <w:rsid w:val="00E40134"/>
    <w:rsid w:val="00E403BA"/>
    <w:rsid w:val="00E403E3"/>
    <w:rsid w:val="00E40468"/>
    <w:rsid w:val="00E40505"/>
    <w:rsid w:val="00E40582"/>
    <w:rsid w:val="00E405E5"/>
    <w:rsid w:val="00E406EE"/>
    <w:rsid w:val="00E4082F"/>
    <w:rsid w:val="00E40850"/>
    <w:rsid w:val="00E4089D"/>
    <w:rsid w:val="00E408A7"/>
    <w:rsid w:val="00E409C4"/>
    <w:rsid w:val="00E40CDA"/>
    <w:rsid w:val="00E40D30"/>
    <w:rsid w:val="00E40DAE"/>
    <w:rsid w:val="00E40E0D"/>
    <w:rsid w:val="00E40ED6"/>
    <w:rsid w:val="00E40EFC"/>
    <w:rsid w:val="00E40F62"/>
    <w:rsid w:val="00E41014"/>
    <w:rsid w:val="00E410B8"/>
    <w:rsid w:val="00E41151"/>
    <w:rsid w:val="00E41186"/>
    <w:rsid w:val="00E4125C"/>
    <w:rsid w:val="00E4128B"/>
    <w:rsid w:val="00E412E3"/>
    <w:rsid w:val="00E412FE"/>
    <w:rsid w:val="00E41322"/>
    <w:rsid w:val="00E4132C"/>
    <w:rsid w:val="00E413C7"/>
    <w:rsid w:val="00E413F8"/>
    <w:rsid w:val="00E4140B"/>
    <w:rsid w:val="00E41472"/>
    <w:rsid w:val="00E4153F"/>
    <w:rsid w:val="00E4157F"/>
    <w:rsid w:val="00E415D3"/>
    <w:rsid w:val="00E41643"/>
    <w:rsid w:val="00E416A2"/>
    <w:rsid w:val="00E4187E"/>
    <w:rsid w:val="00E4188A"/>
    <w:rsid w:val="00E4191D"/>
    <w:rsid w:val="00E4191E"/>
    <w:rsid w:val="00E41944"/>
    <w:rsid w:val="00E419D0"/>
    <w:rsid w:val="00E419E0"/>
    <w:rsid w:val="00E41A5E"/>
    <w:rsid w:val="00E41B3B"/>
    <w:rsid w:val="00E41B60"/>
    <w:rsid w:val="00E41B62"/>
    <w:rsid w:val="00E41BC3"/>
    <w:rsid w:val="00E41BCC"/>
    <w:rsid w:val="00E41C14"/>
    <w:rsid w:val="00E41C29"/>
    <w:rsid w:val="00E41C39"/>
    <w:rsid w:val="00E41E6B"/>
    <w:rsid w:val="00E41EB5"/>
    <w:rsid w:val="00E41F1A"/>
    <w:rsid w:val="00E41F39"/>
    <w:rsid w:val="00E41F3E"/>
    <w:rsid w:val="00E42123"/>
    <w:rsid w:val="00E422A3"/>
    <w:rsid w:val="00E422D1"/>
    <w:rsid w:val="00E424AB"/>
    <w:rsid w:val="00E425B7"/>
    <w:rsid w:val="00E425BF"/>
    <w:rsid w:val="00E4266E"/>
    <w:rsid w:val="00E4267A"/>
    <w:rsid w:val="00E42739"/>
    <w:rsid w:val="00E4283F"/>
    <w:rsid w:val="00E4299C"/>
    <w:rsid w:val="00E42C51"/>
    <w:rsid w:val="00E42CA7"/>
    <w:rsid w:val="00E42D02"/>
    <w:rsid w:val="00E42D0F"/>
    <w:rsid w:val="00E42E32"/>
    <w:rsid w:val="00E42E39"/>
    <w:rsid w:val="00E42E5E"/>
    <w:rsid w:val="00E42E94"/>
    <w:rsid w:val="00E42EAF"/>
    <w:rsid w:val="00E4304C"/>
    <w:rsid w:val="00E430A8"/>
    <w:rsid w:val="00E431C5"/>
    <w:rsid w:val="00E43220"/>
    <w:rsid w:val="00E43249"/>
    <w:rsid w:val="00E43326"/>
    <w:rsid w:val="00E433F4"/>
    <w:rsid w:val="00E43425"/>
    <w:rsid w:val="00E43485"/>
    <w:rsid w:val="00E434B6"/>
    <w:rsid w:val="00E434D2"/>
    <w:rsid w:val="00E43512"/>
    <w:rsid w:val="00E4352B"/>
    <w:rsid w:val="00E4356F"/>
    <w:rsid w:val="00E435E4"/>
    <w:rsid w:val="00E43662"/>
    <w:rsid w:val="00E43665"/>
    <w:rsid w:val="00E436A2"/>
    <w:rsid w:val="00E436A6"/>
    <w:rsid w:val="00E436D7"/>
    <w:rsid w:val="00E4376C"/>
    <w:rsid w:val="00E43797"/>
    <w:rsid w:val="00E437C5"/>
    <w:rsid w:val="00E437CA"/>
    <w:rsid w:val="00E43816"/>
    <w:rsid w:val="00E438AB"/>
    <w:rsid w:val="00E438CA"/>
    <w:rsid w:val="00E43BAC"/>
    <w:rsid w:val="00E43BC7"/>
    <w:rsid w:val="00E43C7F"/>
    <w:rsid w:val="00E43C82"/>
    <w:rsid w:val="00E43C91"/>
    <w:rsid w:val="00E43DA7"/>
    <w:rsid w:val="00E43E66"/>
    <w:rsid w:val="00E43EB5"/>
    <w:rsid w:val="00E43F10"/>
    <w:rsid w:val="00E442A9"/>
    <w:rsid w:val="00E44340"/>
    <w:rsid w:val="00E443DF"/>
    <w:rsid w:val="00E444A6"/>
    <w:rsid w:val="00E444C0"/>
    <w:rsid w:val="00E44520"/>
    <w:rsid w:val="00E44637"/>
    <w:rsid w:val="00E446B1"/>
    <w:rsid w:val="00E446D3"/>
    <w:rsid w:val="00E448BB"/>
    <w:rsid w:val="00E44936"/>
    <w:rsid w:val="00E4497F"/>
    <w:rsid w:val="00E44A43"/>
    <w:rsid w:val="00E44A5A"/>
    <w:rsid w:val="00E44A63"/>
    <w:rsid w:val="00E44B04"/>
    <w:rsid w:val="00E44B87"/>
    <w:rsid w:val="00E44C7E"/>
    <w:rsid w:val="00E44DA5"/>
    <w:rsid w:val="00E44DBF"/>
    <w:rsid w:val="00E44DF0"/>
    <w:rsid w:val="00E44E2B"/>
    <w:rsid w:val="00E44F0B"/>
    <w:rsid w:val="00E450BC"/>
    <w:rsid w:val="00E450D8"/>
    <w:rsid w:val="00E451F9"/>
    <w:rsid w:val="00E45356"/>
    <w:rsid w:val="00E45385"/>
    <w:rsid w:val="00E4538A"/>
    <w:rsid w:val="00E4541B"/>
    <w:rsid w:val="00E45457"/>
    <w:rsid w:val="00E454D5"/>
    <w:rsid w:val="00E45611"/>
    <w:rsid w:val="00E45639"/>
    <w:rsid w:val="00E456AA"/>
    <w:rsid w:val="00E45776"/>
    <w:rsid w:val="00E458BA"/>
    <w:rsid w:val="00E458D8"/>
    <w:rsid w:val="00E4593E"/>
    <w:rsid w:val="00E4594B"/>
    <w:rsid w:val="00E45AF8"/>
    <w:rsid w:val="00E45B39"/>
    <w:rsid w:val="00E45C1F"/>
    <w:rsid w:val="00E45D56"/>
    <w:rsid w:val="00E45D87"/>
    <w:rsid w:val="00E45D93"/>
    <w:rsid w:val="00E45EF5"/>
    <w:rsid w:val="00E4608F"/>
    <w:rsid w:val="00E46140"/>
    <w:rsid w:val="00E4623A"/>
    <w:rsid w:val="00E46252"/>
    <w:rsid w:val="00E463D2"/>
    <w:rsid w:val="00E46449"/>
    <w:rsid w:val="00E4651D"/>
    <w:rsid w:val="00E465AA"/>
    <w:rsid w:val="00E466C9"/>
    <w:rsid w:val="00E467E7"/>
    <w:rsid w:val="00E467ED"/>
    <w:rsid w:val="00E46837"/>
    <w:rsid w:val="00E468DE"/>
    <w:rsid w:val="00E468F6"/>
    <w:rsid w:val="00E46933"/>
    <w:rsid w:val="00E469C4"/>
    <w:rsid w:val="00E469CB"/>
    <w:rsid w:val="00E46A21"/>
    <w:rsid w:val="00E46A2B"/>
    <w:rsid w:val="00E46A77"/>
    <w:rsid w:val="00E46B60"/>
    <w:rsid w:val="00E46BD5"/>
    <w:rsid w:val="00E46C08"/>
    <w:rsid w:val="00E46C63"/>
    <w:rsid w:val="00E46C82"/>
    <w:rsid w:val="00E46D4D"/>
    <w:rsid w:val="00E46E4E"/>
    <w:rsid w:val="00E46E53"/>
    <w:rsid w:val="00E46F67"/>
    <w:rsid w:val="00E470CD"/>
    <w:rsid w:val="00E470EF"/>
    <w:rsid w:val="00E4717D"/>
    <w:rsid w:val="00E471A8"/>
    <w:rsid w:val="00E4728F"/>
    <w:rsid w:val="00E472B0"/>
    <w:rsid w:val="00E4733D"/>
    <w:rsid w:val="00E473BF"/>
    <w:rsid w:val="00E473F6"/>
    <w:rsid w:val="00E474C0"/>
    <w:rsid w:val="00E4766F"/>
    <w:rsid w:val="00E476E9"/>
    <w:rsid w:val="00E476FB"/>
    <w:rsid w:val="00E47744"/>
    <w:rsid w:val="00E4775E"/>
    <w:rsid w:val="00E47770"/>
    <w:rsid w:val="00E47775"/>
    <w:rsid w:val="00E47B77"/>
    <w:rsid w:val="00E47C77"/>
    <w:rsid w:val="00E47D21"/>
    <w:rsid w:val="00E47D31"/>
    <w:rsid w:val="00E47D35"/>
    <w:rsid w:val="00E47D38"/>
    <w:rsid w:val="00E47DC4"/>
    <w:rsid w:val="00E47EEF"/>
    <w:rsid w:val="00E47F7F"/>
    <w:rsid w:val="00E50170"/>
    <w:rsid w:val="00E50321"/>
    <w:rsid w:val="00E50388"/>
    <w:rsid w:val="00E50438"/>
    <w:rsid w:val="00E5055E"/>
    <w:rsid w:val="00E5059F"/>
    <w:rsid w:val="00E505EF"/>
    <w:rsid w:val="00E50622"/>
    <w:rsid w:val="00E5070C"/>
    <w:rsid w:val="00E507AC"/>
    <w:rsid w:val="00E507DA"/>
    <w:rsid w:val="00E509AD"/>
    <w:rsid w:val="00E50B00"/>
    <w:rsid w:val="00E50BD0"/>
    <w:rsid w:val="00E50BD3"/>
    <w:rsid w:val="00E50C32"/>
    <w:rsid w:val="00E50C94"/>
    <w:rsid w:val="00E50D39"/>
    <w:rsid w:val="00E50E83"/>
    <w:rsid w:val="00E50F2E"/>
    <w:rsid w:val="00E50F32"/>
    <w:rsid w:val="00E50F66"/>
    <w:rsid w:val="00E50FA7"/>
    <w:rsid w:val="00E50FB8"/>
    <w:rsid w:val="00E51006"/>
    <w:rsid w:val="00E5100E"/>
    <w:rsid w:val="00E510DA"/>
    <w:rsid w:val="00E5112F"/>
    <w:rsid w:val="00E5117C"/>
    <w:rsid w:val="00E5119E"/>
    <w:rsid w:val="00E511B2"/>
    <w:rsid w:val="00E511E1"/>
    <w:rsid w:val="00E51253"/>
    <w:rsid w:val="00E51279"/>
    <w:rsid w:val="00E51285"/>
    <w:rsid w:val="00E512D6"/>
    <w:rsid w:val="00E51464"/>
    <w:rsid w:val="00E514FB"/>
    <w:rsid w:val="00E51590"/>
    <w:rsid w:val="00E5165E"/>
    <w:rsid w:val="00E516D6"/>
    <w:rsid w:val="00E516D8"/>
    <w:rsid w:val="00E516DB"/>
    <w:rsid w:val="00E516F3"/>
    <w:rsid w:val="00E51856"/>
    <w:rsid w:val="00E518A7"/>
    <w:rsid w:val="00E5194D"/>
    <w:rsid w:val="00E5198B"/>
    <w:rsid w:val="00E51AAC"/>
    <w:rsid w:val="00E51BBE"/>
    <w:rsid w:val="00E51BD7"/>
    <w:rsid w:val="00E51BEB"/>
    <w:rsid w:val="00E51C8C"/>
    <w:rsid w:val="00E51CC7"/>
    <w:rsid w:val="00E51FDC"/>
    <w:rsid w:val="00E51FF4"/>
    <w:rsid w:val="00E52240"/>
    <w:rsid w:val="00E5226D"/>
    <w:rsid w:val="00E52331"/>
    <w:rsid w:val="00E52374"/>
    <w:rsid w:val="00E52383"/>
    <w:rsid w:val="00E523A3"/>
    <w:rsid w:val="00E523BF"/>
    <w:rsid w:val="00E52585"/>
    <w:rsid w:val="00E52799"/>
    <w:rsid w:val="00E529B6"/>
    <w:rsid w:val="00E529F5"/>
    <w:rsid w:val="00E52A5E"/>
    <w:rsid w:val="00E52AB7"/>
    <w:rsid w:val="00E52C65"/>
    <w:rsid w:val="00E52DDE"/>
    <w:rsid w:val="00E52E07"/>
    <w:rsid w:val="00E52ED7"/>
    <w:rsid w:val="00E52F92"/>
    <w:rsid w:val="00E5310A"/>
    <w:rsid w:val="00E5310C"/>
    <w:rsid w:val="00E531DA"/>
    <w:rsid w:val="00E53238"/>
    <w:rsid w:val="00E533B2"/>
    <w:rsid w:val="00E533FE"/>
    <w:rsid w:val="00E534A4"/>
    <w:rsid w:val="00E53513"/>
    <w:rsid w:val="00E53566"/>
    <w:rsid w:val="00E5356B"/>
    <w:rsid w:val="00E535C3"/>
    <w:rsid w:val="00E53717"/>
    <w:rsid w:val="00E537E2"/>
    <w:rsid w:val="00E538D6"/>
    <w:rsid w:val="00E5397D"/>
    <w:rsid w:val="00E539B6"/>
    <w:rsid w:val="00E53BF7"/>
    <w:rsid w:val="00E53C0D"/>
    <w:rsid w:val="00E53C15"/>
    <w:rsid w:val="00E53C64"/>
    <w:rsid w:val="00E53CEE"/>
    <w:rsid w:val="00E53CF0"/>
    <w:rsid w:val="00E53E00"/>
    <w:rsid w:val="00E53E15"/>
    <w:rsid w:val="00E53E38"/>
    <w:rsid w:val="00E53F1B"/>
    <w:rsid w:val="00E53F49"/>
    <w:rsid w:val="00E54016"/>
    <w:rsid w:val="00E54146"/>
    <w:rsid w:val="00E54194"/>
    <w:rsid w:val="00E541E1"/>
    <w:rsid w:val="00E54221"/>
    <w:rsid w:val="00E54272"/>
    <w:rsid w:val="00E542DE"/>
    <w:rsid w:val="00E5434D"/>
    <w:rsid w:val="00E543A8"/>
    <w:rsid w:val="00E543B4"/>
    <w:rsid w:val="00E54655"/>
    <w:rsid w:val="00E5466A"/>
    <w:rsid w:val="00E546C0"/>
    <w:rsid w:val="00E546E0"/>
    <w:rsid w:val="00E54797"/>
    <w:rsid w:val="00E54A42"/>
    <w:rsid w:val="00E54AFD"/>
    <w:rsid w:val="00E54B26"/>
    <w:rsid w:val="00E54C7B"/>
    <w:rsid w:val="00E54CD1"/>
    <w:rsid w:val="00E54D31"/>
    <w:rsid w:val="00E54D81"/>
    <w:rsid w:val="00E54DC3"/>
    <w:rsid w:val="00E54DCD"/>
    <w:rsid w:val="00E54E7B"/>
    <w:rsid w:val="00E54EEC"/>
    <w:rsid w:val="00E55033"/>
    <w:rsid w:val="00E5503A"/>
    <w:rsid w:val="00E55072"/>
    <w:rsid w:val="00E55118"/>
    <w:rsid w:val="00E551A6"/>
    <w:rsid w:val="00E551BD"/>
    <w:rsid w:val="00E551C7"/>
    <w:rsid w:val="00E55299"/>
    <w:rsid w:val="00E55372"/>
    <w:rsid w:val="00E55378"/>
    <w:rsid w:val="00E55405"/>
    <w:rsid w:val="00E554B5"/>
    <w:rsid w:val="00E554FC"/>
    <w:rsid w:val="00E55555"/>
    <w:rsid w:val="00E55568"/>
    <w:rsid w:val="00E555C4"/>
    <w:rsid w:val="00E55647"/>
    <w:rsid w:val="00E556D7"/>
    <w:rsid w:val="00E55777"/>
    <w:rsid w:val="00E55910"/>
    <w:rsid w:val="00E55984"/>
    <w:rsid w:val="00E55994"/>
    <w:rsid w:val="00E55A12"/>
    <w:rsid w:val="00E55A27"/>
    <w:rsid w:val="00E55A92"/>
    <w:rsid w:val="00E55B25"/>
    <w:rsid w:val="00E55B52"/>
    <w:rsid w:val="00E55B64"/>
    <w:rsid w:val="00E55B78"/>
    <w:rsid w:val="00E55C80"/>
    <w:rsid w:val="00E55D8C"/>
    <w:rsid w:val="00E55E37"/>
    <w:rsid w:val="00E55F1E"/>
    <w:rsid w:val="00E55F99"/>
    <w:rsid w:val="00E56051"/>
    <w:rsid w:val="00E56062"/>
    <w:rsid w:val="00E56298"/>
    <w:rsid w:val="00E56354"/>
    <w:rsid w:val="00E56485"/>
    <w:rsid w:val="00E5650A"/>
    <w:rsid w:val="00E56584"/>
    <w:rsid w:val="00E565F7"/>
    <w:rsid w:val="00E56666"/>
    <w:rsid w:val="00E56775"/>
    <w:rsid w:val="00E567EE"/>
    <w:rsid w:val="00E568DE"/>
    <w:rsid w:val="00E56955"/>
    <w:rsid w:val="00E569FD"/>
    <w:rsid w:val="00E56B56"/>
    <w:rsid w:val="00E56BF3"/>
    <w:rsid w:val="00E56E31"/>
    <w:rsid w:val="00E56E92"/>
    <w:rsid w:val="00E57001"/>
    <w:rsid w:val="00E57075"/>
    <w:rsid w:val="00E5707D"/>
    <w:rsid w:val="00E57124"/>
    <w:rsid w:val="00E57179"/>
    <w:rsid w:val="00E57198"/>
    <w:rsid w:val="00E571E3"/>
    <w:rsid w:val="00E5721D"/>
    <w:rsid w:val="00E57269"/>
    <w:rsid w:val="00E573F2"/>
    <w:rsid w:val="00E574EC"/>
    <w:rsid w:val="00E5753B"/>
    <w:rsid w:val="00E575A7"/>
    <w:rsid w:val="00E576E8"/>
    <w:rsid w:val="00E577E7"/>
    <w:rsid w:val="00E5783E"/>
    <w:rsid w:val="00E57846"/>
    <w:rsid w:val="00E57899"/>
    <w:rsid w:val="00E578F7"/>
    <w:rsid w:val="00E57920"/>
    <w:rsid w:val="00E57993"/>
    <w:rsid w:val="00E579D7"/>
    <w:rsid w:val="00E57A44"/>
    <w:rsid w:val="00E57B25"/>
    <w:rsid w:val="00E57B79"/>
    <w:rsid w:val="00E57C55"/>
    <w:rsid w:val="00E57C8F"/>
    <w:rsid w:val="00E57CF9"/>
    <w:rsid w:val="00E57D22"/>
    <w:rsid w:val="00E57DA9"/>
    <w:rsid w:val="00E57F9C"/>
    <w:rsid w:val="00E6000D"/>
    <w:rsid w:val="00E60040"/>
    <w:rsid w:val="00E60065"/>
    <w:rsid w:val="00E60085"/>
    <w:rsid w:val="00E600DE"/>
    <w:rsid w:val="00E6036E"/>
    <w:rsid w:val="00E603A9"/>
    <w:rsid w:val="00E6044F"/>
    <w:rsid w:val="00E604F6"/>
    <w:rsid w:val="00E60538"/>
    <w:rsid w:val="00E605FC"/>
    <w:rsid w:val="00E606D5"/>
    <w:rsid w:val="00E60745"/>
    <w:rsid w:val="00E6081E"/>
    <w:rsid w:val="00E60832"/>
    <w:rsid w:val="00E60892"/>
    <w:rsid w:val="00E608BC"/>
    <w:rsid w:val="00E609ED"/>
    <w:rsid w:val="00E60A58"/>
    <w:rsid w:val="00E60B1C"/>
    <w:rsid w:val="00E60C06"/>
    <w:rsid w:val="00E60C19"/>
    <w:rsid w:val="00E60D4B"/>
    <w:rsid w:val="00E60DF0"/>
    <w:rsid w:val="00E60E00"/>
    <w:rsid w:val="00E60EF9"/>
    <w:rsid w:val="00E610FC"/>
    <w:rsid w:val="00E611B7"/>
    <w:rsid w:val="00E61250"/>
    <w:rsid w:val="00E61323"/>
    <w:rsid w:val="00E61576"/>
    <w:rsid w:val="00E615F9"/>
    <w:rsid w:val="00E6160D"/>
    <w:rsid w:val="00E6171A"/>
    <w:rsid w:val="00E61751"/>
    <w:rsid w:val="00E617B2"/>
    <w:rsid w:val="00E617BC"/>
    <w:rsid w:val="00E61856"/>
    <w:rsid w:val="00E6189A"/>
    <w:rsid w:val="00E6193C"/>
    <w:rsid w:val="00E619CA"/>
    <w:rsid w:val="00E61A26"/>
    <w:rsid w:val="00E61A88"/>
    <w:rsid w:val="00E61A9F"/>
    <w:rsid w:val="00E61AC2"/>
    <w:rsid w:val="00E61BB9"/>
    <w:rsid w:val="00E61BBF"/>
    <w:rsid w:val="00E61CAD"/>
    <w:rsid w:val="00E61CBC"/>
    <w:rsid w:val="00E61D25"/>
    <w:rsid w:val="00E61F9B"/>
    <w:rsid w:val="00E6202B"/>
    <w:rsid w:val="00E6203C"/>
    <w:rsid w:val="00E62076"/>
    <w:rsid w:val="00E62185"/>
    <w:rsid w:val="00E623A6"/>
    <w:rsid w:val="00E623B5"/>
    <w:rsid w:val="00E62407"/>
    <w:rsid w:val="00E62439"/>
    <w:rsid w:val="00E6247D"/>
    <w:rsid w:val="00E624C2"/>
    <w:rsid w:val="00E62530"/>
    <w:rsid w:val="00E62586"/>
    <w:rsid w:val="00E62587"/>
    <w:rsid w:val="00E62600"/>
    <w:rsid w:val="00E62664"/>
    <w:rsid w:val="00E6271E"/>
    <w:rsid w:val="00E62735"/>
    <w:rsid w:val="00E628BF"/>
    <w:rsid w:val="00E62AB6"/>
    <w:rsid w:val="00E62ADF"/>
    <w:rsid w:val="00E62BC2"/>
    <w:rsid w:val="00E62CAB"/>
    <w:rsid w:val="00E62D13"/>
    <w:rsid w:val="00E62D91"/>
    <w:rsid w:val="00E62DBD"/>
    <w:rsid w:val="00E62FBE"/>
    <w:rsid w:val="00E63063"/>
    <w:rsid w:val="00E631A9"/>
    <w:rsid w:val="00E6322A"/>
    <w:rsid w:val="00E6323C"/>
    <w:rsid w:val="00E632F8"/>
    <w:rsid w:val="00E6336C"/>
    <w:rsid w:val="00E6339B"/>
    <w:rsid w:val="00E634BC"/>
    <w:rsid w:val="00E635A4"/>
    <w:rsid w:val="00E63609"/>
    <w:rsid w:val="00E63A84"/>
    <w:rsid w:val="00E63B41"/>
    <w:rsid w:val="00E63CEA"/>
    <w:rsid w:val="00E63D34"/>
    <w:rsid w:val="00E63D53"/>
    <w:rsid w:val="00E63D62"/>
    <w:rsid w:val="00E63D77"/>
    <w:rsid w:val="00E63D86"/>
    <w:rsid w:val="00E63DAA"/>
    <w:rsid w:val="00E63DAE"/>
    <w:rsid w:val="00E63DB6"/>
    <w:rsid w:val="00E640E5"/>
    <w:rsid w:val="00E640E8"/>
    <w:rsid w:val="00E64155"/>
    <w:rsid w:val="00E642EE"/>
    <w:rsid w:val="00E64338"/>
    <w:rsid w:val="00E643E8"/>
    <w:rsid w:val="00E64481"/>
    <w:rsid w:val="00E644BA"/>
    <w:rsid w:val="00E6454D"/>
    <w:rsid w:val="00E645C9"/>
    <w:rsid w:val="00E64856"/>
    <w:rsid w:val="00E64917"/>
    <w:rsid w:val="00E64943"/>
    <w:rsid w:val="00E64968"/>
    <w:rsid w:val="00E64974"/>
    <w:rsid w:val="00E649BA"/>
    <w:rsid w:val="00E64B59"/>
    <w:rsid w:val="00E64B5B"/>
    <w:rsid w:val="00E64B7E"/>
    <w:rsid w:val="00E64B7F"/>
    <w:rsid w:val="00E64BDA"/>
    <w:rsid w:val="00E64E05"/>
    <w:rsid w:val="00E64E75"/>
    <w:rsid w:val="00E64EA3"/>
    <w:rsid w:val="00E64EFF"/>
    <w:rsid w:val="00E651BA"/>
    <w:rsid w:val="00E652D3"/>
    <w:rsid w:val="00E65353"/>
    <w:rsid w:val="00E653C8"/>
    <w:rsid w:val="00E653F2"/>
    <w:rsid w:val="00E65436"/>
    <w:rsid w:val="00E654DD"/>
    <w:rsid w:val="00E65587"/>
    <w:rsid w:val="00E655C5"/>
    <w:rsid w:val="00E6560F"/>
    <w:rsid w:val="00E656BE"/>
    <w:rsid w:val="00E6570B"/>
    <w:rsid w:val="00E657CF"/>
    <w:rsid w:val="00E6589D"/>
    <w:rsid w:val="00E658F3"/>
    <w:rsid w:val="00E658FB"/>
    <w:rsid w:val="00E6595A"/>
    <w:rsid w:val="00E659CE"/>
    <w:rsid w:val="00E65A1C"/>
    <w:rsid w:val="00E65A4E"/>
    <w:rsid w:val="00E65D2B"/>
    <w:rsid w:val="00E65D53"/>
    <w:rsid w:val="00E65D91"/>
    <w:rsid w:val="00E65DD2"/>
    <w:rsid w:val="00E65FE0"/>
    <w:rsid w:val="00E66012"/>
    <w:rsid w:val="00E66016"/>
    <w:rsid w:val="00E660AD"/>
    <w:rsid w:val="00E6619D"/>
    <w:rsid w:val="00E661E5"/>
    <w:rsid w:val="00E6620F"/>
    <w:rsid w:val="00E66309"/>
    <w:rsid w:val="00E66349"/>
    <w:rsid w:val="00E66368"/>
    <w:rsid w:val="00E663C7"/>
    <w:rsid w:val="00E6641B"/>
    <w:rsid w:val="00E66490"/>
    <w:rsid w:val="00E6649C"/>
    <w:rsid w:val="00E665C3"/>
    <w:rsid w:val="00E666DF"/>
    <w:rsid w:val="00E668F2"/>
    <w:rsid w:val="00E6691C"/>
    <w:rsid w:val="00E66926"/>
    <w:rsid w:val="00E66AF9"/>
    <w:rsid w:val="00E66B72"/>
    <w:rsid w:val="00E66BA3"/>
    <w:rsid w:val="00E66BDA"/>
    <w:rsid w:val="00E66DA0"/>
    <w:rsid w:val="00E66DCD"/>
    <w:rsid w:val="00E66ECE"/>
    <w:rsid w:val="00E66EF0"/>
    <w:rsid w:val="00E66F4E"/>
    <w:rsid w:val="00E66FA1"/>
    <w:rsid w:val="00E66FC6"/>
    <w:rsid w:val="00E670A9"/>
    <w:rsid w:val="00E670D1"/>
    <w:rsid w:val="00E671C1"/>
    <w:rsid w:val="00E671FE"/>
    <w:rsid w:val="00E67385"/>
    <w:rsid w:val="00E673B7"/>
    <w:rsid w:val="00E6742C"/>
    <w:rsid w:val="00E6748F"/>
    <w:rsid w:val="00E674A0"/>
    <w:rsid w:val="00E674DF"/>
    <w:rsid w:val="00E675B7"/>
    <w:rsid w:val="00E6769E"/>
    <w:rsid w:val="00E676F3"/>
    <w:rsid w:val="00E67734"/>
    <w:rsid w:val="00E67827"/>
    <w:rsid w:val="00E67922"/>
    <w:rsid w:val="00E679C0"/>
    <w:rsid w:val="00E679E5"/>
    <w:rsid w:val="00E679F3"/>
    <w:rsid w:val="00E67B11"/>
    <w:rsid w:val="00E67BB2"/>
    <w:rsid w:val="00E67CC9"/>
    <w:rsid w:val="00E67DAF"/>
    <w:rsid w:val="00E67DE6"/>
    <w:rsid w:val="00E67E0C"/>
    <w:rsid w:val="00E67E4E"/>
    <w:rsid w:val="00E67E88"/>
    <w:rsid w:val="00E70105"/>
    <w:rsid w:val="00E701C5"/>
    <w:rsid w:val="00E701EC"/>
    <w:rsid w:val="00E702D3"/>
    <w:rsid w:val="00E703AE"/>
    <w:rsid w:val="00E703B9"/>
    <w:rsid w:val="00E703DE"/>
    <w:rsid w:val="00E70434"/>
    <w:rsid w:val="00E70435"/>
    <w:rsid w:val="00E7045E"/>
    <w:rsid w:val="00E70471"/>
    <w:rsid w:val="00E704F2"/>
    <w:rsid w:val="00E70568"/>
    <w:rsid w:val="00E705B1"/>
    <w:rsid w:val="00E70600"/>
    <w:rsid w:val="00E70685"/>
    <w:rsid w:val="00E706A6"/>
    <w:rsid w:val="00E706DC"/>
    <w:rsid w:val="00E7072D"/>
    <w:rsid w:val="00E707FD"/>
    <w:rsid w:val="00E7082D"/>
    <w:rsid w:val="00E70833"/>
    <w:rsid w:val="00E70834"/>
    <w:rsid w:val="00E70869"/>
    <w:rsid w:val="00E708A4"/>
    <w:rsid w:val="00E70B48"/>
    <w:rsid w:val="00E70B49"/>
    <w:rsid w:val="00E70B59"/>
    <w:rsid w:val="00E70CDB"/>
    <w:rsid w:val="00E70D44"/>
    <w:rsid w:val="00E70D63"/>
    <w:rsid w:val="00E70EC9"/>
    <w:rsid w:val="00E70ED9"/>
    <w:rsid w:val="00E70FE2"/>
    <w:rsid w:val="00E7105A"/>
    <w:rsid w:val="00E71076"/>
    <w:rsid w:val="00E71158"/>
    <w:rsid w:val="00E711CB"/>
    <w:rsid w:val="00E713E7"/>
    <w:rsid w:val="00E714F3"/>
    <w:rsid w:val="00E7169C"/>
    <w:rsid w:val="00E717DB"/>
    <w:rsid w:val="00E71827"/>
    <w:rsid w:val="00E71914"/>
    <w:rsid w:val="00E71A13"/>
    <w:rsid w:val="00E71A2D"/>
    <w:rsid w:val="00E71A51"/>
    <w:rsid w:val="00E71A74"/>
    <w:rsid w:val="00E71AF5"/>
    <w:rsid w:val="00E71B1C"/>
    <w:rsid w:val="00E71B3C"/>
    <w:rsid w:val="00E71CEB"/>
    <w:rsid w:val="00E71D3E"/>
    <w:rsid w:val="00E71DCC"/>
    <w:rsid w:val="00E71E5A"/>
    <w:rsid w:val="00E71E9C"/>
    <w:rsid w:val="00E71EFC"/>
    <w:rsid w:val="00E71FA5"/>
    <w:rsid w:val="00E71FDF"/>
    <w:rsid w:val="00E7200B"/>
    <w:rsid w:val="00E7204B"/>
    <w:rsid w:val="00E720B1"/>
    <w:rsid w:val="00E72210"/>
    <w:rsid w:val="00E72217"/>
    <w:rsid w:val="00E7221D"/>
    <w:rsid w:val="00E7228F"/>
    <w:rsid w:val="00E722D5"/>
    <w:rsid w:val="00E722E2"/>
    <w:rsid w:val="00E7231A"/>
    <w:rsid w:val="00E72375"/>
    <w:rsid w:val="00E7237D"/>
    <w:rsid w:val="00E72416"/>
    <w:rsid w:val="00E72420"/>
    <w:rsid w:val="00E7246F"/>
    <w:rsid w:val="00E72544"/>
    <w:rsid w:val="00E726DD"/>
    <w:rsid w:val="00E7275D"/>
    <w:rsid w:val="00E727FF"/>
    <w:rsid w:val="00E72894"/>
    <w:rsid w:val="00E72923"/>
    <w:rsid w:val="00E72A77"/>
    <w:rsid w:val="00E72B37"/>
    <w:rsid w:val="00E72B8E"/>
    <w:rsid w:val="00E72C09"/>
    <w:rsid w:val="00E72C20"/>
    <w:rsid w:val="00E72DAB"/>
    <w:rsid w:val="00E72EAB"/>
    <w:rsid w:val="00E72EF0"/>
    <w:rsid w:val="00E72F7D"/>
    <w:rsid w:val="00E73395"/>
    <w:rsid w:val="00E733D0"/>
    <w:rsid w:val="00E73407"/>
    <w:rsid w:val="00E73530"/>
    <w:rsid w:val="00E735A7"/>
    <w:rsid w:val="00E73610"/>
    <w:rsid w:val="00E736E0"/>
    <w:rsid w:val="00E737C1"/>
    <w:rsid w:val="00E737F2"/>
    <w:rsid w:val="00E7380A"/>
    <w:rsid w:val="00E73956"/>
    <w:rsid w:val="00E739ED"/>
    <w:rsid w:val="00E73A35"/>
    <w:rsid w:val="00E73B2E"/>
    <w:rsid w:val="00E73B77"/>
    <w:rsid w:val="00E73B85"/>
    <w:rsid w:val="00E73BA6"/>
    <w:rsid w:val="00E73C8A"/>
    <w:rsid w:val="00E73E25"/>
    <w:rsid w:val="00E74013"/>
    <w:rsid w:val="00E740D6"/>
    <w:rsid w:val="00E74119"/>
    <w:rsid w:val="00E74140"/>
    <w:rsid w:val="00E74166"/>
    <w:rsid w:val="00E741C0"/>
    <w:rsid w:val="00E74230"/>
    <w:rsid w:val="00E74245"/>
    <w:rsid w:val="00E743C3"/>
    <w:rsid w:val="00E74402"/>
    <w:rsid w:val="00E744E2"/>
    <w:rsid w:val="00E744F7"/>
    <w:rsid w:val="00E744FF"/>
    <w:rsid w:val="00E74516"/>
    <w:rsid w:val="00E745B8"/>
    <w:rsid w:val="00E7466B"/>
    <w:rsid w:val="00E7471F"/>
    <w:rsid w:val="00E747C0"/>
    <w:rsid w:val="00E74909"/>
    <w:rsid w:val="00E74A46"/>
    <w:rsid w:val="00E74AEB"/>
    <w:rsid w:val="00E74B4C"/>
    <w:rsid w:val="00E74B5D"/>
    <w:rsid w:val="00E74C0E"/>
    <w:rsid w:val="00E74D02"/>
    <w:rsid w:val="00E74FCB"/>
    <w:rsid w:val="00E74FF6"/>
    <w:rsid w:val="00E75197"/>
    <w:rsid w:val="00E7523E"/>
    <w:rsid w:val="00E7531F"/>
    <w:rsid w:val="00E75340"/>
    <w:rsid w:val="00E75409"/>
    <w:rsid w:val="00E754BC"/>
    <w:rsid w:val="00E75500"/>
    <w:rsid w:val="00E75574"/>
    <w:rsid w:val="00E755C0"/>
    <w:rsid w:val="00E75625"/>
    <w:rsid w:val="00E7574F"/>
    <w:rsid w:val="00E75769"/>
    <w:rsid w:val="00E757B3"/>
    <w:rsid w:val="00E75824"/>
    <w:rsid w:val="00E758B6"/>
    <w:rsid w:val="00E75900"/>
    <w:rsid w:val="00E75928"/>
    <w:rsid w:val="00E75932"/>
    <w:rsid w:val="00E759BE"/>
    <w:rsid w:val="00E759E6"/>
    <w:rsid w:val="00E75A49"/>
    <w:rsid w:val="00E75ACB"/>
    <w:rsid w:val="00E75AFE"/>
    <w:rsid w:val="00E75B4E"/>
    <w:rsid w:val="00E75B85"/>
    <w:rsid w:val="00E75C08"/>
    <w:rsid w:val="00E75C09"/>
    <w:rsid w:val="00E75D74"/>
    <w:rsid w:val="00E75D78"/>
    <w:rsid w:val="00E75DAE"/>
    <w:rsid w:val="00E75DB4"/>
    <w:rsid w:val="00E75DC4"/>
    <w:rsid w:val="00E75E6D"/>
    <w:rsid w:val="00E75F79"/>
    <w:rsid w:val="00E760AF"/>
    <w:rsid w:val="00E7610A"/>
    <w:rsid w:val="00E7615F"/>
    <w:rsid w:val="00E7616F"/>
    <w:rsid w:val="00E76186"/>
    <w:rsid w:val="00E761AA"/>
    <w:rsid w:val="00E7627F"/>
    <w:rsid w:val="00E76286"/>
    <w:rsid w:val="00E763B7"/>
    <w:rsid w:val="00E763EE"/>
    <w:rsid w:val="00E764B2"/>
    <w:rsid w:val="00E7655F"/>
    <w:rsid w:val="00E7663F"/>
    <w:rsid w:val="00E767CB"/>
    <w:rsid w:val="00E767F2"/>
    <w:rsid w:val="00E768EB"/>
    <w:rsid w:val="00E76960"/>
    <w:rsid w:val="00E7697A"/>
    <w:rsid w:val="00E76A71"/>
    <w:rsid w:val="00E76A92"/>
    <w:rsid w:val="00E76AE0"/>
    <w:rsid w:val="00E76BA5"/>
    <w:rsid w:val="00E76BB4"/>
    <w:rsid w:val="00E76CF9"/>
    <w:rsid w:val="00E76DD7"/>
    <w:rsid w:val="00E76E2C"/>
    <w:rsid w:val="00E76E4C"/>
    <w:rsid w:val="00E76EEC"/>
    <w:rsid w:val="00E77027"/>
    <w:rsid w:val="00E7702B"/>
    <w:rsid w:val="00E7712B"/>
    <w:rsid w:val="00E77283"/>
    <w:rsid w:val="00E772FA"/>
    <w:rsid w:val="00E77335"/>
    <w:rsid w:val="00E7745B"/>
    <w:rsid w:val="00E774D8"/>
    <w:rsid w:val="00E774EE"/>
    <w:rsid w:val="00E77603"/>
    <w:rsid w:val="00E7761F"/>
    <w:rsid w:val="00E77809"/>
    <w:rsid w:val="00E77955"/>
    <w:rsid w:val="00E779EF"/>
    <w:rsid w:val="00E77ACB"/>
    <w:rsid w:val="00E77BEE"/>
    <w:rsid w:val="00E77CE8"/>
    <w:rsid w:val="00E77CE9"/>
    <w:rsid w:val="00E77D26"/>
    <w:rsid w:val="00E77D2C"/>
    <w:rsid w:val="00E77D6D"/>
    <w:rsid w:val="00E77E05"/>
    <w:rsid w:val="00E77E70"/>
    <w:rsid w:val="00E77E81"/>
    <w:rsid w:val="00E77F82"/>
    <w:rsid w:val="00E80132"/>
    <w:rsid w:val="00E8022E"/>
    <w:rsid w:val="00E80233"/>
    <w:rsid w:val="00E802D4"/>
    <w:rsid w:val="00E80318"/>
    <w:rsid w:val="00E80391"/>
    <w:rsid w:val="00E803C1"/>
    <w:rsid w:val="00E80454"/>
    <w:rsid w:val="00E805AA"/>
    <w:rsid w:val="00E805D6"/>
    <w:rsid w:val="00E805D8"/>
    <w:rsid w:val="00E808A4"/>
    <w:rsid w:val="00E808D8"/>
    <w:rsid w:val="00E80B6B"/>
    <w:rsid w:val="00E80C09"/>
    <w:rsid w:val="00E80C25"/>
    <w:rsid w:val="00E80D50"/>
    <w:rsid w:val="00E80D72"/>
    <w:rsid w:val="00E80D7B"/>
    <w:rsid w:val="00E80DEE"/>
    <w:rsid w:val="00E80DF4"/>
    <w:rsid w:val="00E80E4F"/>
    <w:rsid w:val="00E80F09"/>
    <w:rsid w:val="00E80F8B"/>
    <w:rsid w:val="00E81042"/>
    <w:rsid w:val="00E8105B"/>
    <w:rsid w:val="00E8116D"/>
    <w:rsid w:val="00E812A4"/>
    <w:rsid w:val="00E812A8"/>
    <w:rsid w:val="00E812B7"/>
    <w:rsid w:val="00E81325"/>
    <w:rsid w:val="00E8138A"/>
    <w:rsid w:val="00E81446"/>
    <w:rsid w:val="00E81499"/>
    <w:rsid w:val="00E814B0"/>
    <w:rsid w:val="00E815C7"/>
    <w:rsid w:val="00E815F2"/>
    <w:rsid w:val="00E816B4"/>
    <w:rsid w:val="00E81796"/>
    <w:rsid w:val="00E8181D"/>
    <w:rsid w:val="00E8183D"/>
    <w:rsid w:val="00E819E4"/>
    <w:rsid w:val="00E81A11"/>
    <w:rsid w:val="00E81A87"/>
    <w:rsid w:val="00E81C25"/>
    <w:rsid w:val="00E81C26"/>
    <w:rsid w:val="00E81CEC"/>
    <w:rsid w:val="00E81D2A"/>
    <w:rsid w:val="00E81DF6"/>
    <w:rsid w:val="00E81E17"/>
    <w:rsid w:val="00E81E19"/>
    <w:rsid w:val="00E81E75"/>
    <w:rsid w:val="00E81EDD"/>
    <w:rsid w:val="00E81F09"/>
    <w:rsid w:val="00E81F8E"/>
    <w:rsid w:val="00E820AB"/>
    <w:rsid w:val="00E82135"/>
    <w:rsid w:val="00E823C1"/>
    <w:rsid w:val="00E823E8"/>
    <w:rsid w:val="00E82473"/>
    <w:rsid w:val="00E824D1"/>
    <w:rsid w:val="00E824DC"/>
    <w:rsid w:val="00E82639"/>
    <w:rsid w:val="00E82687"/>
    <w:rsid w:val="00E827F1"/>
    <w:rsid w:val="00E828FF"/>
    <w:rsid w:val="00E82941"/>
    <w:rsid w:val="00E829A5"/>
    <w:rsid w:val="00E82A0D"/>
    <w:rsid w:val="00E82AA4"/>
    <w:rsid w:val="00E82C67"/>
    <w:rsid w:val="00E82CBD"/>
    <w:rsid w:val="00E82DBF"/>
    <w:rsid w:val="00E82F3F"/>
    <w:rsid w:val="00E82FEE"/>
    <w:rsid w:val="00E83081"/>
    <w:rsid w:val="00E8308B"/>
    <w:rsid w:val="00E830D2"/>
    <w:rsid w:val="00E832CC"/>
    <w:rsid w:val="00E832D9"/>
    <w:rsid w:val="00E8340D"/>
    <w:rsid w:val="00E83477"/>
    <w:rsid w:val="00E83483"/>
    <w:rsid w:val="00E83554"/>
    <w:rsid w:val="00E8364B"/>
    <w:rsid w:val="00E8368D"/>
    <w:rsid w:val="00E83777"/>
    <w:rsid w:val="00E837C1"/>
    <w:rsid w:val="00E83890"/>
    <w:rsid w:val="00E83948"/>
    <w:rsid w:val="00E8398B"/>
    <w:rsid w:val="00E839C4"/>
    <w:rsid w:val="00E83B46"/>
    <w:rsid w:val="00E83CD3"/>
    <w:rsid w:val="00E83CF0"/>
    <w:rsid w:val="00E83CF9"/>
    <w:rsid w:val="00E83D48"/>
    <w:rsid w:val="00E83D4C"/>
    <w:rsid w:val="00E83D61"/>
    <w:rsid w:val="00E83DFA"/>
    <w:rsid w:val="00E83E12"/>
    <w:rsid w:val="00E83EB4"/>
    <w:rsid w:val="00E83EE7"/>
    <w:rsid w:val="00E83FFA"/>
    <w:rsid w:val="00E840BC"/>
    <w:rsid w:val="00E84138"/>
    <w:rsid w:val="00E84186"/>
    <w:rsid w:val="00E84210"/>
    <w:rsid w:val="00E84245"/>
    <w:rsid w:val="00E84264"/>
    <w:rsid w:val="00E84555"/>
    <w:rsid w:val="00E84567"/>
    <w:rsid w:val="00E84647"/>
    <w:rsid w:val="00E8472D"/>
    <w:rsid w:val="00E84A11"/>
    <w:rsid w:val="00E84A29"/>
    <w:rsid w:val="00E84A4F"/>
    <w:rsid w:val="00E84B29"/>
    <w:rsid w:val="00E84C81"/>
    <w:rsid w:val="00E84D88"/>
    <w:rsid w:val="00E84DA4"/>
    <w:rsid w:val="00E84DF4"/>
    <w:rsid w:val="00E84EE1"/>
    <w:rsid w:val="00E84F89"/>
    <w:rsid w:val="00E85030"/>
    <w:rsid w:val="00E8505E"/>
    <w:rsid w:val="00E8513D"/>
    <w:rsid w:val="00E85177"/>
    <w:rsid w:val="00E85247"/>
    <w:rsid w:val="00E8528B"/>
    <w:rsid w:val="00E85295"/>
    <w:rsid w:val="00E852EE"/>
    <w:rsid w:val="00E85304"/>
    <w:rsid w:val="00E85483"/>
    <w:rsid w:val="00E855BA"/>
    <w:rsid w:val="00E85683"/>
    <w:rsid w:val="00E85795"/>
    <w:rsid w:val="00E85980"/>
    <w:rsid w:val="00E859B5"/>
    <w:rsid w:val="00E85A7B"/>
    <w:rsid w:val="00E85AB8"/>
    <w:rsid w:val="00E85DC2"/>
    <w:rsid w:val="00E85DED"/>
    <w:rsid w:val="00E85ED1"/>
    <w:rsid w:val="00E85F59"/>
    <w:rsid w:val="00E8607A"/>
    <w:rsid w:val="00E86154"/>
    <w:rsid w:val="00E861CC"/>
    <w:rsid w:val="00E86246"/>
    <w:rsid w:val="00E86324"/>
    <w:rsid w:val="00E86486"/>
    <w:rsid w:val="00E8651A"/>
    <w:rsid w:val="00E86630"/>
    <w:rsid w:val="00E86642"/>
    <w:rsid w:val="00E86667"/>
    <w:rsid w:val="00E8678A"/>
    <w:rsid w:val="00E867BC"/>
    <w:rsid w:val="00E8683B"/>
    <w:rsid w:val="00E86859"/>
    <w:rsid w:val="00E86866"/>
    <w:rsid w:val="00E868C0"/>
    <w:rsid w:val="00E868E5"/>
    <w:rsid w:val="00E869FA"/>
    <w:rsid w:val="00E86A5B"/>
    <w:rsid w:val="00E86C0C"/>
    <w:rsid w:val="00E86C5F"/>
    <w:rsid w:val="00E86E05"/>
    <w:rsid w:val="00E86E20"/>
    <w:rsid w:val="00E86E4C"/>
    <w:rsid w:val="00E86F46"/>
    <w:rsid w:val="00E86F47"/>
    <w:rsid w:val="00E86FD6"/>
    <w:rsid w:val="00E87049"/>
    <w:rsid w:val="00E8720B"/>
    <w:rsid w:val="00E8721A"/>
    <w:rsid w:val="00E8731E"/>
    <w:rsid w:val="00E87320"/>
    <w:rsid w:val="00E8748D"/>
    <w:rsid w:val="00E87498"/>
    <w:rsid w:val="00E8751E"/>
    <w:rsid w:val="00E87521"/>
    <w:rsid w:val="00E87673"/>
    <w:rsid w:val="00E8768C"/>
    <w:rsid w:val="00E876B1"/>
    <w:rsid w:val="00E876D7"/>
    <w:rsid w:val="00E876FD"/>
    <w:rsid w:val="00E87717"/>
    <w:rsid w:val="00E877D4"/>
    <w:rsid w:val="00E877F5"/>
    <w:rsid w:val="00E879AB"/>
    <w:rsid w:val="00E87B98"/>
    <w:rsid w:val="00E87C28"/>
    <w:rsid w:val="00E87CDA"/>
    <w:rsid w:val="00E87F52"/>
    <w:rsid w:val="00E87F5E"/>
    <w:rsid w:val="00E90036"/>
    <w:rsid w:val="00E90086"/>
    <w:rsid w:val="00E900C0"/>
    <w:rsid w:val="00E900F4"/>
    <w:rsid w:val="00E900FC"/>
    <w:rsid w:val="00E90103"/>
    <w:rsid w:val="00E90138"/>
    <w:rsid w:val="00E901C5"/>
    <w:rsid w:val="00E90210"/>
    <w:rsid w:val="00E902D5"/>
    <w:rsid w:val="00E90303"/>
    <w:rsid w:val="00E9035C"/>
    <w:rsid w:val="00E90393"/>
    <w:rsid w:val="00E903F0"/>
    <w:rsid w:val="00E903FF"/>
    <w:rsid w:val="00E90455"/>
    <w:rsid w:val="00E904F7"/>
    <w:rsid w:val="00E90646"/>
    <w:rsid w:val="00E906DA"/>
    <w:rsid w:val="00E90867"/>
    <w:rsid w:val="00E9095E"/>
    <w:rsid w:val="00E909D0"/>
    <w:rsid w:val="00E90AD9"/>
    <w:rsid w:val="00E90B13"/>
    <w:rsid w:val="00E90B44"/>
    <w:rsid w:val="00E90C19"/>
    <w:rsid w:val="00E90CE5"/>
    <w:rsid w:val="00E90D4E"/>
    <w:rsid w:val="00E90E2A"/>
    <w:rsid w:val="00E90F53"/>
    <w:rsid w:val="00E9101D"/>
    <w:rsid w:val="00E9102D"/>
    <w:rsid w:val="00E911AE"/>
    <w:rsid w:val="00E9126D"/>
    <w:rsid w:val="00E9132B"/>
    <w:rsid w:val="00E9139E"/>
    <w:rsid w:val="00E91406"/>
    <w:rsid w:val="00E91555"/>
    <w:rsid w:val="00E915CA"/>
    <w:rsid w:val="00E91655"/>
    <w:rsid w:val="00E91702"/>
    <w:rsid w:val="00E9178C"/>
    <w:rsid w:val="00E9181D"/>
    <w:rsid w:val="00E91858"/>
    <w:rsid w:val="00E918F9"/>
    <w:rsid w:val="00E918FD"/>
    <w:rsid w:val="00E91A5E"/>
    <w:rsid w:val="00E91CFA"/>
    <w:rsid w:val="00E91D11"/>
    <w:rsid w:val="00E91D37"/>
    <w:rsid w:val="00E91D6D"/>
    <w:rsid w:val="00E91D7D"/>
    <w:rsid w:val="00E91E26"/>
    <w:rsid w:val="00E91E4F"/>
    <w:rsid w:val="00E91E54"/>
    <w:rsid w:val="00E91E8C"/>
    <w:rsid w:val="00E91EFB"/>
    <w:rsid w:val="00E91FA9"/>
    <w:rsid w:val="00E91FBA"/>
    <w:rsid w:val="00E91FDA"/>
    <w:rsid w:val="00E920F5"/>
    <w:rsid w:val="00E92199"/>
    <w:rsid w:val="00E92228"/>
    <w:rsid w:val="00E92284"/>
    <w:rsid w:val="00E9229C"/>
    <w:rsid w:val="00E92300"/>
    <w:rsid w:val="00E9231B"/>
    <w:rsid w:val="00E92375"/>
    <w:rsid w:val="00E923CD"/>
    <w:rsid w:val="00E923FA"/>
    <w:rsid w:val="00E92409"/>
    <w:rsid w:val="00E92419"/>
    <w:rsid w:val="00E92439"/>
    <w:rsid w:val="00E9248F"/>
    <w:rsid w:val="00E924E4"/>
    <w:rsid w:val="00E925BA"/>
    <w:rsid w:val="00E92696"/>
    <w:rsid w:val="00E9269F"/>
    <w:rsid w:val="00E9275B"/>
    <w:rsid w:val="00E9280F"/>
    <w:rsid w:val="00E9283A"/>
    <w:rsid w:val="00E92955"/>
    <w:rsid w:val="00E92974"/>
    <w:rsid w:val="00E929D9"/>
    <w:rsid w:val="00E92B91"/>
    <w:rsid w:val="00E92BCA"/>
    <w:rsid w:val="00E92BD4"/>
    <w:rsid w:val="00E92C38"/>
    <w:rsid w:val="00E92D48"/>
    <w:rsid w:val="00E92D6D"/>
    <w:rsid w:val="00E92D6E"/>
    <w:rsid w:val="00E92D75"/>
    <w:rsid w:val="00E92D7E"/>
    <w:rsid w:val="00E92E62"/>
    <w:rsid w:val="00E92E87"/>
    <w:rsid w:val="00E92EF0"/>
    <w:rsid w:val="00E92F07"/>
    <w:rsid w:val="00E92F98"/>
    <w:rsid w:val="00E92FC1"/>
    <w:rsid w:val="00E9305B"/>
    <w:rsid w:val="00E9308C"/>
    <w:rsid w:val="00E9315D"/>
    <w:rsid w:val="00E932D4"/>
    <w:rsid w:val="00E9331D"/>
    <w:rsid w:val="00E9333A"/>
    <w:rsid w:val="00E93372"/>
    <w:rsid w:val="00E9352F"/>
    <w:rsid w:val="00E935F3"/>
    <w:rsid w:val="00E9361B"/>
    <w:rsid w:val="00E936FD"/>
    <w:rsid w:val="00E9378B"/>
    <w:rsid w:val="00E937A9"/>
    <w:rsid w:val="00E937C7"/>
    <w:rsid w:val="00E9396E"/>
    <w:rsid w:val="00E93A23"/>
    <w:rsid w:val="00E93B4B"/>
    <w:rsid w:val="00E93C16"/>
    <w:rsid w:val="00E93C5D"/>
    <w:rsid w:val="00E93CDC"/>
    <w:rsid w:val="00E93D4E"/>
    <w:rsid w:val="00E93D85"/>
    <w:rsid w:val="00E93E29"/>
    <w:rsid w:val="00E93E6D"/>
    <w:rsid w:val="00E9404C"/>
    <w:rsid w:val="00E9406A"/>
    <w:rsid w:val="00E94133"/>
    <w:rsid w:val="00E941E9"/>
    <w:rsid w:val="00E941FB"/>
    <w:rsid w:val="00E94236"/>
    <w:rsid w:val="00E942A0"/>
    <w:rsid w:val="00E942C6"/>
    <w:rsid w:val="00E9432E"/>
    <w:rsid w:val="00E94344"/>
    <w:rsid w:val="00E943CB"/>
    <w:rsid w:val="00E943E3"/>
    <w:rsid w:val="00E9445D"/>
    <w:rsid w:val="00E945EC"/>
    <w:rsid w:val="00E9464D"/>
    <w:rsid w:val="00E946BC"/>
    <w:rsid w:val="00E946D6"/>
    <w:rsid w:val="00E94A36"/>
    <w:rsid w:val="00E94A5E"/>
    <w:rsid w:val="00E94AFD"/>
    <w:rsid w:val="00E94B42"/>
    <w:rsid w:val="00E94BFC"/>
    <w:rsid w:val="00E94CA0"/>
    <w:rsid w:val="00E94CED"/>
    <w:rsid w:val="00E94D00"/>
    <w:rsid w:val="00E94D7F"/>
    <w:rsid w:val="00E94E5C"/>
    <w:rsid w:val="00E94E95"/>
    <w:rsid w:val="00E95034"/>
    <w:rsid w:val="00E9505C"/>
    <w:rsid w:val="00E950DA"/>
    <w:rsid w:val="00E95121"/>
    <w:rsid w:val="00E951A9"/>
    <w:rsid w:val="00E951B5"/>
    <w:rsid w:val="00E95235"/>
    <w:rsid w:val="00E95322"/>
    <w:rsid w:val="00E9543D"/>
    <w:rsid w:val="00E95490"/>
    <w:rsid w:val="00E954D3"/>
    <w:rsid w:val="00E955C1"/>
    <w:rsid w:val="00E95737"/>
    <w:rsid w:val="00E95808"/>
    <w:rsid w:val="00E958DD"/>
    <w:rsid w:val="00E9598B"/>
    <w:rsid w:val="00E95A72"/>
    <w:rsid w:val="00E95ADB"/>
    <w:rsid w:val="00E95B2B"/>
    <w:rsid w:val="00E95B31"/>
    <w:rsid w:val="00E95C15"/>
    <w:rsid w:val="00E95CB4"/>
    <w:rsid w:val="00E95CC8"/>
    <w:rsid w:val="00E95FF5"/>
    <w:rsid w:val="00E9615D"/>
    <w:rsid w:val="00E96173"/>
    <w:rsid w:val="00E96211"/>
    <w:rsid w:val="00E96247"/>
    <w:rsid w:val="00E96300"/>
    <w:rsid w:val="00E96362"/>
    <w:rsid w:val="00E963F2"/>
    <w:rsid w:val="00E9655B"/>
    <w:rsid w:val="00E9657F"/>
    <w:rsid w:val="00E965A3"/>
    <w:rsid w:val="00E9666C"/>
    <w:rsid w:val="00E96709"/>
    <w:rsid w:val="00E96821"/>
    <w:rsid w:val="00E9687F"/>
    <w:rsid w:val="00E968C1"/>
    <w:rsid w:val="00E9691B"/>
    <w:rsid w:val="00E96A16"/>
    <w:rsid w:val="00E96A7D"/>
    <w:rsid w:val="00E96B83"/>
    <w:rsid w:val="00E96BF0"/>
    <w:rsid w:val="00E96D1E"/>
    <w:rsid w:val="00E96D6C"/>
    <w:rsid w:val="00E96E49"/>
    <w:rsid w:val="00E96E63"/>
    <w:rsid w:val="00E96F8A"/>
    <w:rsid w:val="00E970F8"/>
    <w:rsid w:val="00E9710B"/>
    <w:rsid w:val="00E971F6"/>
    <w:rsid w:val="00E9725A"/>
    <w:rsid w:val="00E9727B"/>
    <w:rsid w:val="00E97355"/>
    <w:rsid w:val="00E97397"/>
    <w:rsid w:val="00E97436"/>
    <w:rsid w:val="00E975E7"/>
    <w:rsid w:val="00E975F2"/>
    <w:rsid w:val="00E97624"/>
    <w:rsid w:val="00E97661"/>
    <w:rsid w:val="00E976CE"/>
    <w:rsid w:val="00E97709"/>
    <w:rsid w:val="00E977CE"/>
    <w:rsid w:val="00E97916"/>
    <w:rsid w:val="00E97AA5"/>
    <w:rsid w:val="00E97C13"/>
    <w:rsid w:val="00E97C4F"/>
    <w:rsid w:val="00E97D7E"/>
    <w:rsid w:val="00E97D94"/>
    <w:rsid w:val="00E97DB8"/>
    <w:rsid w:val="00E97DCA"/>
    <w:rsid w:val="00E97DE4"/>
    <w:rsid w:val="00E97E29"/>
    <w:rsid w:val="00E97F7F"/>
    <w:rsid w:val="00EA0064"/>
    <w:rsid w:val="00EA0082"/>
    <w:rsid w:val="00EA00B3"/>
    <w:rsid w:val="00EA0141"/>
    <w:rsid w:val="00EA014A"/>
    <w:rsid w:val="00EA0199"/>
    <w:rsid w:val="00EA0219"/>
    <w:rsid w:val="00EA021C"/>
    <w:rsid w:val="00EA0235"/>
    <w:rsid w:val="00EA02C2"/>
    <w:rsid w:val="00EA042E"/>
    <w:rsid w:val="00EA047A"/>
    <w:rsid w:val="00EA048F"/>
    <w:rsid w:val="00EA059C"/>
    <w:rsid w:val="00EA05BF"/>
    <w:rsid w:val="00EA05C8"/>
    <w:rsid w:val="00EA083C"/>
    <w:rsid w:val="00EA08AE"/>
    <w:rsid w:val="00EA0ABC"/>
    <w:rsid w:val="00EA0B3E"/>
    <w:rsid w:val="00EA0B8E"/>
    <w:rsid w:val="00EA0D7E"/>
    <w:rsid w:val="00EA0DC3"/>
    <w:rsid w:val="00EA0DD0"/>
    <w:rsid w:val="00EA0E54"/>
    <w:rsid w:val="00EA0E84"/>
    <w:rsid w:val="00EA0EDA"/>
    <w:rsid w:val="00EA0EFE"/>
    <w:rsid w:val="00EA0F05"/>
    <w:rsid w:val="00EA0F5B"/>
    <w:rsid w:val="00EA1020"/>
    <w:rsid w:val="00EA1211"/>
    <w:rsid w:val="00EA12CF"/>
    <w:rsid w:val="00EA1610"/>
    <w:rsid w:val="00EA1769"/>
    <w:rsid w:val="00EA1870"/>
    <w:rsid w:val="00EA18AB"/>
    <w:rsid w:val="00EA196D"/>
    <w:rsid w:val="00EA1D03"/>
    <w:rsid w:val="00EA1DA8"/>
    <w:rsid w:val="00EA1E3A"/>
    <w:rsid w:val="00EA1ECB"/>
    <w:rsid w:val="00EA1F24"/>
    <w:rsid w:val="00EA1F36"/>
    <w:rsid w:val="00EA1FE8"/>
    <w:rsid w:val="00EA203E"/>
    <w:rsid w:val="00EA20D3"/>
    <w:rsid w:val="00EA21BF"/>
    <w:rsid w:val="00EA226A"/>
    <w:rsid w:val="00EA22E0"/>
    <w:rsid w:val="00EA232F"/>
    <w:rsid w:val="00EA23A5"/>
    <w:rsid w:val="00EA2482"/>
    <w:rsid w:val="00EA2522"/>
    <w:rsid w:val="00EA26B5"/>
    <w:rsid w:val="00EA2777"/>
    <w:rsid w:val="00EA27C2"/>
    <w:rsid w:val="00EA28D2"/>
    <w:rsid w:val="00EA29E5"/>
    <w:rsid w:val="00EA2A72"/>
    <w:rsid w:val="00EA2AAB"/>
    <w:rsid w:val="00EA2B2C"/>
    <w:rsid w:val="00EA2B51"/>
    <w:rsid w:val="00EA2BF4"/>
    <w:rsid w:val="00EA2E55"/>
    <w:rsid w:val="00EA2E90"/>
    <w:rsid w:val="00EA2E9B"/>
    <w:rsid w:val="00EA31B2"/>
    <w:rsid w:val="00EA3210"/>
    <w:rsid w:val="00EA3226"/>
    <w:rsid w:val="00EA32A7"/>
    <w:rsid w:val="00EA330B"/>
    <w:rsid w:val="00EA331A"/>
    <w:rsid w:val="00EA332F"/>
    <w:rsid w:val="00EA3345"/>
    <w:rsid w:val="00EA3410"/>
    <w:rsid w:val="00EA35BA"/>
    <w:rsid w:val="00EA3621"/>
    <w:rsid w:val="00EA3671"/>
    <w:rsid w:val="00EA36BD"/>
    <w:rsid w:val="00EA38DC"/>
    <w:rsid w:val="00EA3AB8"/>
    <w:rsid w:val="00EA3AF8"/>
    <w:rsid w:val="00EA3B25"/>
    <w:rsid w:val="00EA3B2A"/>
    <w:rsid w:val="00EA3BF1"/>
    <w:rsid w:val="00EA3C90"/>
    <w:rsid w:val="00EA3C9F"/>
    <w:rsid w:val="00EA3D2B"/>
    <w:rsid w:val="00EA3DDF"/>
    <w:rsid w:val="00EA3E8E"/>
    <w:rsid w:val="00EA3F30"/>
    <w:rsid w:val="00EA404C"/>
    <w:rsid w:val="00EA40DD"/>
    <w:rsid w:val="00EA40E6"/>
    <w:rsid w:val="00EA4179"/>
    <w:rsid w:val="00EA41DC"/>
    <w:rsid w:val="00EA42E3"/>
    <w:rsid w:val="00EA4331"/>
    <w:rsid w:val="00EA438B"/>
    <w:rsid w:val="00EA4586"/>
    <w:rsid w:val="00EA45B7"/>
    <w:rsid w:val="00EA45E3"/>
    <w:rsid w:val="00EA4793"/>
    <w:rsid w:val="00EA47B7"/>
    <w:rsid w:val="00EA48E7"/>
    <w:rsid w:val="00EA48F4"/>
    <w:rsid w:val="00EA4A3D"/>
    <w:rsid w:val="00EA4B66"/>
    <w:rsid w:val="00EA4B73"/>
    <w:rsid w:val="00EA4BA3"/>
    <w:rsid w:val="00EA4BD0"/>
    <w:rsid w:val="00EA4BE7"/>
    <w:rsid w:val="00EA4C04"/>
    <w:rsid w:val="00EA4C52"/>
    <w:rsid w:val="00EA4C6C"/>
    <w:rsid w:val="00EA4C9D"/>
    <w:rsid w:val="00EA4E39"/>
    <w:rsid w:val="00EA4EEE"/>
    <w:rsid w:val="00EA5060"/>
    <w:rsid w:val="00EA51C1"/>
    <w:rsid w:val="00EA51F3"/>
    <w:rsid w:val="00EA5211"/>
    <w:rsid w:val="00EA5281"/>
    <w:rsid w:val="00EA530A"/>
    <w:rsid w:val="00EA530F"/>
    <w:rsid w:val="00EA5320"/>
    <w:rsid w:val="00EA53ED"/>
    <w:rsid w:val="00EA54BD"/>
    <w:rsid w:val="00EA5517"/>
    <w:rsid w:val="00EA555F"/>
    <w:rsid w:val="00EA5588"/>
    <w:rsid w:val="00EA55E9"/>
    <w:rsid w:val="00EA56B4"/>
    <w:rsid w:val="00EA56D4"/>
    <w:rsid w:val="00EA58EC"/>
    <w:rsid w:val="00EA5A13"/>
    <w:rsid w:val="00EA5AFD"/>
    <w:rsid w:val="00EA5B93"/>
    <w:rsid w:val="00EA5C7C"/>
    <w:rsid w:val="00EA5E51"/>
    <w:rsid w:val="00EA5E67"/>
    <w:rsid w:val="00EA5EEC"/>
    <w:rsid w:val="00EA5F3E"/>
    <w:rsid w:val="00EA5F4D"/>
    <w:rsid w:val="00EA5F97"/>
    <w:rsid w:val="00EA602C"/>
    <w:rsid w:val="00EA60C7"/>
    <w:rsid w:val="00EA60FA"/>
    <w:rsid w:val="00EA611D"/>
    <w:rsid w:val="00EA6162"/>
    <w:rsid w:val="00EA6181"/>
    <w:rsid w:val="00EA6217"/>
    <w:rsid w:val="00EA636B"/>
    <w:rsid w:val="00EA6469"/>
    <w:rsid w:val="00EA6618"/>
    <w:rsid w:val="00EA66F9"/>
    <w:rsid w:val="00EA6733"/>
    <w:rsid w:val="00EA680C"/>
    <w:rsid w:val="00EA69F2"/>
    <w:rsid w:val="00EA6A5A"/>
    <w:rsid w:val="00EA6C19"/>
    <w:rsid w:val="00EA6C79"/>
    <w:rsid w:val="00EA6CBF"/>
    <w:rsid w:val="00EA6CC9"/>
    <w:rsid w:val="00EA7002"/>
    <w:rsid w:val="00EA7066"/>
    <w:rsid w:val="00EA7092"/>
    <w:rsid w:val="00EA71A3"/>
    <w:rsid w:val="00EA7487"/>
    <w:rsid w:val="00EA7539"/>
    <w:rsid w:val="00EA762C"/>
    <w:rsid w:val="00EA786C"/>
    <w:rsid w:val="00EA7891"/>
    <w:rsid w:val="00EA78B6"/>
    <w:rsid w:val="00EA7A25"/>
    <w:rsid w:val="00EA7B77"/>
    <w:rsid w:val="00EA7C9B"/>
    <w:rsid w:val="00EA7D64"/>
    <w:rsid w:val="00EA7E5D"/>
    <w:rsid w:val="00EA7F44"/>
    <w:rsid w:val="00EA7F72"/>
    <w:rsid w:val="00EA7FAB"/>
    <w:rsid w:val="00EB0062"/>
    <w:rsid w:val="00EB0305"/>
    <w:rsid w:val="00EB0331"/>
    <w:rsid w:val="00EB0457"/>
    <w:rsid w:val="00EB056D"/>
    <w:rsid w:val="00EB058F"/>
    <w:rsid w:val="00EB05E0"/>
    <w:rsid w:val="00EB07FF"/>
    <w:rsid w:val="00EB0828"/>
    <w:rsid w:val="00EB08B6"/>
    <w:rsid w:val="00EB093A"/>
    <w:rsid w:val="00EB09E4"/>
    <w:rsid w:val="00EB0B13"/>
    <w:rsid w:val="00EB0C5E"/>
    <w:rsid w:val="00EB0DEA"/>
    <w:rsid w:val="00EB0F16"/>
    <w:rsid w:val="00EB0F58"/>
    <w:rsid w:val="00EB1047"/>
    <w:rsid w:val="00EB106F"/>
    <w:rsid w:val="00EB10B7"/>
    <w:rsid w:val="00EB126A"/>
    <w:rsid w:val="00EB1348"/>
    <w:rsid w:val="00EB137D"/>
    <w:rsid w:val="00EB1529"/>
    <w:rsid w:val="00EB1678"/>
    <w:rsid w:val="00EB1705"/>
    <w:rsid w:val="00EB1861"/>
    <w:rsid w:val="00EB18A1"/>
    <w:rsid w:val="00EB18AA"/>
    <w:rsid w:val="00EB18EF"/>
    <w:rsid w:val="00EB1912"/>
    <w:rsid w:val="00EB1916"/>
    <w:rsid w:val="00EB1979"/>
    <w:rsid w:val="00EB1A2E"/>
    <w:rsid w:val="00EB1ABC"/>
    <w:rsid w:val="00EB1B21"/>
    <w:rsid w:val="00EB1BF1"/>
    <w:rsid w:val="00EB1C22"/>
    <w:rsid w:val="00EB1C60"/>
    <w:rsid w:val="00EB1D31"/>
    <w:rsid w:val="00EB1D9D"/>
    <w:rsid w:val="00EB1DC1"/>
    <w:rsid w:val="00EB1F63"/>
    <w:rsid w:val="00EB1F7A"/>
    <w:rsid w:val="00EB1F9A"/>
    <w:rsid w:val="00EB1FAC"/>
    <w:rsid w:val="00EB206D"/>
    <w:rsid w:val="00EB20E5"/>
    <w:rsid w:val="00EB234C"/>
    <w:rsid w:val="00EB2372"/>
    <w:rsid w:val="00EB2411"/>
    <w:rsid w:val="00EB2467"/>
    <w:rsid w:val="00EB24B0"/>
    <w:rsid w:val="00EB24C5"/>
    <w:rsid w:val="00EB25CF"/>
    <w:rsid w:val="00EB25E2"/>
    <w:rsid w:val="00EB26DC"/>
    <w:rsid w:val="00EB27BC"/>
    <w:rsid w:val="00EB28C6"/>
    <w:rsid w:val="00EB2931"/>
    <w:rsid w:val="00EB2B67"/>
    <w:rsid w:val="00EB2DB0"/>
    <w:rsid w:val="00EB2DCB"/>
    <w:rsid w:val="00EB2DF1"/>
    <w:rsid w:val="00EB2FCE"/>
    <w:rsid w:val="00EB3034"/>
    <w:rsid w:val="00EB3097"/>
    <w:rsid w:val="00EB312B"/>
    <w:rsid w:val="00EB3194"/>
    <w:rsid w:val="00EB31C1"/>
    <w:rsid w:val="00EB31CE"/>
    <w:rsid w:val="00EB3268"/>
    <w:rsid w:val="00EB3332"/>
    <w:rsid w:val="00EB3392"/>
    <w:rsid w:val="00EB341F"/>
    <w:rsid w:val="00EB345A"/>
    <w:rsid w:val="00EB34B1"/>
    <w:rsid w:val="00EB35C0"/>
    <w:rsid w:val="00EB366F"/>
    <w:rsid w:val="00EB36CF"/>
    <w:rsid w:val="00EB37FA"/>
    <w:rsid w:val="00EB3810"/>
    <w:rsid w:val="00EB38E6"/>
    <w:rsid w:val="00EB3950"/>
    <w:rsid w:val="00EB3A9D"/>
    <w:rsid w:val="00EB3B74"/>
    <w:rsid w:val="00EB3B78"/>
    <w:rsid w:val="00EB3BA5"/>
    <w:rsid w:val="00EB3BDA"/>
    <w:rsid w:val="00EB3D01"/>
    <w:rsid w:val="00EB3DB4"/>
    <w:rsid w:val="00EB3E37"/>
    <w:rsid w:val="00EB3E46"/>
    <w:rsid w:val="00EB3E6E"/>
    <w:rsid w:val="00EB3EEA"/>
    <w:rsid w:val="00EB405E"/>
    <w:rsid w:val="00EB40D0"/>
    <w:rsid w:val="00EB40E9"/>
    <w:rsid w:val="00EB41D8"/>
    <w:rsid w:val="00EB41DB"/>
    <w:rsid w:val="00EB42B9"/>
    <w:rsid w:val="00EB42C8"/>
    <w:rsid w:val="00EB42D9"/>
    <w:rsid w:val="00EB42EB"/>
    <w:rsid w:val="00EB43F1"/>
    <w:rsid w:val="00EB4425"/>
    <w:rsid w:val="00EB4524"/>
    <w:rsid w:val="00EB4601"/>
    <w:rsid w:val="00EB4682"/>
    <w:rsid w:val="00EB46E0"/>
    <w:rsid w:val="00EB4703"/>
    <w:rsid w:val="00EB485B"/>
    <w:rsid w:val="00EB4989"/>
    <w:rsid w:val="00EB49CC"/>
    <w:rsid w:val="00EB49FD"/>
    <w:rsid w:val="00EB4B3F"/>
    <w:rsid w:val="00EB4B7E"/>
    <w:rsid w:val="00EB4C4B"/>
    <w:rsid w:val="00EB4C61"/>
    <w:rsid w:val="00EB4DAB"/>
    <w:rsid w:val="00EB5039"/>
    <w:rsid w:val="00EB5086"/>
    <w:rsid w:val="00EB5533"/>
    <w:rsid w:val="00EB567C"/>
    <w:rsid w:val="00EB5831"/>
    <w:rsid w:val="00EB5974"/>
    <w:rsid w:val="00EB5A1F"/>
    <w:rsid w:val="00EB5A53"/>
    <w:rsid w:val="00EB5B41"/>
    <w:rsid w:val="00EB5B73"/>
    <w:rsid w:val="00EB5BBA"/>
    <w:rsid w:val="00EB6242"/>
    <w:rsid w:val="00EB62C2"/>
    <w:rsid w:val="00EB6387"/>
    <w:rsid w:val="00EB63AC"/>
    <w:rsid w:val="00EB6423"/>
    <w:rsid w:val="00EB6485"/>
    <w:rsid w:val="00EB64E0"/>
    <w:rsid w:val="00EB6540"/>
    <w:rsid w:val="00EB6577"/>
    <w:rsid w:val="00EB6579"/>
    <w:rsid w:val="00EB6659"/>
    <w:rsid w:val="00EB6666"/>
    <w:rsid w:val="00EB66B0"/>
    <w:rsid w:val="00EB6751"/>
    <w:rsid w:val="00EB68D9"/>
    <w:rsid w:val="00EB6A32"/>
    <w:rsid w:val="00EB6CA9"/>
    <w:rsid w:val="00EB6CDA"/>
    <w:rsid w:val="00EB6D23"/>
    <w:rsid w:val="00EB6DAE"/>
    <w:rsid w:val="00EB6E88"/>
    <w:rsid w:val="00EB6EAE"/>
    <w:rsid w:val="00EB704D"/>
    <w:rsid w:val="00EB70F5"/>
    <w:rsid w:val="00EB71DF"/>
    <w:rsid w:val="00EB7323"/>
    <w:rsid w:val="00EB738D"/>
    <w:rsid w:val="00EB73E1"/>
    <w:rsid w:val="00EB7439"/>
    <w:rsid w:val="00EB758C"/>
    <w:rsid w:val="00EB7709"/>
    <w:rsid w:val="00EB78DE"/>
    <w:rsid w:val="00EB79C0"/>
    <w:rsid w:val="00EB79D6"/>
    <w:rsid w:val="00EB7B8B"/>
    <w:rsid w:val="00EB7CC7"/>
    <w:rsid w:val="00EB7CD4"/>
    <w:rsid w:val="00EB7D0E"/>
    <w:rsid w:val="00EB7D39"/>
    <w:rsid w:val="00EB7F2E"/>
    <w:rsid w:val="00EB7FF9"/>
    <w:rsid w:val="00EC0052"/>
    <w:rsid w:val="00EC01B6"/>
    <w:rsid w:val="00EC0224"/>
    <w:rsid w:val="00EC0348"/>
    <w:rsid w:val="00EC04F5"/>
    <w:rsid w:val="00EC04F6"/>
    <w:rsid w:val="00EC0547"/>
    <w:rsid w:val="00EC05B2"/>
    <w:rsid w:val="00EC05B7"/>
    <w:rsid w:val="00EC06F0"/>
    <w:rsid w:val="00EC070C"/>
    <w:rsid w:val="00EC0749"/>
    <w:rsid w:val="00EC0768"/>
    <w:rsid w:val="00EC0BDA"/>
    <w:rsid w:val="00EC0C7E"/>
    <w:rsid w:val="00EC0CA7"/>
    <w:rsid w:val="00EC0D2E"/>
    <w:rsid w:val="00EC0D51"/>
    <w:rsid w:val="00EC0D94"/>
    <w:rsid w:val="00EC0DF7"/>
    <w:rsid w:val="00EC0E2A"/>
    <w:rsid w:val="00EC0F15"/>
    <w:rsid w:val="00EC1026"/>
    <w:rsid w:val="00EC1096"/>
    <w:rsid w:val="00EC10AB"/>
    <w:rsid w:val="00EC1107"/>
    <w:rsid w:val="00EC1113"/>
    <w:rsid w:val="00EC12D2"/>
    <w:rsid w:val="00EC1468"/>
    <w:rsid w:val="00EC1482"/>
    <w:rsid w:val="00EC14CB"/>
    <w:rsid w:val="00EC14D8"/>
    <w:rsid w:val="00EC153C"/>
    <w:rsid w:val="00EC155C"/>
    <w:rsid w:val="00EC15A4"/>
    <w:rsid w:val="00EC15D8"/>
    <w:rsid w:val="00EC180C"/>
    <w:rsid w:val="00EC1859"/>
    <w:rsid w:val="00EC18B9"/>
    <w:rsid w:val="00EC1A50"/>
    <w:rsid w:val="00EC1A5B"/>
    <w:rsid w:val="00EC1A70"/>
    <w:rsid w:val="00EC1A85"/>
    <w:rsid w:val="00EC1B66"/>
    <w:rsid w:val="00EC1CB6"/>
    <w:rsid w:val="00EC1CDF"/>
    <w:rsid w:val="00EC1D29"/>
    <w:rsid w:val="00EC1D2D"/>
    <w:rsid w:val="00EC1E1F"/>
    <w:rsid w:val="00EC1E2F"/>
    <w:rsid w:val="00EC1F2E"/>
    <w:rsid w:val="00EC1FA1"/>
    <w:rsid w:val="00EC20C2"/>
    <w:rsid w:val="00EC20F3"/>
    <w:rsid w:val="00EC21FF"/>
    <w:rsid w:val="00EC2279"/>
    <w:rsid w:val="00EC22F4"/>
    <w:rsid w:val="00EC23EB"/>
    <w:rsid w:val="00EC2485"/>
    <w:rsid w:val="00EC2789"/>
    <w:rsid w:val="00EC2A20"/>
    <w:rsid w:val="00EC2AFF"/>
    <w:rsid w:val="00EC2BBA"/>
    <w:rsid w:val="00EC2C15"/>
    <w:rsid w:val="00EC2D93"/>
    <w:rsid w:val="00EC2DEA"/>
    <w:rsid w:val="00EC2E2D"/>
    <w:rsid w:val="00EC2E46"/>
    <w:rsid w:val="00EC2FF3"/>
    <w:rsid w:val="00EC30CD"/>
    <w:rsid w:val="00EC3168"/>
    <w:rsid w:val="00EC31BF"/>
    <w:rsid w:val="00EC3229"/>
    <w:rsid w:val="00EC32C8"/>
    <w:rsid w:val="00EC32CA"/>
    <w:rsid w:val="00EC331D"/>
    <w:rsid w:val="00EC33A0"/>
    <w:rsid w:val="00EC33AA"/>
    <w:rsid w:val="00EC3463"/>
    <w:rsid w:val="00EC34A7"/>
    <w:rsid w:val="00EC35F5"/>
    <w:rsid w:val="00EC3684"/>
    <w:rsid w:val="00EC3710"/>
    <w:rsid w:val="00EC37A7"/>
    <w:rsid w:val="00EC3849"/>
    <w:rsid w:val="00EC38AD"/>
    <w:rsid w:val="00EC38C2"/>
    <w:rsid w:val="00EC38ED"/>
    <w:rsid w:val="00EC396D"/>
    <w:rsid w:val="00EC39C1"/>
    <w:rsid w:val="00EC3B1C"/>
    <w:rsid w:val="00EC3B37"/>
    <w:rsid w:val="00EC3B42"/>
    <w:rsid w:val="00EC3BD0"/>
    <w:rsid w:val="00EC3C93"/>
    <w:rsid w:val="00EC3D5D"/>
    <w:rsid w:val="00EC3DD0"/>
    <w:rsid w:val="00EC3DF0"/>
    <w:rsid w:val="00EC3E19"/>
    <w:rsid w:val="00EC3E2F"/>
    <w:rsid w:val="00EC3EC0"/>
    <w:rsid w:val="00EC400A"/>
    <w:rsid w:val="00EC41B0"/>
    <w:rsid w:val="00EC42DD"/>
    <w:rsid w:val="00EC43EE"/>
    <w:rsid w:val="00EC443B"/>
    <w:rsid w:val="00EC447D"/>
    <w:rsid w:val="00EC466F"/>
    <w:rsid w:val="00EC478B"/>
    <w:rsid w:val="00EC4836"/>
    <w:rsid w:val="00EC4871"/>
    <w:rsid w:val="00EC4902"/>
    <w:rsid w:val="00EC496B"/>
    <w:rsid w:val="00EC4B00"/>
    <w:rsid w:val="00EC4B38"/>
    <w:rsid w:val="00EC4B9C"/>
    <w:rsid w:val="00EC4CFD"/>
    <w:rsid w:val="00EC4DA7"/>
    <w:rsid w:val="00EC4DC9"/>
    <w:rsid w:val="00EC4DF6"/>
    <w:rsid w:val="00EC4F42"/>
    <w:rsid w:val="00EC4F53"/>
    <w:rsid w:val="00EC5088"/>
    <w:rsid w:val="00EC5101"/>
    <w:rsid w:val="00EC510B"/>
    <w:rsid w:val="00EC540E"/>
    <w:rsid w:val="00EC5434"/>
    <w:rsid w:val="00EC5469"/>
    <w:rsid w:val="00EC549A"/>
    <w:rsid w:val="00EC5541"/>
    <w:rsid w:val="00EC5544"/>
    <w:rsid w:val="00EC560E"/>
    <w:rsid w:val="00EC577B"/>
    <w:rsid w:val="00EC5894"/>
    <w:rsid w:val="00EC58FE"/>
    <w:rsid w:val="00EC5A13"/>
    <w:rsid w:val="00EC5AA0"/>
    <w:rsid w:val="00EC5CBF"/>
    <w:rsid w:val="00EC5D4D"/>
    <w:rsid w:val="00EC5D5B"/>
    <w:rsid w:val="00EC5DAA"/>
    <w:rsid w:val="00EC5F46"/>
    <w:rsid w:val="00EC5F9C"/>
    <w:rsid w:val="00EC5FCD"/>
    <w:rsid w:val="00EC6171"/>
    <w:rsid w:val="00EC6195"/>
    <w:rsid w:val="00EC6263"/>
    <w:rsid w:val="00EC6293"/>
    <w:rsid w:val="00EC62D5"/>
    <w:rsid w:val="00EC6584"/>
    <w:rsid w:val="00EC65A6"/>
    <w:rsid w:val="00EC65F0"/>
    <w:rsid w:val="00EC664D"/>
    <w:rsid w:val="00EC6773"/>
    <w:rsid w:val="00EC685F"/>
    <w:rsid w:val="00EC690F"/>
    <w:rsid w:val="00EC692B"/>
    <w:rsid w:val="00EC69F4"/>
    <w:rsid w:val="00EC6AAA"/>
    <w:rsid w:val="00EC6B19"/>
    <w:rsid w:val="00EC6B7B"/>
    <w:rsid w:val="00EC6BE6"/>
    <w:rsid w:val="00EC6C37"/>
    <w:rsid w:val="00EC6C49"/>
    <w:rsid w:val="00EC6DDF"/>
    <w:rsid w:val="00EC7111"/>
    <w:rsid w:val="00EC712F"/>
    <w:rsid w:val="00EC72FF"/>
    <w:rsid w:val="00EC7377"/>
    <w:rsid w:val="00EC73F1"/>
    <w:rsid w:val="00EC7407"/>
    <w:rsid w:val="00EC7726"/>
    <w:rsid w:val="00EC779A"/>
    <w:rsid w:val="00EC77B9"/>
    <w:rsid w:val="00EC78A9"/>
    <w:rsid w:val="00EC7925"/>
    <w:rsid w:val="00EC7939"/>
    <w:rsid w:val="00EC79B5"/>
    <w:rsid w:val="00EC7A27"/>
    <w:rsid w:val="00EC7A70"/>
    <w:rsid w:val="00EC7BCC"/>
    <w:rsid w:val="00EC7D08"/>
    <w:rsid w:val="00EC7D13"/>
    <w:rsid w:val="00EC7E1B"/>
    <w:rsid w:val="00EC7E3B"/>
    <w:rsid w:val="00EC7E67"/>
    <w:rsid w:val="00ED0041"/>
    <w:rsid w:val="00ED0046"/>
    <w:rsid w:val="00ED00B0"/>
    <w:rsid w:val="00ED01BF"/>
    <w:rsid w:val="00ED01C1"/>
    <w:rsid w:val="00ED020C"/>
    <w:rsid w:val="00ED0218"/>
    <w:rsid w:val="00ED037C"/>
    <w:rsid w:val="00ED03BF"/>
    <w:rsid w:val="00ED03D6"/>
    <w:rsid w:val="00ED04CB"/>
    <w:rsid w:val="00ED04DB"/>
    <w:rsid w:val="00ED04E0"/>
    <w:rsid w:val="00ED058C"/>
    <w:rsid w:val="00ED05F2"/>
    <w:rsid w:val="00ED069E"/>
    <w:rsid w:val="00ED071D"/>
    <w:rsid w:val="00ED08A3"/>
    <w:rsid w:val="00ED08E8"/>
    <w:rsid w:val="00ED090F"/>
    <w:rsid w:val="00ED0AA7"/>
    <w:rsid w:val="00ED0B53"/>
    <w:rsid w:val="00ED0C0D"/>
    <w:rsid w:val="00ED0C48"/>
    <w:rsid w:val="00ED0CE5"/>
    <w:rsid w:val="00ED0D8E"/>
    <w:rsid w:val="00ED0EC7"/>
    <w:rsid w:val="00ED0F1B"/>
    <w:rsid w:val="00ED0F58"/>
    <w:rsid w:val="00ED0F5F"/>
    <w:rsid w:val="00ED102E"/>
    <w:rsid w:val="00ED1039"/>
    <w:rsid w:val="00ED103F"/>
    <w:rsid w:val="00ED112A"/>
    <w:rsid w:val="00ED115C"/>
    <w:rsid w:val="00ED11B4"/>
    <w:rsid w:val="00ED11D0"/>
    <w:rsid w:val="00ED11D4"/>
    <w:rsid w:val="00ED12C4"/>
    <w:rsid w:val="00ED1300"/>
    <w:rsid w:val="00ED14F3"/>
    <w:rsid w:val="00ED150D"/>
    <w:rsid w:val="00ED15B4"/>
    <w:rsid w:val="00ED1668"/>
    <w:rsid w:val="00ED16B9"/>
    <w:rsid w:val="00ED1738"/>
    <w:rsid w:val="00ED1976"/>
    <w:rsid w:val="00ED1A13"/>
    <w:rsid w:val="00ED1A64"/>
    <w:rsid w:val="00ED1B34"/>
    <w:rsid w:val="00ED1C60"/>
    <w:rsid w:val="00ED1C78"/>
    <w:rsid w:val="00ED1C91"/>
    <w:rsid w:val="00ED1CBD"/>
    <w:rsid w:val="00ED1E16"/>
    <w:rsid w:val="00ED1E44"/>
    <w:rsid w:val="00ED1F49"/>
    <w:rsid w:val="00ED1F69"/>
    <w:rsid w:val="00ED1F88"/>
    <w:rsid w:val="00ED1FE4"/>
    <w:rsid w:val="00ED200F"/>
    <w:rsid w:val="00ED20C7"/>
    <w:rsid w:val="00ED20D4"/>
    <w:rsid w:val="00ED20E8"/>
    <w:rsid w:val="00ED2103"/>
    <w:rsid w:val="00ED21A2"/>
    <w:rsid w:val="00ED2228"/>
    <w:rsid w:val="00ED2317"/>
    <w:rsid w:val="00ED2344"/>
    <w:rsid w:val="00ED236B"/>
    <w:rsid w:val="00ED23F0"/>
    <w:rsid w:val="00ED23F7"/>
    <w:rsid w:val="00ED2437"/>
    <w:rsid w:val="00ED2475"/>
    <w:rsid w:val="00ED249C"/>
    <w:rsid w:val="00ED2501"/>
    <w:rsid w:val="00ED257A"/>
    <w:rsid w:val="00ED269F"/>
    <w:rsid w:val="00ED278B"/>
    <w:rsid w:val="00ED27E3"/>
    <w:rsid w:val="00ED29A1"/>
    <w:rsid w:val="00ED29AC"/>
    <w:rsid w:val="00ED2A18"/>
    <w:rsid w:val="00ED2A42"/>
    <w:rsid w:val="00ED2A88"/>
    <w:rsid w:val="00ED2B3E"/>
    <w:rsid w:val="00ED2B84"/>
    <w:rsid w:val="00ED2CB2"/>
    <w:rsid w:val="00ED2DA3"/>
    <w:rsid w:val="00ED2DE7"/>
    <w:rsid w:val="00ED2E39"/>
    <w:rsid w:val="00ED2E43"/>
    <w:rsid w:val="00ED2E4E"/>
    <w:rsid w:val="00ED2E5C"/>
    <w:rsid w:val="00ED3008"/>
    <w:rsid w:val="00ED321C"/>
    <w:rsid w:val="00ED3364"/>
    <w:rsid w:val="00ED341D"/>
    <w:rsid w:val="00ED344D"/>
    <w:rsid w:val="00ED346F"/>
    <w:rsid w:val="00ED3627"/>
    <w:rsid w:val="00ED366D"/>
    <w:rsid w:val="00ED368E"/>
    <w:rsid w:val="00ED36FF"/>
    <w:rsid w:val="00ED3740"/>
    <w:rsid w:val="00ED3864"/>
    <w:rsid w:val="00ED389F"/>
    <w:rsid w:val="00ED3994"/>
    <w:rsid w:val="00ED3A08"/>
    <w:rsid w:val="00ED3A2D"/>
    <w:rsid w:val="00ED3AAF"/>
    <w:rsid w:val="00ED3B09"/>
    <w:rsid w:val="00ED3B66"/>
    <w:rsid w:val="00ED3B94"/>
    <w:rsid w:val="00ED3C0B"/>
    <w:rsid w:val="00ED3C0F"/>
    <w:rsid w:val="00ED3C3A"/>
    <w:rsid w:val="00ED3C8A"/>
    <w:rsid w:val="00ED3D53"/>
    <w:rsid w:val="00ED3EF4"/>
    <w:rsid w:val="00ED409E"/>
    <w:rsid w:val="00ED40E0"/>
    <w:rsid w:val="00ED417E"/>
    <w:rsid w:val="00ED429D"/>
    <w:rsid w:val="00ED4326"/>
    <w:rsid w:val="00ED446F"/>
    <w:rsid w:val="00ED4584"/>
    <w:rsid w:val="00ED45A4"/>
    <w:rsid w:val="00ED4642"/>
    <w:rsid w:val="00ED4671"/>
    <w:rsid w:val="00ED467D"/>
    <w:rsid w:val="00ED4682"/>
    <w:rsid w:val="00ED46A1"/>
    <w:rsid w:val="00ED4726"/>
    <w:rsid w:val="00ED4762"/>
    <w:rsid w:val="00ED47A4"/>
    <w:rsid w:val="00ED4960"/>
    <w:rsid w:val="00ED4B22"/>
    <w:rsid w:val="00ED4BA4"/>
    <w:rsid w:val="00ED4BDC"/>
    <w:rsid w:val="00ED4C9B"/>
    <w:rsid w:val="00ED4D80"/>
    <w:rsid w:val="00ED4EF4"/>
    <w:rsid w:val="00ED4F12"/>
    <w:rsid w:val="00ED4F81"/>
    <w:rsid w:val="00ED4F9D"/>
    <w:rsid w:val="00ED5020"/>
    <w:rsid w:val="00ED518D"/>
    <w:rsid w:val="00ED51A5"/>
    <w:rsid w:val="00ED5228"/>
    <w:rsid w:val="00ED5264"/>
    <w:rsid w:val="00ED5462"/>
    <w:rsid w:val="00ED54FD"/>
    <w:rsid w:val="00ED5579"/>
    <w:rsid w:val="00ED5651"/>
    <w:rsid w:val="00ED56D3"/>
    <w:rsid w:val="00ED56EC"/>
    <w:rsid w:val="00ED573F"/>
    <w:rsid w:val="00ED57D1"/>
    <w:rsid w:val="00ED581E"/>
    <w:rsid w:val="00ED586E"/>
    <w:rsid w:val="00ED590A"/>
    <w:rsid w:val="00ED59D5"/>
    <w:rsid w:val="00ED5B1E"/>
    <w:rsid w:val="00ED5C1C"/>
    <w:rsid w:val="00ED5CB7"/>
    <w:rsid w:val="00ED5D79"/>
    <w:rsid w:val="00ED5D8B"/>
    <w:rsid w:val="00ED5E14"/>
    <w:rsid w:val="00ED5E38"/>
    <w:rsid w:val="00ED5FDE"/>
    <w:rsid w:val="00ED6075"/>
    <w:rsid w:val="00ED60F8"/>
    <w:rsid w:val="00ED612B"/>
    <w:rsid w:val="00ED6167"/>
    <w:rsid w:val="00ED620F"/>
    <w:rsid w:val="00ED6213"/>
    <w:rsid w:val="00ED6248"/>
    <w:rsid w:val="00ED62FB"/>
    <w:rsid w:val="00ED632A"/>
    <w:rsid w:val="00ED6336"/>
    <w:rsid w:val="00ED63A3"/>
    <w:rsid w:val="00ED6421"/>
    <w:rsid w:val="00ED6467"/>
    <w:rsid w:val="00ED6481"/>
    <w:rsid w:val="00ED64E5"/>
    <w:rsid w:val="00ED6622"/>
    <w:rsid w:val="00ED664C"/>
    <w:rsid w:val="00ED669D"/>
    <w:rsid w:val="00ED691C"/>
    <w:rsid w:val="00ED69DE"/>
    <w:rsid w:val="00ED6A2D"/>
    <w:rsid w:val="00ED6BF8"/>
    <w:rsid w:val="00ED6CA0"/>
    <w:rsid w:val="00ED6CAA"/>
    <w:rsid w:val="00ED6CDE"/>
    <w:rsid w:val="00ED6CE1"/>
    <w:rsid w:val="00ED6E2B"/>
    <w:rsid w:val="00ED6E66"/>
    <w:rsid w:val="00ED7036"/>
    <w:rsid w:val="00ED704F"/>
    <w:rsid w:val="00ED710E"/>
    <w:rsid w:val="00ED7116"/>
    <w:rsid w:val="00ED71E0"/>
    <w:rsid w:val="00ED721C"/>
    <w:rsid w:val="00ED730E"/>
    <w:rsid w:val="00ED7360"/>
    <w:rsid w:val="00ED73AE"/>
    <w:rsid w:val="00ED7454"/>
    <w:rsid w:val="00ED745A"/>
    <w:rsid w:val="00ED7487"/>
    <w:rsid w:val="00ED74D6"/>
    <w:rsid w:val="00ED761E"/>
    <w:rsid w:val="00ED77A7"/>
    <w:rsid w:val="00ED78BC"/>
    <w:rsid w:val="00ED78D4"/>
    <w:rsid w:val="00ED78F6"/>
    <w:rsid w:val="00ED78FD"/>
    <w:rsid w:val="00ED796D"/>
    <w:rsid w:val="00ED7A49"/>
    <w:rsid w:val="00ED7C98"/>
    <w:rsid w:val="00ED7D85"/>
    <w:rsid w:val="00ED7E77"/>
    <w:rsid w:val="00ED7E7C"/>
    <w:rsid w:val="00ED7E81"/>
    <w:rsid w:val="00ED7EF7"/>
    <w:rsid w:val="00ED7F5A"/>
    <w:rsid w:val="00ED7F72"/>
    <w:rsid w:val="00ED7FE0"/>
    <w:rsid w:val="00EE000B"/>
    <w:rsid w:val="00EE0070"/>
    <w:rsid w:val="00EE0181"/>
    <w:rsid w:val="00EE01EC"/>
    <w:rsid w:val="00EE0282"/>
    <w:rsid w:val="00EE0447"/>
    <w:rsid w:val="00EE0664"/>
    <w:rsid w:val="00EE08F0"/>
    <w:rsid w:val="00EE0B37"/>
    <w:rsid w:val="00EE0C60"/>
    <w:rsid w:val="00EE0CBE"/>
    <w:rsid w:val="00EE0CE2"/>
    <w:rsid w:val="00EE0D1E"/>
    <w:rsid w:val="00EE0D83"/>
    <w:rsid w:val="00EE0E65"/>
    <w:rsid w:val="00EE0EC6"/>
    <w:rsid w:val="00EE0ECD"/>
    <w:rsid w:val="00EE0FA6"/>
    <w:rsid w:val="00EE0FD3"/>
    <w:rsid w:val="00EE1029"/>
    <w:rsid w:val="00EE1067"/>
    <w:rsid w:val="00EE1127"/>
    <w:rsid w:val="00EE115C"/>
    <w:rsid w:val="00EE11CF"/>
    <w:rsid w:val="00EE1366"/>
    <w:rsid w:val="00EE13C4"/>
    <w:rsid w:val="00EE1469"/>
    <w:rsid w:val="00EE1557"/>
    <w:rsid w:val="00EE1646"/>
    <w:rsid w:val="00EE1854"/>
    <w:rsid w:val="00EE1961"/>
    <w:rsid w:val="00EE19C0"/>
    <w:rsid w:val="00EE19FF"/>
    <w:rsid w:val="00EE1A4C"/>
    <w:rsid w:val="00EE1AB2"/>
    <w:rsid w:val="00EE1AFC"/>
    <w:rsid w:val="00EE1B2F"/>
    <w:rsid w:val="00EE1CA5"/>
    <w:rsid w:val="00EE1CBF"/>
    <w:rsid w:val="00EE1E67"/>
    <w:rsid w:val="00EE1E6D"/>
    <w:rsid w:val="00EE1E75"/>
    <w:rsid w:val="00EE1EBE"/>
    <w:rsid w:val="00EE2006"/>
    <w:rsid w:val="00EE20DB"/>
    <w:rsid w:val="00EE2268"/>
    <w:rsid w:val="00EE229D"/>
    <w:rsid w:val="00EE22DE"/>
    <w:rsid w:val="00EE233F"/>
    <w:rsid w:val="00EE23F7"/>
    <w:rsid w:val="00EE2550"/>
    <w:rsid w:val="00EE260E"/>
    <w:rsid w:val="00EE269A"/>
    <w:rsid w:val="00EE26A9"/>
    <w:rsid w:val="00EE2724"/>
    <w:rsid w:val="00EE2743"/>
    <w:rsid w:val="00EE2855"/>
    <w:rsid w:val="00EE29E8"/>
    <w:rsid w:val="00EE2B68"/>
    <w:rsid w:val="00EE2BFA"/>
    <w:rsid w:val="00EE2C01"/>
    <w:rsid w:val="00EE2C40"/>
    <w:rsid w:val="00EE2CCB"/>
    <w:rsid w:val="00EE2D99"/>
    <w:rsid w:val="00EE2E05"/>
    <w:rsid w:val="00EE2E26"/>
    <w:rsid w:val="00EE2E87"/>
    <w:rsid w:val="00EE2EAE"/>
    <w:rsid w:val="00EE2F51"/>
    <w:rsid w:val="00EE2FB5"/>
    <w:rsid w:val="00EE30D6"/>
    <w:rsid w:val="00EE30FA"/>
    <w:rsid w:val="00EE3279"/>
    <w:rsid w:val="00EE3369"/>
    <w:rsid w:val="00EE336D"/>
    <w:rsid w:val="00EE336F"/>
    <w:rsid w:val="00EE3382"/>
    <w:rsid w:val="00EE338C"/>
    <w:rsid w:val="00EE33A0"/>
    <w:rsid w:val="00EE33AF"/>
    <w:rsid w:val="00EE33EC"/>
    <w:rsid w:val="00EE34A6"/>
    <w:rsid w:val="00EE35ED"/>
    <w:rsid w:val="00EE35FF"/>
    <w:rsid w:val="00EE36A9"/>
    <w:rsid w:val="00EE3731"/>
    <w:rsid w:val="00EE3810"/>
    <w:rsid w:val="00EE382F"/>
    <w:rsid w:val="00EE39D2"/>
    <w:rsid w:val="00EE3A65"/>
    <w:rsid w:val="00EE3B10"/>
    <w:rsid w:val="00EE3B42"/>
    <w:rsid w:val="00EE3B5E"/>
    <w:rsid w:val="00EE3B6A"/>
    <w:rsid w:val="00EE3DB3"/>
    <w:rsid w:val="00EE3DD4"/>
    <w:rsid w:val="00EE3DD9"/>
    <w:rsid w:val="00EE3E1D"/>
    <w:rsid w:val="00EE3ED3"/>
    <w:rsid w:val="00EE3F21"/>
    <w:rsid w:val="00EE3F7B"/>
    <w:rsid w:val="00EE3FAE"/>
    <w:rsid w:val="00EE3FB6"/>
    <w:rsid w:val="00EE41B5"/>
    <w:rsid w:val="00EE41FA"/>
    <w:rsid w:val="00EE4326"/>
    <w:rsid w:val="00EE435B"/>
    <w:rsid w:val="00EE43CF"/>
    <w:rsid w:val="00EE43F2"/>
    <w:rsid w:val="00EE4490"/>
    <w:rsid w:val="00EE4595"/>
    <w:rsid w:val="00EE4618"/>
    <w:rsid w:val="00EE46F6"/>
    <w:rsid w:val="00EE4759"/>
    <w:rsid w:val="00EE488A"/>
    <w:rsid w:val="00EE48EB"/>
    <w:rsid w:val="00EE4922"/>
    <w:rsid w:val="00EE4973"/>
    <w:rsid w:val="00EE4A4A"/>
    <w:rsid w:val="00EE4A82"/>
    <w:rsid w:val="00EE4B53"/>
    <w:rsid w:val="00EE4C68"/>
    <w:rsid w:val="00EE4C78"/>
    <w:rsid w:val="00EE4D89"/>
    <w:rsid w:val="00EE4E15"/>
    <w:rsid w:val="00EE4E71"/>
    <w:rsid w:val="00EE4EEF"/>
    <w:rsid w:val="00EE4FBD"/>
    <w:rsid w:val="00EE5079"/>
    <w:rsid w:val="00EE51C4"/>
    <w:rsid w:val="00EE5270"/>
    <w:rsid w:val="00EE52C9"/>
    <w:rsid w:val="00EE52CC"/>
    <w:rsid w:val="00EE52FB"/>
    <w:rsid w:val="00EE535E"/>
    <w:rsid w:val="00EE536F"/>
    <w:rsid w:val="00EE53EF"/>
    <w:rsid w:val="00EE559A"/>
    <w:rsid w:val="00EE55F6"/>
    <w:rsid w:val="00EE55FC"/>
    <w:rsid w:val="00EE5628"/>
    <w:rsid w:val="00EE5669"/>
    <w:rsid w:val="00EE5733"/>
    <w:rsid w:val="00EE5842"/>
    <w:rsid w:val="00EE58BA"/>
    <w:rsid w:val="00EE596A"/>
    <w:rsid w:val="00EE5994"/>
    <w:rsid w:val="00EE59FE"/>
    <w:rsid w:val="00EE5A88"/>
    <w:rsid w:val="00EE5ACC"/>
    <w:rsid w:val="00EE5AD7"/>
    <w:rsid w:val="00EE5B33"/>
    <w:rsid w:val="00EE5BF3"/>
    <w:rsid w:val="00EE5C51"/>
    <w:rsid w:val="00EE5C7F"/>
    <w:rsid w:val="00EE5D08"/>
    <w:rsid w:val="00EE5D86"/>
    <w:rsid w:val="00EE5FA2"/>
    <w:rsid w:val="00EE60BA"/>
    <w:rsid w:val="00EE61A3"/>
    <w:rsid w:val="00EE61AE"/>
    <w:rsid w:val="00EE61E9"/>
    <w:rsid w:val="00EE62CA"/>
    <w:rsid w:val="00EE630A"/>
    <w:rsid w:val="00EE654F"/>
    <w:rsid w:val="00EE656D"/>
    <w:rsid w:val="00EE65CD"/>
    <w:rsid w:val="00EE65EF"/>
    <w:rsid w:val="00EE663B"/>
    <w:rsid w:val="00EE6792"/>
    <w:rsid w:val="00EE6832"/>
    <w:rsid w:val="00EE6922"/>
    <w:rsid w:val="00EE6941"/>
    <w:rsid w:val="00EE69E2"/>
    <w:rsid w:val="00EE6B05"/>
    <w:rsid w:val="00EE6BE8"/>
    <w:rsid w:val="00EE6D1E"/>
    <w:rsid w:val="00EE6D22"/>
    <w:rsid w:val="00EE6E3F"/>
    <w:rsid w:val="00EE6F9C"/>
    <w:rsid w:val="00EE6FA7"/>
    <w:rsid w:val="00EE6FC0"/>
    <w:rsid w:val="00EE7014"/>
    <w:rsid w:val="00EE701A"/>
    <w:rsid w:val="00EE70CF"/>
    <w:rsid w:val="00EE715A"/>
    <w:rsid w:val="00EE71DB"/>
    <w:rsid w:val="00EE73C0"/>
    <w:rsid w:val="00EE7415"/>
    <w:rsid w:val="00EE744A"/>
    <w:rsid w:val="00EE75BB"/>
    <w:rsid w:val="00EE75DF"/>
    <w:rsid w:val="00EE7616"/>
    <w:rsid w:val="00EE763D"/>
    <w:rsid w:val="00EE767C"/>
    <w:rsid w:val="00EE7687"/>
    <w:rsid w:val="00EE76E3"/>
    <w:rsid w:val="00EE773A"/>
    <w:rsid w:val="00EE7786"/>
    <w:rsid w:val="00EE77C3"/>
    <w:rsid w:val="00EE77E5"/>
    <w:rsid w:val="00EE7824"/>
    <w:rsid w:val="00EE78C2"/>
    <w:rsid w:val="00EE79D1"/>
    <w:rsid w:val="00EE7A1F"/>
    <w:rsid w:val="00EE7AB8"/>
    <w:rsid w:val="00EE7DC7"/>
    <w:rsid w:val="00EE7E8C"/>
    <w:rsid w:val="00EE7EE1"/>
    <w:rsid w:val="00EE7F68"/>
    <w:rsid w:val="00EE7FB0"/>
    <w:rsid w:val="00EF01D4"/>
    <w:rsid w:val="00EF0389"/>
    <w:rsid w:val="00EF04E8"/>
    <w:rsid w:val="00EF0509"/>
    <w:rsid w:val="00EF053A"/>
    <w:rsid w:val="00EF05D5"/>
    <w:rsid w:val="00EF0714"/>
    <w:rsid w:val="00EF0785"/>
    <w:rsid w:val="00EF07E9"/>
    <w:rsid w:val="00EF0828"/>
    <w:rsid w:val="00EF0839"/>
    <w:rsid w:val="00EF0916"/>
    <w:rsid w:val="00EF0918"/>
    <w:rsid w:val="00EF0C06"/>
    <w:rsid w:val="00EF0C19"/>
    <w:rsid w:val="00EF0C1F"/>
    <w:rsid w:val="00EF0D66"/>
    <w:rsid w:val="00EF0E32"/>
    <w:rsid w:val="00EF0F4F"/>
    <w:rsid w:val="00EF0F62"/>
    <w:rsid w:val="00EF0F99"/>
    <w:rsid w:val="00EF1021"/>
    <w:rsid w:val="00EF1034"/>
    <w:rsid w:val="00EF106F"/>
    <w:rsid w:val="00EF10DF"/>
    <w:rsid w:val="00EF122B"/>
    <w:rsid w:val="00EF1236"/>
    <w:rsid w:val="00EF1329"/>
    <w:rsid w:val="00EF1469"/>
    <w:rsid w:val="00EF152C"/>
    <w:rsid w:val="00EF1555"/>
    <w:rsid w:val="00EF1556"/>
    <w:rsid w:val="00EF155A"/>
    <w:rsid w:val="00EF165A"/>
    <w:rsid w:val="00EF1720"/>
    <w:rsid w:val="00EF1753"/>
    <w:rsid w:val="00EF1755"/>
    <w:rsid w:val="00EF188E"/>
    <w:rsid w:val="00EF18BD"/>
    <w:rsid w:val="00EF198D"/>
    <w:rsid w:val="00EF19C0"/>
    <w:rsid w:val="00EF1A5F"/>
    <w:rsid w:val="00EF1B10"/>
    <w:rsid w:val="00EF1B36"/>
    <w:rsid w:val="00EF1C7B"/>
    <w:rsid w:val="00EF1D83"/>
    <w:rsid w:val="00EF1D86"/>
    <w:rsid w:val="00EF1E4B"/>
    <w:rsid w:val="00EF1E5B"/>
    <w:rsid w:val="00EF1E71"/>
    <w:rsid w:val="00EF1EE4"/>
    <w:rsid w:val="00EF1F9E"/>
    <w:rsid w:val="00EF201D"/>
    <w:rsid w:val="00EF20B7"/>
    <w:rsid w:val="00EF20F9"/>
    <w:rsid w:val="00EF226C"/>
    <w:rsid w:val="00EF2297"/>
    <w:rsid w:val="00EF22B6"/>
    <w:rsid w:val="00EF22FD"/>
    <w:rsid w:val="00EF233A"/>
    <w:rsid w:val="00EF24A3"/>
    <w:rsid w:val="00EF24BE"/>
    <w:rsid w:val="00EF24E4"/>
    <w:rsid w:val="00EF2536"/>
    <w:rsid w:val="00EF25A8"/>
    <w:rsid w:val="00EF25AE"/>
    <w:rsid w:val="00EF25EE"/>
    <w:rsid w:val="00EF26C9"/>
    <w:rsid w:val="00EF29A3"/>
    <w:rsid w:val="00EF29A8"/>
    <w:rsid w:val="00EF2A42"/>
    <w:rsid w:val="00EF2A54"/>
    <w:rsid w:val="00EF2AF5"/>
    <w:rsid w:val="00EF2B48"/>
    <w:rsid w:val="00EF2C6D"/>
    <w:rsid w:val="00EF2C84"/>
    <w:rsid w:val="00EF2D54"/>
    <w:rsid w:val="00EF2D92"/>
    <w:rsid w:val="00EF2EF5"/>
    <w:rsid w:val="00EF309B"/>
    <w:rsid w:val="00EF30CB"/>
    <w:rsid w:val="00EF31A0"/>
    <w:rsid w:val="00EF31D2"/>
    <w:rsid w:val="00EF3497"/>
    <w:rsid w:val="00EF3523"/>
    <w:rsid w:val="00EF35B8"/>
    <w:rsid w:val="00EF35CF"/>
    <w:rsid w:val="00EF3619"/>
    <w:rsid w:val="00EF3696"/>
    <w:rsid w:val="00EF375D"/>
    <w:rsid w:val="00EF38D0"/>
    <w:rsid w:val="00EF393C"/>
    <w:rsid w:val="00EF3948"/>
    <w:rsid w:val="00EF3A7C"/>
    <w:rsid w:val="00EF3B11"/>
    <w:rsid w:val="00EF3B27"/>
    <w:rsid w:val="00EF3B55"/>
    <w:rsid w:val="00EF3B99"/>
    <w:rsid w:val="00EF3BEA"/>
    <w:rsid w:val="00EF3CE5"/>
    <w:rsid w:val="00EF3D2A"/>
    <w:rsid w:val="00EF3D58"/>
    <w:rsid w:val="00EF3D78"/>
    <w:rsid w:val="00EF3EC7"/>
    <w:rsid w:val="00EF4024"/>
    <w:rsid w:val="00EF4151"/>
    <w:rsid w:val="00EF4251"/>
    <w:rsid w:val="00EF4293"/>
    <w:rsid w:val="00EF42B9"/>
    <w:rsid w:val="00EF4430"/>
    <w:rsid w:val="00EF44DE"/>
    <w:rsid w:val="00EF45B2"/>
    <w:rsid w:val="00EF468E"/>
    <w:rsid w:val="00EF46B5"/>
    <w:rsid w:val="00EF46F3"/>
    <w:rsid w:val="00EF475E"/>
    <w:rsid w:val="00EF4772"/>
    <w:rsid w:val="00EF478F"/>
    <w:rsid w:val="00EF4895"/>
    <w:rsid w:val="00EF48B9"/>
    <w:rsid w:val="00EF495F"/>
    <w:rsid w:val="00EF4A48"/>
    <w:rsid w:val="00EF4BD3"/>
    <w:rsid w:val="00EF4C6C"/>
    <w:rsid w:val="00EF4D1C"/>
    <w:rsid w:val="00EF4D31"/>
    <w:rsid w:val="00EF4DB9"/>
    <w:rsid w:val="00EF4E1F"/>
    <w:rsid w:val="00EF4E36"/>
    <w:rsid w:val="00EF4EEC"/>
    <w:rsid w:val="00EF5067"/>
    <w:rsid w:val="00EF520B"/>
    <w:rsid w:val="00EF521B"/>
    <w:rsid w:val="00EF52EB"/>
    <w:rsid w:val="00EF5448"/>
    <w:rsid w:val="00EF5454"/>
    <w:rsid w:val="00EF54BE"/>
    <w:rsid w:val="00EF54EA"/>
    <w:rsid w:val="00EF5500"/>
    <w:rsid w:val="00EF560B"/>
    <w:rsid w:val="00EF5695"/>
    <w:rsid w:val="00EF5735"/>
    <w:rsid w:val="00EF5852"/>
    <w:rsid w:val="00EF588A"/>
    <w:rsid w:val="00EF5963"/>
    <w:rsid w:val="00EF5A19"/>
    <w:rsid w:val="00EF5A5A"/>
    <w:rsid w:val="00EF5A63"/>
    <w:rsid w:val="00EF5A75"/>
    <w:rsid w:val="00EF5AF7"/>
    <w:rsid w:val="00EF5AFF"/>
    <w:rsid w:val="00EF5BE0"/>
    <w:rsid w:val="00EF5BFD"/>
    <w:rsid w:val="00EF5CFD"/>
    <w:rsid w:val="00EF5DAE"/>
    <w:rsid w:val="00EF5DD9"/>
    <w:rsid w:val="00EF5E43"/>
    <w:rsid w:val="00EF5E51"/>
    <w:rsid w:val="00EF5EAC"/>
    <w:rsid w:val="00EF6022"/>
    <w:rsid w:val="00EF6051"/>
    <w:rsid w:val="00EF60AF"/>
    <w:rsid w:val="00EF61FC"/>
    <w:rsid w:val="00EF62D3"/>
    <w:rsid w:val="00EF6337"/>
    <w:rsid w:val="00EF6346"/>
    <w:rsid w:val="00EF63D6"/>
    <w:rsid w:val="00EF644B"/>
    <w:rsid w:val="00EF656D"/>
    <w:rsid w:val="00EF6653"/>
    <w:rsid w:val="00EF66C9"/>
    <w:rsid w:val="00EF674C"/>
    <w:rsid w:val="00EF6769"/>
    <w:rsid w:val="00EF6865"/>
    <w:rsid w:val="00EF6867"/>
    <w:rsid w:val="00EF6987"/>
    <w:rsid w:val="00EF69C5"/>
    <w:rsid w:val="00EF6A31"/>
    <w:rsid w:val="00EF6C38"/>
    <w:rsid w:val="00EF6CEE"/>
    <w:rsid w:val="00EF6D12"/>
    <w:rsid w:val="00EF6D36"/>
    <w:rsid w:val="00EF6D50"/>
    <w:rsid w:val="00EF6E8F"/>
    <w:rsid w:val="00EF6EC4"/>
    <w:rsid w:val="00EF6FA0"/>
    <w:rsid w:val="00EF6FF1"/>
    <w:rsid w:val="00EF7008"/>
    <w:rsid w:val="00EF7063"/>
    <w:rsid w:val="00EF7084"/>
    <w:rsid w:val="00EF70CE"/>
    <w:rsid w:val="00EF71A2"/>
    <w:rsid w:val="00EF71D1"/>
    <w:rsid w:val="00EF7444"/>
    <w:rsid w:val="00EF7472"/>
    <w:rsid w:val="00EF758B"/>
    <w:rsid w:val="00EF75D5"/>
    <w:rsid w:val="00EF75D9"/>
    <w:rsid w:val="00EF7607"/>
    <w:rsid w:val="00EF764F"/>
    <w:rsid w:val="00EF768D"/>
    <w:rsid w:val="00EF76E4"/>
    <w:rsid w:val="00EF776E"/>
    <w:rsid w:val="00EF77A6"/>
    <w:rsid w:val="00EF78DC"/>
    <w:rsid w:val="00EF7983"/>
    <w:rsid w:val="00EF7A51"/>
    <w:rsid w:val="00EF7B6A"/>
    <w:rsid w:val="00EF7BA8"/>
    <w:rsid w:val="00EF7BF2"/>
    <w:rsid w:val="00EF7C73"/>
    <w:rsid w:val="00EF7E72"/>
    <w:rsid w:val="00EF7EEC"/>
    <w:rsid w:val="00EF7F93"/>
    <w:rsid w:val="00EF7FFE"/>
    <w:rsid w:val="00F00041"/>
    <w:rsid w:val="00F000B5"/>
    <w:rsid w:val="00F000F5"/>
    <w:rsid w:val="00F001E8"/>
    <w:rsid w:val="00F00457"/>
    <w:rsid w:val="00F00565"/>
    <w:rsid w:val="00F006BF"/>
    <w:rsid w:val="00F00790"/>
    <w:rsid w:val="00F00792"/>
    <w:rsid w:val="00F00949"/>
    <w:rsid w:val="00F00A72"/>
    <w:rsid w:val="00F00BF8"/>
    <w:rsid w:val="00F00C99"/>
    <w:rsid w:val="00F00E3D"/>
    <w:rsid w:val="00F00FA1"/>
    <w:rsid w:val="00F00FD3"/>
    <w:rsid w:val="00F01017"/>
    <w:rsid w:val="00F01380"/>
    <w:rsid w:val="00F01434"/>
    <w:rsid w:val="00F01548"/>
    <w:rsid w:val="00F0155B"/>
    <w:rsid w:val="00F01584"/>
    <w:rsid w:val="00F017F1"/>
    <w:rsid w:val="00F0182B"/>
    <w:rsid w:val="00F0193A"/>
    <w:rsid w:val="00F01AA1"/>
    <w:rsid w:val="00F01B20"/>
    <w:rsid w:val="00F01B22"/>
    <w:rsid w:val="00F01B34"/>
    <w:rsid w:val="00F01B6D"/>
    <w:rsid w:val="00F01DB9"/>
    <w:rsid w:val="00F01EC7"/>
    <w:rsid w:val="00F01F33"/>
    <w:rsid w:val="00F01FD9"/>
    <w:rsid w:val="00F0205A"/>
    <w:rsid w:val="00F02072"/>
    <w:rsid w:val="00F0219B"/>
    <w:rsid w:val="00F0233F"/>
    <w:rsid w:val="00F024AF"/>
    <w:rsid w:val="00F024C2"/>
    <w:rsid w:val="00F024D4"/>
    <w:rsid w:val="00F025F7"/>
    <w:rsid w:val="00F02681"/>
    <w:rsid w:val="00F02762"/>
    <w:rsid w:val="00F0296D"/>
    <w:rsid w:val="00F02A3B"/>
    <w:rsid w:val="00F02B5D"/>
    <w:rsid w:val="00F02C85"/>
    <w:rsid w:val="00F02D7D"/>
    <w:rsid w:val="00F02E0E"/>
    <w:rsid w:val="00F030B3"/>
    <w:rsid w:val="00F03112"/>
    <w:rsid w:val="00F03141"/>
    <w:rsid w:val="00F03170"/>
    <w:rsid w:val="00F031A7"/>
    <w:rsid w:val="00F031D9"/>
    <w:rsid w:val="00F03303"/>
    <w:rsid w:val="00F03397"/>
    <w:rsid w:val="00F034A0"/>
    <w:rsid w:val="00F03579"/>
    <w:rsid w:val="00F03648"/>
    <w:rsid w:val="00F03686"/>
    <w:rsid w:val="00F0368F"/>
    <w:rsid w:val="00F03718"/>
    <w:rsid w:val="00F03792"/>
    <w:rsid w:val="00F037F5"/>
    <w:rsid w:val="00F03932"/>
    <w:rsid w:val="00F03B28"/>
    <w:rsid w:val="00F03B39"/>
    <w:rsid w:val="00F03BB9"/>
    <w:rsid w:val="00F03DCB"/>
    <w:rsid w:val="00F03E24"/>
    <w:rsid w:val="00F03FE3"/>
    <w:rsid w:val="00F04052"/>
    <w:rsid w:val="00F04071"/>
    <w:rsid w:val="00F04096"/>
    <w:rsid w:val="00F040B5"/>
    <w:rsid w:val="00F0412F"/>
    <w:rsid w:val="00F0419F"/>
    <w:rsid w:val="00F041D4"/>
    <w:rsid w:val="00F042B1"/>
    <w:rsid w:val="00F042C7"/>
    <w:rsid w:val="00F043CC"/>
    <w:rsid w:val="00F0443E"/>
    <w:rsid w:val="00F045A0"/>
    <w:rsid w:val="00F04606"/>
    <w:rsid w:val="00F046F6"/>
    <w:rsid w:val="00F0472E"/>
    <w:rsid w:val="00F04795"/>
    <w:rsid w:val="00F048B2"/>
    <w:rsid w:val="00F04925"/>
    <w:rsid w:val="00F04956"/>
    <w:rsid w:val="00F049D0"/>
    <w:rsid w:val="00F04A5D"/>
    <w:rsid w:val="00F04AED"/>
    <w:rsid w:val="00F04C02"/>
    <w:rsid w:val="00F04C14"/>
    <w:rsid w:val="00F04C7F"/>
    <w:rsid w:val="00F04C90"/>
    <w:rsid w:val="00F04C98"/>
    <w:rsid w:val="00F04D4D"/>
    <w:rsid w:val="00F04DD8"/>
    <w:rsid w:val="00F04E2F"/>
    <w:rsid w:val="00F04E37"/>
    <w:rsid w:val="00F04E38"/>
    <w:rsid w:val="00F04E8D"/>
    <w:rsid w:val="00F04EC5"/>
    <w:rsid w:val="00F04F0F"/>
    <w:rsid w:val="00F04F2E"/>
    <w:rsid w:val="00F04F4C"/>
    <w:rsid w:val="00F04F77"/>
    <w:rsid w:val="00F04FED"/>
    <w:rsid w:val="00F05033"/>
    <w:rsid w:val="00F05116"/>
    <w:rsid w:val="00F05125"/>
    <w:rsid w:val="00F05215"/>
    <w:rsid w:val="00F05216"/>
    <w:rsid w:val="00F05391"/>
    <w:rsid w:val="00F053A0"/>
    <w:rsid w:val="00F0540A"/>
    <w:rsid w:val="00F054A6"/>
    <w:rsid w:val="00F054DD"/>
    <w:rsid w:val="00F0550D"/>
    <w:rsid w:val="00F055DD"/>
    <w:rsid w:val="00F056A7"/>
    <w:rsid w:val="00F057B0"/>
    <w:rsid w:val="00F057E6"/>
    <w:rsid w:val="00F05817"/>
    <w:rsid w:val="00F0586B"/>
    <w:rsid w:val="00F05914"/>
    <w:rsid w:val="00F059F1"/>
    <w:rsid w:val="00F05AEC"/>
    <w:rsid w:val="00F05BAA"/>
    <w:rsid w:val="00F05D46"/>
    <w:rsid w:val="00F05EFF"/>
    <w:rsid w:val="00F0601F"/>
    <w:rsid w:val="00F06301"/>
    <w:rsid w:val="00F063CE"/>
    <w:rsid w:val="00F06426"/>
    <w:rsid w:val="00F0644C"/>
    <w:rsid w:val="00F06469"/>
    <w:rsid w:val="00F064C3"/>
    <w:rsid w:val="00F06503"/>
    <w:rsid w:val="00F06548"/>
    <w:rsid w:val="00F065C5"/>
    <w:rsid w:val="00F06673"/>
    <w:rsid w:val="00F0671C"/>
    <w:rsid w:val="00F0674F"/>
    <w:rsid w:val="00F067D1"/>
    <w:rsid w:val="00F06811"/>
    <w:rsid w:val="00F06961"/>
    <w:rsid w:val="00F0698E"/>
    <w:rsid w:val="00F06B38"/>
    <w:rsid w:val="00F06C24"/>
    <w:rsid w:val="00F06C97"/>
    <w:rsid w:val="00F06D0C"/>
    <w:rsid w:val="00F0703E"/>
    <w:rsid w:val="00F070A9"/>
    <w:rsid w:val="00F07115"/>
    <w:rsid w:val="00F07160"/>
    <w:rsid w:val="00F0717F"/>
    <w:rsid w:val="00F0723D"/>
    <w:rsid w:val="00F07347"/>
    <w:rsid w:val="00F07350"/>
    <w:rsid w:val="00F0737E"/>
    <w:rsid w:val="00F073B1"/>
    <w:rsid w:val="00F073BC"/>
    <w:rsid w:val="00F073CE"/>
    <w:rsid w:val="00F0747F"/>
    <w:rsid w:val="00F074C5"/>
    <w:rsid w:val="00F07565"/>
    <w:rsid w:val="00F0769A"/>
    <w:rsid w:val="00F076F9"/>
    <w:rsid w:val="00F076FA"/>
    <w:rsid w:val="00F07786"/>
    <w:rsid w:val="00F07891"/>
    <w:rsid w:val="00F07AD1"/>
    <w:rsid w:val="00F07AD9"/>
    <w:rsid w:val="00F07B83"/>
    <w:rsid w:val="00F07C37"/>
    <w:rsid w:val="00F07CD7"/>
    <w:rsid w:val="00F07DD1"/>
    <w:rsid w:val="00F07DEA"/>
    <w:rsid w:val="00F07FE1"/>
    <w:rsid w:val="00F10028"/>
    <w:rsid w:val="00F1032B"/>
    <w:rsid w:val="00F103CB"/>
    <w:rsid w:val="00F1046D"/>
    <w:rsid w:val="00F10496"/>
    <w:rsid w:val="00F10510"/>
    <w:rsid w:val="00F10524"/>
    <w:rsid w:val="00F10540"/>
    <w:rsid w:val="00F105FE"/>
    <w:rsid w:val="00F1066F"/>
    <w:rsid w:val="00F1067D"/>
    <w:rsid w:val="00F106AA"/>
    <w:rsid w:val="00F107D1"/>
    <w:rsid w:val="00F10920"/>
    <w:rsid w:val="00F10B51"/>
    <w:rsid w:val="00F10BAF"/>
    <w:rsid w:val="00F10BFE"/>
    <w:rsid w:val="00F10CDA"/>
    <w:rsid w:val="00F10DB6"/>
    <w:rsid w:val="00F10DDB"/>
    <w:rsid w:val="00F10E95"/>
    <w:rsid w:val="00F10F20"/>
    <w:rsid w:val="00F10F4C"/>
    <w:rsid w:val="00F10F86"/>
    <w:rsid w:val="00F10F99"/>
    <w:rsid w:val="00F10FEF"/>
    <w:rsid w:val="00F11035"/>
    <w:rsid w:val="00F111FD"/>
    <w:rsid w:val="00F1123B"/>
    <w:rsid w:val="00F1128E"/>
    <w:rsid w:val="00F11386"/>
    <w:rsid w:val="00F113F5"/>
    <w:rsid w:val="00F11425"/>
    <w:rsid w:val="00F114F4"/>
    <w:rsid w:val="00F11557"/>
    <w:rsid w:val="00F11619"/>
    <w:rsid w:val="00F117C2"/>
    <w:rsid w:val="00F11949"/>
    <w:rsid w:val="00F119CC"/>
    <w:rsid w:val="00F11A34"/>
    <w:rsid w:val="00F11A7C"/>
    <w:rsid w:val="00F11A96"/>
    <w:rsid w:val="00F11B2B"/>
    <w:rsid w:val="00F11C01"/>
    <w:rsid w:val="00F11DC4"/>
    <w:rsid w:val="00F11E30"/>
    <w:rsid w:val="00F11E59"/>
    <w:rsid w:val="00F11F06"/>
    <w:rsid w:val="00F12123"/>
    <w:rsid w:val="00F12173"/>
    <w:rsid w:val="00F121B7"/>
    <w:rsid w:val="00F124A3"/>
    <w:rsid w:val="00F12527"/>
    <w:rsid w:val="00F1259D"/>
    <w:rsid w:val="00F126C9"/>
    <w:rsid w:val="00F1272F"/>
    <w:rsid w:val="00F128B7"/>
    <w:rsid w:val="00F129CC"/>
    <w:rsid w:val="00F129F9"/>
    <w:rsid w:val="00F12ACA"/>
    <w:rsid w:val="00F12B36"/>
    <w:rsid w:val="00F12BD3"/>
    <w:rsid w:val="00F12C5A"/>
    <w:rsid w:val="00F12DB3"/>
    <w:rsid w:val="00F12E33"/>
    <w:rsid w:val="00F12E8B"/>
    <w:rsid w:val="00F12F62"/>
    <w:rsid w:val="00F12F75"/>
    <w:rsid w:val="00F1304C"/>
    <w:rsid w:val="00F1307B"/>
    <w:rsid w:val="00F13382"/>
    <w:rsid w:val="00F13418"/>
    <w:rsid w:val="00F13484"/>
    <w:rsid w:val="00F134B0"/>
    <w:rsid w:val="00F1350A"/>
    <w:rsid w:val="00F13523"/>
    <w:rsid w:val="00F1365F"/>
    <w:rsid w:val="00F13698"/>
    <w:rsid w:val="00F136D7"/>
    <w:rsid w:val="00F13860"/>
    <w:rsid w:val="00F13925"/>
    <w:rsid w:val="00F13988"/>
    <w:rsid w:val="00F1398B"/>
    <w:rsid w:val="00F13A1E"/>
    <w:rsid w:val="00F13B16"/>
    <w:rsid w:val="00F13B1F"/>
    <w:rsid w:val="00F13B81"/>
    <w:rsid w:val="00F13B87"/>
    <w:rsid w:val="00F13BEC"/>
    <w:rsid w:val="00F13C40"/>
    <w:rsid w:val="00F13D0E"/>
    <w:rsid w:val="00F13E50"/>
    <w:rsid w:val="00F13EA0"/>
    <w:rsid w:val="00F13EB4"/>
    <w:rsid w:val="00F140EE"/>
    <w:rsid w:val="00F1414F"/>
    <w:rsid w:val="00F1415F"/>
    <w:rsid w:val="00F1417D"/>
    <w:rsid w:val="00F141C7"/>
    <w:rsid w:val="00F141F4"/>
    <w:rsid w:val="00F14201"/>
    <w:rsid w:val="00F143AC"/>
    <w:rsid w:val="00F143BF"/>
    <w:rsid w:val="00F14465"/>
    <w:rsid w:val="00F14692"/>
    <w:rsid w:val="00F14734"/>
    <w:rsid w:val="00F1474F"/>
    <w:rsid w:val="00F14766"/>
    <w:rsid w:val="00F147F9"/>
    <w:rsid w:val="00F14809"/>
    <w:rsid w:val="00F1480E"/>
    <w:rsid w:val="00F148D1"/>
    <w:rsid w:val="00F14A15"/>
    <w:rsid w:val="00F14A30"/>
    <w:rsid w:val="00F14AAF"/>
    <w:rsid w:val="00F14AE8"/>
    <w:rsid w:val="00F14AF0"/>
    <w:rsid w:val="00F14C88"/>
    <w:rsid w:val="00F14CAD"/>
    <w:rsid w:val="00F14CC1"/>
    <w:rsid w:val="00F14D90"/>
    <w:rsid w:val="00F14DA6"/>
    <w:rsid w:val="00F14EAA"/>
    <w:rsid w:val="00F14EB6"/>
    <w:rsid w:val="00F14EF8"/>
    <w:rsid w:val="00F14F01"/>
    <w:rsid w:val="00F14F09"/>
    <w:rsid w:val="00F15072"/>
    <w:rsid w:val="00F1508C"/>
    <w:rsid w:val="00F1518F"/>
    <w:rsid w:val="00F1519A"/>
    <w:rsid w:val="00F151E6"/>
    <w:rsid w:val="00F1529D"/>
    <w:rsid w:val="00F152A6"/>
    <w:rsid w:val="00F152B8"/>
    <w:rsid w:val="00F15372"/>
    <w:rsid w:val="00F153B1"/>
    <w:rsid w:val="00F1541C"/>
    <w:rsid w:val="00F1544E"/>
    <w:rsid w:val="00F15503"/>
    <w:rsid w:val="00F1557C"/>
    <w:rsid w:val="00F15597"/>
    <w:rsid w:val="00F1565F"/>
    <w:rsid w:val="00F156C5"/>
    <w:rsid w:val="00F1578E"/>
    <w:rsid w:val="00F159AA"/>
    <w:rsid w:val="00F15A40"/>
    <w:rsid w:val="00F15A71"/>
    <w:rsid w:val="00F15B43"/>
    <w:rsid w:val="00F15BFE"/>
    <w:rsid w:val="00F15C0F"/>
    <w:rsid w:val="00F15D08"/>
    <w:rsid w:val="00F15D19"/>
    <w:rsid w:val="00F15D75"/>
    <w:rsid w:val="00F15F11"/>
    <w:rsid w:val="00F16018"/>
    <w:rsid w:val="00F1607A"/>
    <w:rsid w:val="00F160CD"/>
    <w:rsid w:val="00F160E2"/>
    <w:rsid w:val="00F162C9"/>
    <w:rsid w:val="00F16380"/>
    <w:rsid w:val="00F16388"/>
    <w:rsid w:val="00F16412"/>
    <w:rsid w:val="00F1643F"/>
    <w:rsid w:val="00F164AF"/>
    <w:rsid w:val="00F164DD"/>
    <w:rsid w:val="00F1654C"/>
    <w:rsid w:val="00F16567"/>
    <w:rsid w:val="00F165C5"/>
    <w:rsid w:val="00F166DB"/>
    <w:rsid w:val="00F1670E"/>
    <w:rsid w:val="00F16937"/>
    <w:rsid w:val="00F1693D"/>
    <w:rsid w:val="00F16951"/>
    <w:rsid w:val="00F16958"/>
    <w:rsid w:val="00F169B5"/>
    <w:rsid w:val="00F169F2"/>
    <w:rsid w:val="00F16A97"/>
    <w:rsid w:val="00F16AB6"/>
    <w:rsid w:val="00F16AD0"/>
    <w:rsid w:val="00F16ADD"/>
    <w:rsid w:val="00F16AE1"/>
    <w:rsid w:val="00F16C4B"/>
    <w:rsid w:val="00F16C83"/>
    <w:rsid w:val="00F16CAD"/>
    <w:rsid w:val="00F16CE2"/>
    <w:rsid w:val="00F16F0A"/>
    <w:rsid w:val="00F16FA3"/>
    <w:rsid w:val="00F17035"/>
    <w:rsid w:val="00F17074"/>
    <w:rsid w:val="00F17164"/>
    <w:rsid w:val="00F173CF"/>
    <w:rsid w:val="00F174F6"/>
    <w:rsid w:val="00F17744"/>
    <w:rsid w:val="00F1789C"/>
    <w:rsid w:val="00F17920"/>
    <w:rsid w:val="00F17B7E"/>
    <w:rsid w:val="00F17E3A"/>
    <w:rsid w:val="00F17E7A"/>
    <w:rsid w:val="00F17FA0"/>
    <w:rsid w:val="00F202BC"/>
    <w:rsid w:val="00F202C3"/>
    <w:rsid w:val="00F204A3"/>
    <w:rsid w:val="00F205DA"/>
    <w:rsid w:val="00F20642"/>
    <w:rsid w:val="00F20763"/>
    <w:rsid w:val="00F20771"/>
    <w:rsid w:val="00F2077C"/>
    <w:rsid w:val="00F207E8"/>
    <w:rsid w:val="00F208D1"/>
    <w:rsid w:val="00F208FF"/>
    <w:rsid w:val="00F209A9"/>
    <w:rsid w:val="00F20A29"/>
    <w:rsid w:val="00F20CD4"/>
    <w:rsid w:val="00F20DFC"/>
    <w:rsid w:val="00F20E80"/>
    <w:rsid w:val="00F20ED4"/>
    <w:rsid w:val="00F20F37"/>
    <w:rsid w:val="00F20F83"/>
    <w:rsid w:val="00F20FA1"/>
    <w:rsid w:val="00F21012"/>
    <w:rsid w:val="00F21063"/>
    <w:rsid w:val="00F210A1"/>
    <w:rsid w:val="00F210B6"/>
    <w:rsid w:val="00F2112A"/>
    <w:rsid w:val="00F21178"/>
    <w:rsid w:val="00F2134A"/>
    <w:rsid w:val="00F2142E"/>
    <w:rsid w:val="00F21486"/>
    <w:rsid w:val="00F21550"/>
    <w:rsid w:val="00F215DE"/>
    <w:rsid w:val="00F2189A"/>
    <w:rsid w:val="00F218C0"/>
    <w:rsid w:val="00F2193C"/>
    <w:rsid w:val="00F2194B"/>
    <w:rsid w:val="00F21958"/>
    <w:rsid w:val="00F21C57"/>
    <w:rsid w:val="00F21D3C"/>
    <w:rsid w:val="00F21D58"/>
    <w:rsid w:val="00F21E44"/>
    <w:rsid w:val="00F21EF8"/>
    <w:rsid w:val="00F21F29"/>
    <w:rsid w:val="00F21F7B"/>
    <w:rsid w:val="00F22017"/>
    <w:rsid w:val="00F22028"/>
    <w:rsid w:val="00F2208A"/>
    <w:rsid w:val="00F220C6"/>
    <w:rsid w:val="00F220EA"/>
    <w:rsid w:val="00F220F8"/>
    <w:rsid w:val="00F22150"/>
    <w:rsid w:val="00F2219B"/>
    <w:rsid w:val="00F22329"/>
    <w:rsid w:val="00F22383"/>
    <w:rsid w:val="00F223E3"/>
    <w:rsid w:val="00F224CC"/>
    <w:rsid w:val="00F22522"/>
    <w:rsid w:val="00F22538"/>
    <w:rsid w:val="00F225EF"/>
    <w:rsid w:val="00F22621"/>
    <w:rsid w:val="00F22675"/>
    <w:rsid w:val="00F2274B"/>
    <w:rsid w:val="00F227C8"/>
    <w:rsid w:val="00F228DA"/>
    <w:rsid w:val="00F22930"/>
    <w:rsid w:val="00F22942"/>
    <w:rsid w:val="00F22984"/>
    <w:rsid w:val="00F229D6"/>
    <w:rsid w:val="00F22B6C"/>
    <w:rsid w:val="00F22C06"/>
    <w:rsid w:val="00F22C70"/>
    <w:rsid w:val="00F22CD4"/>
    <w:rsid w:val="00F22DE3"/>
    <w:rsid w:val="00F22F35"/>
    <w:rsid w:val="00F22F6A"/>
    <w:rsid w:val="00F23072"/>
    <w:rsid w:val="00F231F1"/>
    <w:rsid w:val="00F23287"/>
    <w:rsid w:val="00F23293"/>
    <w:rsid w:val="00F23347"/>
    <w:rsid w:val="00F23391"/>
    <w:rsid w:val="00F2339E"/>
    <w:rsid w:val="00F233F4"/>
    <w:rsid w:val="00F23598"/>
    <w:rsid w:val="00F23701"/>
    <w:rsid w:val="00F23704"/>
    <w:rsid w:val="00F23755"/>
    <w:rsid w:val="00F23826"/>
    <w:rsid w:val="00F23850"/>
    <w:rsid w:val="00F23870"/>
    <w:rsid w:val="00F239C4"/>
    <w:rsid w:val="00F23AC2"/>
    <w:rsid w:val="00F23ACE"/>
    <w:rsid w:val="00F23B21"/>
    <w:rsid w:val="00F23B85"/>
    <w:rsid w:val="00F23CA6"/>
    <w:rsid w:val="00F23CB7"/>
    <w:rsid w:val="00F23CFA"/>
    <w:rsid w:val="00F23D09"/>
    <w:rsid w:val="00F23D62"/>
    <w:rsid w:val="00F23D6C"/>
    <w:rsid w:val="00F23D9B"/>
    <w:rsid w:val="00F23F73"/>
    <w:rsid w:val="00F23FE4"/>
    <w:rsid w:val="00F24152"/>
    <w:rsid w:val="00F2424A"/>
    <w:rsid w:val="00F2424F"/>
    <w:rsid w:val="00F2429D"/>
    <w:rsid w:val="00F24351"/>
    <w:rsid w:val="00F244A2"/>
    <w:rsid w:val="00F244CF"/>
    <w:rsid w:val="00F244F4"/>
    <w:rsid w:val="00F24555"/>
    <w:rsid w:val="00F24636"/>
    <w:rsid w:val="00F246E5"/>
    <w:rsid w:val="00F246E8"/>
    <w:rsid w:val="00F24700"/>
    <w:rsid w:val="00F2478A"/>
    <w:rsid w:val="00F247DD"/>
    <w:rsid w:val="00F248F9"/>
    <w:rsid w:val="00F24980"/>
    <w:rsid w:val="00F24AAE"/>
    <w:rsid w:val="00F24BE5"/>
    <w:rsid w:val="00F24BEB"/>
    <w:rsid w:val="00F24D84"/>
    <w:rsid w:val="00F24E2D"/>
    <w:rsid w:val="00F24EDC"/>
    <w:rsid w:val="00F24FD3"/>
    <w:rsid w:val="00F24FD9"/>
    <w:rsid w:val="00F25033"/>
    <w:rsid w:val="00F2503F"/>
    <w:rsid w:val="00F25050"/>
    <w:rsid w:val="00F25074"/>
    <w:rsid w:val="00F252AB"/>
    <w:rsid w:val="00F252DA"/>
    <w:rsid w:val="00F253B0"/>
    <w:rsid w:val="00F2544A"/>
    <w:rsid w:val="00F254B6"/>
    <w:rsid w:val="00F2568E"/>
    <w:rsid w:val="00F257B5"/>
    <w:rsid w:val="00F259E6"/>
    <w:rsid w:val="00F259EA"/>
    <w:rsid w:val="00F25C35"/>
    <w:rsid w:val="00F25D29"/>
    <w:rsid w:val="00F25D4E"/>
    <w:rsid w:val="00F25D91"/>
    <w:rsid w:val="00F26004"/>
    <w:rsid w:val="00F260FC"/>
    <w:rsid w:val="00F261D1"/>
    <w:rsid w:val="00F26250"/>
    <w:rsid w:val="00F26340"/>
    <w:rsid w:val="00F263CF"/>
    <w:rsid w:val="00F26401"/>
    <w:rsid w:val="00F264B6"/>
    <w:rsid w:val="00F2667E"/>
    <w:rsid w:val="00F266E3"/>
    <w:rsid w:val="00F267DA"/>
    <w:rsid w:val="00F2686C"/>
    <w:rsid w:val="00F26896"/>
    <w:rsid w:val="00F26A04"/>
    <w:rsid w:val="00F26A12"/>
    <w:rsid w:val="00F26BCE"/>
    <w:rsid w:val="00F26C4F"/>
    <w:rsid w:val="00F26CC2"/>
    <w:rsid w:val="00F26D18"/>
    <w:rsid w:val="00F26DB6"/>
    <w:rsid w:val="00F26F02"/>
    <w:rsid w:val="00F26FC6"/>
    <w:rsid w:val="00F27019"/>
    <w:rsid w:val="00F27051"/>
    <w:rsid w:val="00F27085"/>
    <w:rsid w:val="00F271AD"/>
    <w:rsid w:val="00F2720E"/>
    <w:rsid w:val="00F2724F"/>
    <w:rsid w:val="00F2726D"/>
    <w:rsid w:val="00F27386"/>
    <w:rsid w:val="00F273B2"/>
    <w:rsid w:val="00F27410"/>
    <w:rsid w:val="00F27433"/>
    <w:rsid w:val="00F27448"/>
    <w:rsid w:val="00F27467"/>
    <w:rsid w:val="00F274CD"/>
    <w:rsid w:val="00F275A0"/>
    <w:rsid w:val="00F27622"/>
    <w:rsid w:val="00F2776D"/>
    <w:rsid w:val="00F277A4"/>
    <w:rsid w:val="00F277FA"/>
    <w:rsid w:val="00F2786A"/>
    <w:rsid w:val="00F278FE"/>
    <w:rsid w:val="00F27917"/>
    <w:rsid w:val="00F27AD6"/>
    <w:rsid w:val="00F27AE6"/>
    <w:rsid w:val="00F27B42"/>
    <w:rsid w:val="00F27C33"/>
    <w:rsid w:val="00F27C52"/>
    <w:rsid w:val="00F27C83"/>
    <w:rsid w:val="00F27DB8"/>
    <w:rsid w:val="00F27DCA"/>
    <w:rsid w:val="00F27F24"/>
    <w:rsid w:val="00F3007F"/>
    <w:rsid w:val="00F30089"/>
    <w:rsid w:val="00F301B8"/>
    <w:rsid w:val="00F301C3"/>
    <w:rsid w:val="00F30396"/>
    <w:rsid w:val="00F303C5"/>
    <w:rsid w:val="00F303CA"/>
    <w:rsid w:val="00F304C0"/>
    <w:rsid w:val="00F304DF"/>
    <w:rsid w:val="00F30561"/>
    <w:rsid w:val="00F30693"/>
    <w:rsid w:val="00F306EC"/>
    <w:rsid w:val="00F30733"/>
    <w:rsid w:val="00F3073D"/>
    <w:rsid w:val="00F30752"/>
    <w:rsid w:val="00F3079A"/>
    <w:rsid w:val="00F309CF"/>
    <w:rsid w:val="00F30B10"/>
    <w:rsid w:val="00F30B37"/>
    <w:rsid w:val="00F30C35"/>
    <w:rsid w:val="00F30D00"/>
    <w:rsid w:val="00F30DA4"/>
    <w:rsid w:val="00F30E3B"/>
    <w:rsid w:val="00F30E5F"/>
    <w:rsid w:val="00F30ECC"/>
    <w:rsid w:val="00F30FB9"/>
    <w:rsid w:val="00F30FBF"/>
    <w:rsid w:val="00F31043"/>
    <w:rsid w:val="00F310C1"/>
    <w:rsid w:val="00F310E5"/>
    <w:rsid w:val="00F31235"/>
    <w:rsid w:val="00F31379"/>
    <w:rsid w:val="00F313E9"/>
    <w:rsid w:val="00F3156F"/>
    <w:rsid w:val="00F3170F"/>
    <w:rsid w:val="00F31760"/>
    <w:rsid w:val="00F317C5"/>
    <w:rsid w:val="00F31803"/>
    <w:rsid w:val="00F31CE0"/>
    <w:rsid w:val="00F31D86"/>
    <w:rsid w:val="00F31F43"/>
    <w:rsid w:val="00F31FA8"/>
    <w:rsid w:val="00F31FCC"/>
    <w:rsid w:val="00F3205F"/>
    <w:rsid w:val="00F32076"/>
    <w:rsid w:val="00F3208D"/>
    <w:rsid w:val="00F321C3"/>
    <w:rsid w:val="00F321EF"/>
    <w:rsid w:val="00F3223B"/>
    <w:rsid w:val="00F32323"/>
    <w:rsid w:val="00F32343"/>
    <w:rsid w:val="00F3245F"/>
    <w:rsid w:val="00F32480"/>
    <w:rsid w:val="00F325D6"/>
    <w:rsid w:val="00F326B6"/>
    <w:rsid w:val="00F32852"/>
    <w:rsid w:val="00F32857"/>
    <w:rsid w:val="00F328A8"/>
    <w:rsid w:val="00F328C6"/>
    <w:rsid w:val="00F32B50"/>
    <w:rsid w:val="00F32B56"/>
    <w:rsid w:val="00F32CD8"/>
    <w:rsid w:val="00F32D5E"/>
    <w:rsid w:val="00F330FB"/>
    <w:rsid w:val="00F3315D"/>
    <w:rsid w:val="00F331C1"/>
    <w:rsid w:val="00F33204"/>
    <w:rsid w:val="00F3322F"/>
    <w:rsid w:val="00F332AB"/>
    <w:rsid w:val="00F334B4"/>
    <w:rsid w:val="00F334FC"/>
    <w:rsid w:val="00F334FF"/>
    <w:rsid w:val="00F335B9"/>
    <w:rsid w:val="00F3360E"/>
    <w:rsid w:val="00F33624"/>
    <w:rsid w:val="00F337D0"/>
    <w:rsid w:val="00F337F5"/>
    <w:rsid w:val="00F3389F"/>
    <w:rsid w:val="00F338C4"/>
    <w:rsid w:val="00F338EE"/>
    <w:rsid w:val="00F338FC"/>
    <w:rsid w:val="00F339BF"/>
    <w:rsid w:val="00F339FF"/>
    <w:rsid w:val="00F33A11"/>
    <w:rsid w:val="00F33AE7"/>
    <w:rsid w:val="00F33B44"/>
    <w:rsid w:val="00F33BAF"/>
    <w:rsid w:val="00F33BB5"/>
    <w:rsid w:val="00F33C3B"/>
    <w:rsid w:val="00F33C9E"/>
    <w:rsid w:val="00F33D4D"/>
    <w:rsid w:val="00F33D8C"/>
    <w:rsid w:val="00F33F0E"/>
    <w:rsid w:val="00F33F91"/>
    <w:rsid w:val="00F3408B"/>
    <w:rsid w:val="00F34137"/>
    <w:rsid w:val="00F341B2"/>
    <w:rsid w:val="00F34363"/>
    <w:rsid w:val="00F3454E"/>
    <w:rsid w:val="00F3455D"/>
    <w:rsid w:val="00F345C0"/>
    <w:rsid w:val="00F346E6"/>
    <w:rsid w:val="00F34812"/>
    <w:rsid w:val="00F34884"/>
    <w:rsid w:val="00F348F5"/>
    <w:rsid w:val="00F34AE9"/>
    <w:rsid w:val="00F34B24"/>
    <w:rsid w:val="00F34BA3"/>
    <w:rsid w:val="00F34C0B"/>
    <w:rsid w:val="00F34ED7"/>
    <w:rsid w:val="00F34F19"/>
    <w:rsid w:val="00F34F2C"/>
    <w:rsid w:val="00F34F46"/>
    <w:rsid w:val="00F34F97"/>
    <w:rsid w:val="00F35035"/>
    <w:rsid w:val="00F3519E"/>
    <w:rsid w:val="00F352C2"/>
    <w:rsid w:val="00F352F0"/>
    <w:rsid w:val="00F353E8"/>
    <w:rsid w:val="00F35403"/>
    <w:rsid w:val="00F3546C"/>
    <w:rsid w:val="00F354E3"/>
    <w:rsid w:val="00F35526"/>
    <w:rsid w:val="00F35669"/>
    <w:rsid w:val="00F35744"/>
    <w:rsid w:val="00F35845"/>
    <w:rsid w:val="00F358B2"/>
    <w:rsid w:val="00F35944"/>
    <w:rsid w:val="00F35A26"/>
    <w:rsid w:val="00F35A72"/>
    <w:rsid w:val="00F35AC5"/>
    <w:rsid w:val="00F35B08"/>
    <w:rsid w:val="00F35BD0"/>
    <w:rsid w:val="00F35C56"/>
    <w:rsid w:val="00F35CB3"/>
    <w:rsid w:val="00F35D5F"/>
    <w:rsid w:val="00F35D70"/>
    <w:rsid w:val="00F35DF8"/>
    <w:rsid w:val="00F35F8B"/>
    <w:rsid w:val="00F35FF8"/>
    <w:rsid w:val="00F36009"/>
    <w:rsid w:val="00F36019"/>
    <w:rsid w:val="00F3606F"/>
    <w:rsid w:val="00F360D9"/>
    <w:rsid w:val="00F36116"/>
    <w:rsid w:val="00F3615D"/>
    <w:rsid w:val="00F36163"/>
    <w:rsid w:val="00F361A1"/>
    <w:rsid w:val="00F361B2"/>
    <w:rsid w:val="00F36282"/>
    <w:rsid w:val="00F3632A"/>
    <w:rsid w:val="00F36353"/>
    <w:rsid w:val="00F363C3"/>
    <w:rsid w:val="00F363DE"/>
    <w:rsid w:val="00F36521"/>
    <w:rsid w:val="00F365A4"/>
    <w:rsid w:val="00F365B3"/>
    <w:rsid w:val="00F3661E"/>
    <w:rsid w:val="00F366CE"/>
    <w:rsid w:val="00F366E8"/>
    <w:rsid w:val="00F3671B"/>
    <w:rsid w:val="00F3684D"/>
    <w:rsid w:val="00F36869"/>
    <w:rsid w:val="00F368C6"/>
    <w:rsid w:val="00F36948"/>
    <w:rsid w:val="00F36981"/>
    <w:rsid w:val="00F369DC"/>
    <w:rsid w:val="00F36A09"/>
    <w:rsid w:val="00F36A7D"/>
    <w:rsid w:val="00F36B9A"/>
    <w:rsid w:val="00F36CC5"/>
    <w:rsid w:val="00F36D5D"/>
    <w:rsid w:val="00F36F7A"/>
    <w:rsid w:val="00F37048"/>
    <w:rsid w:val="00F37056"/>
    <w:rsid w:val="00F37209"/>
    <w:rsid w:val="00F37230"/>
    <w:rsid w:val="00F37291"/>
    <w:rsid w:val="00F372CA"/>
    <w:rsid w:val="00F37362"/>
    <w:rsid w:val="00F37410"/>
    <w:rsid w:val="00F37468"/>
    <w:rsid w:val="00F374B8"/>
    <w:rsid w:val="00F37593"/>
    <w:rsid w:val="00F37672"/>
    <w:rsid w:val="00F3768A"/>
    <w:rsid w:val="00F3774B"/>
    <w:rsid w:val="00F377DB"/>
    <w:rsid w:val="00F37896"/>
    <w:rsid w:val="00F378DA"/>
    <w:rsid w:val="00F37A6C"/>
    <w:rsid w:val="00F37BE6"/>
    <w:rsid w:val="00F37C15"/>
    <w:rsid w:val="00F37C16"/>
    <w:rsid w:val="00F37CC5"/>
    <w:rsid w:val="00F37D26"/>
    <w:rsid w:val="00F37D94"/>
    <w:rsid w:val="00F37DF1"/>
    <w:rsid w:val="00F37E0D"/>
    <w:rsid w:val="00F37E53"/>
    <w:rsid w:val="00F4001D"/>
    <w:rsid w:val="00F4005A"/>
    <w:rsid w:val="00F40074"/>
    <w:rsid w:val="00F40086"/>
    <w:rsid w:val="00F40098"/>
    <w:rsid w:val="00F400D8"/>
    <w:rsid w:val="00F401AE"/>
    <w:rsid w:val="00F401DD"/>
    <w:rsid w:val="00F40207"/>
    <w:rsid w:val="00F40258"/>
    <w:rsid w:val="00F4029D"/>
    <w:rsid w:val="00F402D9"/>
    <w:rsid w:val="00F4031D"/>
    <w:rsid w:val="00F40330"/>
    <w:rsid w:val="00F403DA"/>
    <w:rsid w:val="00F40473"/>
    <w:rsid w:val="00F4047D"/>
    <w:rsid w:val="00F4058F"/>
    <w:rsid w:val="00F405CF"/>
    <w:rsid w:val="00F40703"/>
    <w:rsid w:val="00F40747"/>
    <w:rsid w:val="00F4074F"/>
    <w:rsid w:val="00F40763"/>
    <w:rsid w:val="00F40842"/>
    <w:rsid w:val="00F40864"/>
    <w:rsid w:val="00F408CA"/>
    <w:rsid w:val="00F40950"/>
    <w:rsid w:val="00F40953"/>
    <w:rsid w:val="00F409DD"/>
    <w:rsid w:val="00F40A20"/>
    <w:rsid w:val="00F40B33"/>
    <w:rsid w:val="00F40B44"/>
    <w:rsid w:val="00F40B76"/>
    <w:rsid w:val="00F40CA0"/>
    <w:rsid w:val="00F40E13"/>
    <w:rsid w:val="00F40EC6"/>
    <w:rsid w:val="00F40EFB"/>
    <w:rsid w:val="00F40FE6"/>
    <w:rsid w:val="00F41014"/>
    <w:rsid w:val="00F410DC"/>
    <w:rsid w:val="00F412B2"/>
    <w:rsid w:val="00F412D6"/>
    <w:rsid w:val="00F4136B"/>
    <w:rsid w:val="00F4137C"/>
    <w:rsid w:val="00F413AC"/>
    <w:rsid w:val="00F413F6"/>
    <w:rsid w:val="00F41431"/>
    <w:rsid w:val="00F41547"/>
    <w:rsid w:val="00F41614"/>
    <w:rsid w:val="00F41618"/>
    <w:rsid w:val="00F4165B"/>
    <w:rsid w:val="00F4166E"/>
    <w:rsid w:val="00F417B6"/>
    <w:rsid w:val="00F41850"/>
    <w:rsid w:val="00F41890"/>
    <w:rsid w:val="00F418E2"/>
    <w:rsid w:val="00F41919"/>
    <w:rsid w:val="00F41966"/>
    <w:rsid w:val="00F41A79"/>
    <w:rsid w:val="00F41B0C"/>
    <w:rsid w:val="00F41BCA"/>
    <w:rsid w:val="00F41C50"/>
    <w:rsid w:val="00F41E5C"/>
    <w:rsid w:val="00F41E82"/>
    <w:rsid w:val="00F41EA8"/>
    <w:rsid w:val="00F41EBB"/>
    <w:rsid w:val="00F4212C"/>
    <w:rsid w:val="00F42174"/>
    <w:rsid w:val="00F42230"/>
    <w:rsid w:val="00F422F8"/>
    <w:rsid w:val="00F4231A"/>
    <w:rsid w:val="00F423F5"/>
    <w:rsid w:val="00F42560"/>
    <w:rsid w:val="00F425EF"/>
    <w:rsid w:val="00F4266B"/>
    <w:rsid w:val="00F42700"/>
    <w:rsid w:val="00F42740"/>
    <w:rsid w:val="00F427F0"/>
    <w:rsid w:val="00F42864"/>
    <w:rsid w:val="00F42890"/>
    <w:rsid w:val="00F42893"/>
    <w:rsid w:val="00F428D1"/>
    <w:rsid w:val="00F42906"/>
    <w:rsid w:val="00F42A0A"/>
    <w:rsid w:val="00F42CA4"/>
    <w:rsid w:val="00F42CA8"/>
    <w:rsid w:val="00F42CC4"/>
    <w:rsid w:val="00F42D9E"/>
    <w:rsid w:val="00F42E23"/>
    <w:rsid w:val="00F42E3D"/>
    <w:rsid w:val="00F42F90"/>
    <w:rsid w:val="00F4301F"/>
    <w:rsid w:val="00F43072"/>
    <w:rsid w:val="00F431BD"/>
    <w:rsid w:val="00F431D6"/>
    <w:rsid w:val="00F431DE"/>
    <w:rsid w:val="00F43251"/>
    <w:rsid w:val="00F432BF"/>
    <w:rsid w:val="00F432F5"/>
    <w:rsid w:val="00F4360B"/>
    <w:rsid w:val="00F436E6"/>
    <w:rsid w:val="00F43703"/>
    <w:rsid w:val="00F4378B"/>
    <w:rsid w:val="00F43798"/>
    <w:rsid w:val="00F437A6"/>
    <w:rsid w:val="00F437F2"/>
    <w:rsid w:val="00F4382C"/>
    <w:rsid w:val="00F4384D"/>
    <w:rsid w:val="00F438EA"/>
    <w:rsid w:val="00F4395C"/>
    <w:rsid w:val="00F439C3"/>
    <w:rsid w:val="00F43AFE"/>
    <w:rsid w:val="00F43C07"/>
    <w:rsid w:val="00F43D59"/>
    <w:rsid w:val="00F43F24"/>
    <w:rsid w:val="00F43FEC"/>
    <w:rsid w:val="00F4401D"/>
    <w:rsid w:val="00F4402E"/>
    <w:rsid w:val="00F4408C"/>
    <w:rsid w:val="00F440CD"/>
    <w:rsid w:val="00F4414D"/>
    <w:rsid w:val="00F441BD"/>
    <w:rsid w:val="00F441C9"/>
    <w:rsid w:val="00F44352"/>
    <w:rsid w:val="00F443A4"/>
    <w:rsid w:val="00F443BC"/>
    <w:rsid w:val="00F443D1"/>
    <w:rsid w:val="00F44453"/>
    <w:rsid w:val="00F444D5"/>
    <w:rsid w:val="00F44511"/>
    <w:rsid w:val="00F445E3"/>
    <w:rsid w:val="00F4466F"/>
    <w:rsid w:val="00F446BC"/>
    <w:rsid w:val="00F44895"/>
    <w:rsid w:val="00F448E9"/>
    <w:rsid w:val="00F44A3C"/>
    <w:rsid w:val="00F44AF6"/>
    <w:rsid w:val="00F44DDE"/>
    <w:rsid w:val="00F44E0F"/>
    <w:rsid w:val="00F44E11"/>
    <w:rsid w:val="00F44EC7"/>
    <w:rsid w:val="00F44ED8"/>
    <w:rsid w:val="00F44FC9"/>
    <w:rsid w:val="00F4509C"/>
    <w:rsid w:val="00F45168"/>
    <w:rsid w:val="00F451BC"/>
    <w:rsid w:val="00F452C6"/>
    <w:rsid w:val="00F453D3"/>
    <w:rsid w:val="00F45416"/>
    <w:rsid w:val="00F454F6"/>
    <w:rsid w:val="00F45529"/>
    <w:rsid w:val="00F45533"/>
    <w:rsid w:val="00F45540"/>
    <w:rsid w:val="00F455C7"/>
    <w:rsid w:val="00F4560B"/>
    <w:rsid w:val="00F45640"/>
    <w:rsid w:val="00F456F2"/>
    <w:rsid w:val="00F4573A"/>
    <w:rsid w:val="00F457B7"/>
    <w:rsid w:val="00F457E4"/>
    <w:rsid w:val="00F45812"/>
    <w:rsid w:val="00F45950"/>
    <w:rsid w:val="00F45A38"/>
    <w:rsid w:val="00F45AF8"/>
    <w:rsid w:val="00F45CB8"/>
    <w:rsid w:val="00F45CBA"/>
    <w:rsid w:val="00F45D7B"/>
    <w:rsid w:val="00F45EC1"/>
    <w:rsid w:val="00F4610D"/>
    <w:rsid w:val="00F461E2"/>
    <w:rsid w:val="00F462E8"/>
    <w:rsid w:val="00F4647F"/>
    <w:rsid w:val="00F46526"/>
    <w:rsid w:val="00F4656C"/>
    <w:rsid w:val="00F465CA"/>
    <w:rsid w:val="00F46641"/>
    <w:rsid w:val="00F467AD"/>
    <w:rsid w:val="00F467E2"/>
    <w:rsid w:val="00F468F2"/>
    <w:rsid w:val="00F46986"/>
    <w:rsid w:val="00F46AF9"/>
    <w:rsid w:val="00F46B38"/>
    <w:rsid w:val="00F46B88"/>
    <w:rsid w:val="00F46C14"/>
    <w:rsid w:val="00F46D29"/>
    <w:rsid w:val="00F47032"/>
    <w:rsid w:val="00F4704D"/>
    <w:rsid w:val="00F471AD"/>
    <w:rsid w:val="00F471E3"/>
    <w:rsid w:val="00F47201"/>
    <w:rsid w:val="00F4731E"/>
    <w:rsid w:val="00F4741F"/>
    <w:rsid w:val="00F4754F"/>
    <w:rsid w:val="00F475CC"/>
    <w:rsid w:val="00F475DC"/>
    <w:rsid w:val="00F47703"/>
    <w:rsid w:val="00F4774E"/>
    <w:rsid w:val="00F47790"/>
    <w:rsid w:val="00F477F1"/>
    <w:rsid w:val="00F4783B"/>
    <w:rsid w:val="00F47891"/>
    <w:rsid w:val="00F47AA6"/>
    <w:rsid w:val="00F47BA9"/>
    <w:rsid w:val="00F47D1C"/>
    <w:rsid w:val="00F47DE9"/>
    <w:rsid w:val="00F47EA8"/>
    <w:rsid w:val="00F47ED0"/>
    <w:rsid w:val="00F47EE6"/>
    <w:rsid w:val="00F50034"/>
    <w:rsid w:val="00F50039"/>
    <w:rsid w:val="00F5005E"/>
    <w:rsid w:val="00F500F5"/>
    <w:rsid w:val="00F5023B"/>
    <w:rsid w:val="00F50380"/>
    <w:rsid w:val="00F50489"/>
    <w:rsid w:val="00F50553"/>
    <w:rsid w:val="00F50585"/>
    <w:rsid w:val="00F505B7"/>
    <w:rsid w:val="00F505FD"/>
    <w:rsid w:val="00F5065C"/>
    <w:rsid w:val="00F506CE"/>
    <w:rsid w:val="00F5078E"/>
    <w:rsid w:val="00F507E7"/>
    <w:rsid w:val="00F507FE"/>
    <w:rsid w:val="00F50827"/>
    <w:rsid w:val="00F509D4"/>
    <w:rsid w:val="00F509F9"/>
    <w:rsid w:val="00F50B0D"/>
    <w:rsid w:val="00F50B2E"/>
    <w:rsid w:val="00F50B7A"/>
    <w:rsid w:val="00F50C26"/>
    <w:rsid w:val="00F50C9F"/>
    <w:rsid w:val="00F50D5B"/>
    <w:rsid w:val="00F50D76"/>
    <w:rsid w:val="00F50D86"/>
    <w:rsid w:val="00F50DF4"/>
    <w:rsid w:val="00F50E26"/>
    <w:rsid w:val="00F50E4C"/>
    <w:rsid w:val="00F50E4D"/>
    <w:rsid w:val="00F51062"/>
    <w:rsid w:val="00F5107A"/>
    <w:rsid w:val="00F51282"/>
    <w:rsid w:val="00F51363"/>
    <w:rsid w:val="00F51365"/>
    <w:rsid w:val="00F5136F"/>
    <w:rsid w:val="00F51508"/>
    <w:rsid w:val="00F516A8"/>
    <w:rsid w:val="00F516E3"/>
    <w:rsid w:val="00F5184B"/>
    <w:rsid w:val="00F5187C"/>
    <w:rsid w:val="00F51B3F"/>
    <w:rsid w:val="00F51B93"/>
    <w:rsid w:val="00F51C28"/>
    <w:rsid w:val="00F51C74"/>
    <w:rsid w:val="00F51C96"/>
    <w:rsid w:val="00F51C99"/>
    <w:rsid w:val="00F51EFB"/>
    <w:rsid w:val="00F52079"/>
    <w:rsid w:val="00F520C2"/>
    <w:rsid w:val="00F52158"/>
    <w:rsid w:val="00F521BB"/>
    <w:rsid w:val="00F523C1"/>
    <w:rsid w:val="00F523C8"/>
    <w:rsid w:val="00F523E0"/>
    <w:rsid w:val="00F52412"/>
    <w:rsid w:val="00F52444"/>
    <w:rsid w:val="00F524D8"/>
    <w:rsid w:val="00F5256F"/>
    <w:rsid w:val="00F52599"/>
    <w:rsid w:val="00F525B3"/>
    <w:rsid w:val="00F5261B"/>
    <w:rsid w:val="00F52714"/>
    <w:rsid w:val="00F52899"/>
    <w:rsid w:val="00F529AC"/>
    <w:rsid w:val="00F52A57"/>
    <w:rsid w:val="00F52ACB"/>
    <w:rsid w:val="00F52B18"/>
    <w:rsid w:val="00F52BB0"/>
    <w:rsid w:val="00F52BF3"/>
    <w:rsid w:val="00F52C28"/>
    <w:rsid w:val="00F52C54"/>
    <w:rsid w:val="00F52C70"/>
    <w:rsid w:val="00F52D16"/>
    <w:rsid w:val="00F52D1F"/>
    <w:rsid w:val="00F52D2B"/>
    <w:rsid w:val="00F52E60"/>
    <w:rsid w:val="00F52EFD"/>
    <w:rsid w:val="00F52EFE"/>
    <w:rsid w:val="00F52F41"/>
    <w:rsid w:val="00F52FE4"/>
    <w:rsid w:val="00F530A2"/>
    <w:rsid w:val="00F530A5"/>
    <w:rsid w:val="00F531AB"/>
    <w:rsid w:val="00F532D4"/>
    <w:rsid w:val="00F532FF"/>
    <w:rsid w:val="00F53400"/>
    <w:rsid w:val="00F534DD"/>
    <w:rsid w:val="00F53715"/>
    <w:rsid w:val="00F53744"/>
    <w:rsid w:val="00F537A2"/>
    <w:rsid w:val="00F53811"/>
    <w:rsid w:val="00F53993"/>
    <w:rsid w:val="00F53A2E"/>
    <w:rsid w:val="00F53A45"/>
    <w:rsid w:val="00F53A8C"/>
    <w:rsid w:val="00F53AD7"/>
    <w:rsid w:val="00F53C0C"/>
    <w:rsid w:val="00F53C3E"/>
    <w:rsid w:val="00F53C59"/>
    <w:rsid w:val="00F53E2F"/>
    <w:rsid w:val="00F53EDE"/>
    <w:rsid w:val="00F53F28"/>
    <w:rsid w:val="00F53F2D"/>
    <w:rsid w:val="00F53FB8"/>
    <w:rsid w:val="00F54017"/>
    <w:rsid w:val="00F54265"/>
    <w:rsid w:val="00F5428A"/>
    <w:rsid w:val="00F542D6"/>
    <w:rsid w:val="00F54334"/>
    <w:rsid w:val="00F5434B"/>
    <w:rsid w:val="00F543FA"/>
    <w:rsid w:val="00F54406"/>
    <w:rsid w:val="00F545A7"/>
    <w:rsid w:val="00F54649"/>
    <w:rsid w:val="00F5464D"/>
    <w:rsid w:val="00F547BC"/>
    <w:rsid w:val="00F54832"/>
    <w:rsid w:val="00F54921"/>
    <w:rsid w:val="00F549C8"/>
    <w:rsid w:val="00F549E4"/>
    <w:rsid w:val="00F549FE"/>
    <w:rsid w:val="00F54A7D"/>
    <w:rsid w:val="00F54BD8"/>
    <w:rsid w:val="00F54BEF"/>
    <w:rsid w:val="00F54C6E"/>
    <w:rsid w:val="00F54DCF"/>
    <w:rsid w:val="00F54E55"/>
    <w:rsid w:val="00F54E78"/>
    <w:rsid w:val="00F54E7E"/>
    <w:rsid w:val="00F54E95"/>
    <w:rsid w:val="00F54FAB"/>
    <w:rsid w:val="00F54FD9"/>
    <w:rsid w:val="00F55058"/>
    <w:rsid w:val="00F55061"/>
    <w:rsid w:val="00F5519A"/>
    <w:rsid w:val="00F55295"/>
    <w:rsid w:val="00F5529B"/>
    <w:rsid w:val="00F552EB"/>
    <w:rsid w:val="00F5534C"/>
    <w:rsid w:val="00F55367"/>
    <w:rsid w:val="00F553C8"/>
    <w:rsid w:val="00F554B2"/>
    <w:rsid w:val="00F557F6"/>
    <w:rsid w:val="00F55839"/>
    <w:rsid w:val="00F558C9"/>
    <w:rsid w:val="00F55A4B"/>
    <w:rsid w:val="00F55B07"/>
    <w:rsid w:val="00F55C4B"/>
    <w:rsid w:val="00F55CAE"/>
    <w:rsid w:val="00F55CD6"/>
    <w:rsid w:val="00F55CE0"/>
    <w:rsid w:val="00F55D62"/>
    <w:rsid w:val="00F55DC7"/>
    <w:rsid w:val="00F55EFE"/>
    <w:rsid w:val="00F55FA7"/>
    <w:rsid w:val="00F56001"/>
    <w:rsid w:val="00F56094"/>
    <w:rsid w:val="00F56193"/>
    <w:rsid w:val="00F561C7"/>
    <w:rsid w:val="00F561E5"/>
    <w:rsid w:val="00F56354"/>
    <w:rsid w:val="00F564E7"/>
    <w:rsid w:val="00F56584"/>
    <w:rsid w:val="00F56585"/>
    <w:rsid w:val="00F56649"/>
    <w:rsid w:val="00F56702"/>
    <w:rsid w:val="00F56759"/>
    <w:rsid w:val="00F56820"/>
    <w:rsid w:val="00F56885"/>
    <w:rsid w:val="00F568DC"/>
    <w:rsid w:val="00F569FA"/>
    <w:rsid w:val="00F56B08"/>
    <w:rsid w:val="00F56B90"/>
    <w:rsid w:val="00F56D9E"/>
    <w:rsid w:val="00F56F22"/>
    <w:rsid w:val="00F56FAF"/>
    <w:rsid w:val="00F56FC3"/>
    <w:rsid w:val="00F570EA"/>
    <w:rsid w:val="00F571DF"/>
    <w:rsid w:val="00F5728B"/>
    <w:rsid w:val="00F572F8"/>
    <w:rsid w:val="00F572FF"/>
    <w:rsid w:val="00F57500"/>
    <w:rsid w:val="00F575F4"/>
    <w:rsid w:val="00F5766E"/>
    <w:rsid w:val="00F576A3"/>
    <w:rsid w:val="00F576FB"/>
    <w:rsid w:val="00F577EA"/>
    <w:rsid w:val="00F57885"/>
    <w:rsid w:val="00F578FA"/>
    <w:rsid w:val="00F57D3A"/>
    <w:rsid w:val="00F601B8"/>
    <w:rsid w:val="00F6049F"/>
    <w:rsid w:val="00F6062E"/>
    <w:rsid w:val="00F60714"/>
    <w:rsid w:val="00F60778"/>
    <w:rsid w:val="00F60784"/>
    <w:rsid w:val="00F60788"/>
    <w:rsid w:val="00F60789"/>
    <w:rsid w:val="00F60797"/>
    <w:rsid w:val="00F60993"/>
    <w:rsid w:val="00F609D1"/>
    <w:rsid w:val="00F60A40"/>
    <w:rsid w:val="00F60A89"/>
    <w:rsid w:val="00F60AE8"/>
    <w:rsid w:val="00F60B3B"/>
    <w:rsid w:val="00F60C22"/>
    <w:rsid w:val="00F60C66"/>
    <w:rsid w:val="00F60CB9"/>
    <w:rsid w:val="00F60DAE"/>
    <w:rsid w:val="00F60DEF"/>
    <w:rsid w:val="00F60F78"/>
    <w:rsid w:val="00F610B4"/>
    <w:rsid w:val="00F61258"/>
    <w:rsid w:val="00F612BF"/>
    <w:rsid w:val="00F61311"/>
    <w:rsid w:val="00F6133E"/>
    <w:rsid w:val="00F613FE"/>
    <w:rsid w:val="00F61410"/>
    <w:rsid w:val="00F61425"/>
    <w:rsid w:val="00F614CC"/>
    <w:rsid w:val="00F614FE"/>
    <w:rsid w:val="00F6162A"/>
    <w:rsid w:val="00F616AC"/>
    <w:rsid w:val="00F616CE"/>
    <w:rsid w:val="00F61771"/>
    <w:rsid w:val="00F617C1"/>
    <w:rsid w:val="00F6180D"/>
    <w:rsid w:val="00F61830"/>
    <w:rsid w:val="00F61A47"/>
    <w:rsid w:val="00F61C36"/>
    <w:rsid w:val="00F61CE8"/>
    <w:rsid w:val="00F61CFC"/>
    <w:rsid w:val="00F61E6C"/>
    <w:rsid w:val="00F61E9F"/>
    <w:rsid w:val="00F61EDE"/>
    <w:rsid w:val="00F61EE3"/>
    <w:rsid w:val="00F61EFD"/>
    <w:rsid w:val="00F62092"/>
    <w:rsid w:val="00F620BE"/>
    <w:rsid w:val="00F620F2"/>
    <w:rsid w:val="00F62133"/>
    <w:rsid w:val="00F62369"/>
    <w:rsid w:val="00F62373"/>
    <w:rsid w:val="00F62666"/>
    <w:rsid w:val="00F6273C"/>
    <w:rsid w:val="00F6277C"/>
    <w:rsid w:val="00F6278C"/>
    <w:rsid w:val="00F62792"/>
    <w:rsid w:val="00F627E3"/>
    <w:rsid w:val="00F62803"/>
    <w:rsid w:val="00F6280E"/>
    <w:rsid w:val="00F62824"/>
    <w:rsid w:val="00F6286E"/>
    <w:rsid w:val="00F6287A"/>
    <w:rsid w:val="00F62A00"/>
    <w:rsid w:val="00F62AB5"/>
    <w:rsid w:val="00F62B22"/>
    <w:rsid w:val="00F62BAA"/>
    <w:rsid w:val="00F62BD4"/>
    <w:rsid w:val="00F62C3E"/>
    <w:rsid w:val="00F62C7A"/>
    <w:rsid w:val="00F62D00"/>
    <w:rsid w:val="00F62E19"/>
    <w:rsid w:val="00F62E29"/>
    <w:rsid w:val="00F62ED4"/>
    <w:rsid w:val="00F63035"/>
    <w:rsid w:val="00F63038"/>
    <w:rsid w:val="00F630D8"/>
    <w:rsid w:val="00F630E0"/>
    <w:rsid w:val="00F63136"/>
    <w:rsid w:val="00F6325E"/>
    <w:rsid w:val="00F6331C"/>
    <w:rsid w:val="00F63374"/>
    <w:rsid w:val="00F6343D"/>
    <w:rsid w:val="00F63594"/>
    <w:rsid w:val="00F635F3"/>
    <w:rsid w:val="00F6360F"/>
    <w:rsid w:val="00F63671"/>
    <w:rsid w:val="00F63680"/>
    <w:rsid w:val="00F636E1"/>
    <w:rsid w:val="00F63707"/>
    <w:rsid w:val="00F6371A"/>
    <w:rsid w:val="00F6373E"/>
    <w:rsid w:val="00F63746"/>
    <w:rsid w:val="00F63841"/>
    <w:rsid w:val="00F63871"/>
    <w:rsid w:val="00F639B9"/>
    <w:rsid w:val="00F63A13"/>
    <w:rsid w:val="00F63C10"/>
    <w:rsid w:val="00F63D40"/>
    <w:rsid w:val="00F63D99"/>
    <w:rsid w:val="00F63E30"/>
    <w:rsid w:val="00F63FB6"/>
    <w:rsid w:val="00F64046"/>
    <w:rsid w:val="00F64161"/>
    <w:rsid w:val="00F6431D"/>
    <w:rsid w:val="00F64360"/>
    <w:rsid w:val="00F6442D"/>
    <w:rsid w:val="00F64443"/>
    <w:rsid w:val="00F6445F"/>
    <w:rsid w:val="00F644AC"/>
    <w:rsid w:val="00F6457E"/>
    <w:rsid w:val="00F6458E"/>
    <w:rsid w:val="00F645B4"/>
    <w:rsid w:val="00F6467E"/>
    <w:rsid w:val="00F646BF"/>
    <w:rsid w:val="00F6474A"/>
    <w:rsid w:val="00F6484E"/>
    <w:rsid w:val="00F64914"/>
    <w:rsid w:val="00F64A12"/>
    <w:rsid w:val="00F64A8F"/>
    <w:rsid w:val="00F64AAB"/>
    <w:rsid w:val="00F64AF8"/>
    <w:rsid w:val="00F64BED"/>
    <w:rsid w:val="00F64EB2"/>
    <w:rsid w:val="00F64EE0"/>
    <w:rsid w:val="00F64F44"/>
    <w:rsid w:val="00F64FBB"/>
    <w:rsid w:val="00F65022"/>
    <w:rsid w:val="00F65108"/>
    <w:rsid w:val="00F6527A"/>
    <w:rsid w:val="00F65351"/>
    <w:rsid w:val="00F6544C"/>
    <w:rsid w:val="00F6554C"/>
    <w:rsid w:val="00F657A1"/>
    <w:rsid w:val="00F659A6"/>
    <w:rsid w:val="00F65BA0"/>
    <w:rsid w:val="00F65BE6"/>
    <w:rsid w:val="00F65CC0"/>
    <w:rsid w:val="00F65CF7"/>
    <w:rsid w:val="00F65CF9"/>
    <w:rsid w:val="00F65D9D"/>
    <w:rsid w:val="00F6600A"/>
    <w:rsid w:val="00F66144"/>
    <w:rsid w:val="00F6617D"/>
    <w:rsid w:val="00F66199"/>
    <w:rsid w:val="00F661FC"/>
    <w:rsid w:val="00F6621D"/>
    <w:rsid w:val="00F66276"/>
    <w:rsid w:val="00F66289"/>
    <w:rsid w:val="00F66439"/>
    <w:rsid w:val="00F6649D"/>
    <w:rsid w:val="00F664C3"/>
    <w:rsid w:val="00F664C5"/>
    <w:rsid w:val="00F66502"/>
    <w:rsid w:val="00F66565"/>
    <w:rsid w:val="00F665A1"/>
    <w:rsid w:val="00F665FD"/>
    <w:rsid w:val="00F6660C"/>
    <w:rsid w:val="00F666B8"/>
    <w:rsid w:val="00F66719"/>
    <w:rsid w:val="00F66807"/>
    <w:rsid w:val="00F6692B"/>
    <w:rsid w:val="00F66CAD"/>
    <w:rsid w:val="00F66CCD"/>
    <w:rsid w:val="00F66D5A"/>
    <w:rsid w:val="00F66D63"/>
    <w:rsid w:val="00F66DBA"/>
    <w:rsid w:val="00F66E94"/>
    <w:rsid w:val="00F66F5F"/>
    <w:rsid w:val="00F66FA7"/>
    <w:rsid w:val="00F67048"/>
    <w:rsid w:val="00F6713F"/>
    <w:rsid w:val="00F67194"/>
    <w:rsid w:val="00F671F1"/>
    <w:rsid w:val="00F6726D"/>
    <w:rsid w:val="00F6729C"/>
    <w:rsid w:val="00F673B1"/>
    <w:rsid w:val="00F673EB"/>
    <w:rsid w:val="00F67425"/>
    <w:rsid w:val="00F67491"/>
    <w:rsid w:val="00F674A0"/>
    <w:rsid w:val="00F674D1"/>
    <w:rsid w:val="00F6750E"/>
    <w:rsid w:val="00F6761A"/>
    <w:rsid w:val="00F67621"/>
    <w:rsid w:val="00F676D1"/>
    <w:rsid w:val="00F67723"/>
    <w:rsid w:val="00F6772C"/>
    <w:rsid w:val="00F67816"/>
    <w:rsid w:val="00F67848"/>
    <w:rsid w:val="00F67998"/>
    <w:rsid w:val="00F679DE"/>
    <w:rsid w:val="00F67A89"/>
    <w:rsid w:val="00F67B01"/>
    <w:rsid w:val="00F67B72"/>
    <w:rsid w:val="00F67B8D"/>
    <w:rsid w:val="00F67B8E"/>
    <w:rsid w:val="00F67BA3"/>
    <w:rsid w:val="00F67CD7"/>
    <w:rsid w:val="00F67E4A"/>
    <w:rsid w:val="00F67F30"/>
    <w:rsid w:val="00F67F4F"/>
    <w:rsid w:val="00F70019"/>
    <w:rsid w:val="00F7001E"/>
    <w:rsid w:val="00F7019B"/>
    <w:rsid w:val="00F701BE"/>
    <w:rsid w:val="00F7020F"/>
    <w:rsid w:val="00F70293"/>
    <w:rsid w:val="00F703D6"/>
    <w:rsid w:val="00F70489"/>
    <w:rsid w:val="00F704D7"/>
    <w:rsid w:val="00F7050C"/>
    <w:rsid w:val="00F70526"/>
    <w:rsid w:val="00F7064B"/>
    <w:rsid w:val="00F706DB"/>
    <w:rsid w:val="00F70721"/>
    <w:rsid w:val="00F7076B"/>
    <w:rsid w:val="00F70816"/>
    <w:rsid w:val="00F70873"/>
    <w:rsid w:val="00F708E1"/>
    <w:rsid w:val="00F709D9"/>
    <w:rsid w:val="00F70AA6"/>
    <w:rsid w:val="00F70B33"/>
    <w:rsid w:val="00F70BF3"/>
    <w:rsid w:val="00F70C08"/>
    <w:rsid w:val="00F70CA1"/>
    <w:rsid w:val="00F70D70"/>
    <w:rsid w:val="00F70DED"/>
    <w:rsid w:val="00F70E2D"/>
    <w:rsid w:val="00F70EB7"/>
    <w:rsid w:val="00F70F0F"/>
    <w:rsid w:val="00F70F26"/>
    <w:rsid w:val="00F70F70"/>
    <w:rsid w:val="00F70FD4"/>
    <w:rsid w:val="00F71023"/>
    <w:rsid w:val="00F7103E"/>
    <w:rsid w:val="00F710AE"/>
    <w:rsid w:val="00F71153"/>
    <w:rsid w:val="00F71286"/>
    <w:rsid w:val="00F712A0"/>
    <w:rsid w:val="00F712AD"/>
    <w:rsid w:val="00F713FC"/>
    <w:rsid w:val="00F71435"/>
    <w:rsid w:val="00F71449"/>
    <w:rsid w:val="00F7146B"/>
    <w:rsid w:val="00F71475"/>
    <w:rsid w:val="00F71555"/>
    <w:rsid w:val="00F716BC"/>
    <w:rsid w:val="00F7176B"/>
    <w:rsid w:val="00F7177F"/>
    <w:rsid w:val="00F717BC"/>
    <w:rsid w:val="00F7182C"/>
    <w:rsid w:val="00F7183C"/>
    <w:rsid w:val="00F718C5"/>
    <w:rsid w:val="00F71992"/>
    <w:rsid w:val="00F719CA"/>
    <w:rsid w:val="00F71A88"/>
    <w:rsid w:val="00F71ADB"/>
    <w:rsid w:val="00F71B28"/>
    <w:rsid w:val="00F71B79"/>
    <w:rsid w:val="00F71C27"/>
    <w:rsid w:val="00F71C61"/>
    <w:rsid w:val="00F71D56"/>
    <w:rsid w:val="00F71D9A"/>
    <w:rsid w:val="00F71DEF"/>
    <w:rsid w:val="00F71DF5"/>
    <w:rsid w:val="00F71E57"/>
    <w:rsid w:val="00F71EE3"/>
    <w:rsid w:val="00F71F95"/>
    <w:rsid w:val="00F71FC5"/>
    <w:rsid w:val="00F71FE9"/>
    <w:rsid w:val="00F71FEE"/>
    <w:rsid w:val="00F72045"/>
    <w:rsid w:val="00F7204D"/>
    <w:rsid w:val="00F72055"/>
    <w:rsid w:val="00F7207C"/>
    <w:rsid w:val="00F721BC"/>
    <w:rsid w:val="00F72222"/>
    <w:rsid w:val="00F722DB"/>
    <w:rsid w:val="00F72359"/>
    <w:rsid w:val="00F72480"/>
    <w:rsid w:val="00F725DC"/>
    <w:rsid w:val="00F72614"/>
    <w:rsid w:val="00F7262B"/>
    <w:rsid w:val="00F726AF"/>
    <w:rsid w:val="00F72813"/>
    <w:rsid w:val="00F72C76"/>
    <w:rsid w:val="00F72C81"/>
    <w:rsid w:val="00F72CA2"/>
    <w:rsid w:val="00F72D03"/>
    <w:rsid w:val="00F72D07"/>
    <w:rsid w:val="00F72EA6"/>
    <w:rsid w:val="00F72EC3"/>
    <w:rsid w:val="00F72F88"/>
    <w:rsid w:val="00F72FF1"/>
    <w:rsid w:val="00F73023"/>
    <w:rsid w:val="00F733F9"/>
    <w:rsid w:val="00F73449"/>
    <w:rsid w:val="00F7349D"/>
    <w:rsid w:val="00F735CE"/>
    <w:rsid w:val="00F735F8"/>
    <w:rsid w:val="00F7360A"/>
    <w:rsid w:val="00F7367D"/>
    <w:rsid w:val="00F736B3"/>
    <w:rsid w:val="00F73751"/>
    <w:rsid w:val="00F7383D"/>
    <w:rsid w:val="00F738BE"/>
    <w:rsid w:val="00F73996"/>
    <w:rsid w:val="00F73B38"/>
    <w:rsid w:val="00F73B56"/>
    <w:rsid w:val="00F73B5C"/>
    <w:rsid w:val="00F73C42"/>
    <w:rsid w:val="00F73CDE"/>
    <w:rsid w:val="00F73CE9"/>
    <w:rsid w:val="00F73CEA"/>
    <w:rsid w:val="00F73E8C"/>
    <w:rsid w:val="00F73EC0"/>
    <w:rsid w:val="00F7410C"/>
    <w:rsid w:val="00F741F8"/>
    <w:rsid w:val="00F7422C"/>
    <w:rsid w:val="00F7422F"/>
    <w:rsid w:val="00F74254"/>
    <w:rsid w:val="00F742EE"/>
    <w:rsid w:val="00F74342"/>
    <w:rsid w:val="00F7436C"/>
    <w:rsid w:val="00F7442A"/>
    <w:rsid w:val="00F74621"/>
    <w:rsid w:val="00F7468D"/>
    <w:rsid w:val="00F746EE"/>
    <w:rsid w:val="00F748BB"/>
    <w:rsid w:val="00F74902"/>
    <w:rsid w:val="00F7498E"/>
    <w:rsid w:val="00F749F4"/>
    <w:rsid w:val="00F74B3B"/>
    <w:rsid w:val="00F74B51"/>
    <w:rsid w:val="00F74C08"/>
    <w:rsid w:val="00F74C49"/>
    <w:rsid w:val="00F74E75"/>
    <w:rsid w:val="00F74E89"/>
    <w:rsid w:val="00F75017"/>
    <w:rsid w:val="00F75064"/>
    <w:rsid w:val="00F75150"/>
    <w:rsid w:val="00F75155"/>
    <w:rsid w:val="00F751CD"/>
    <w:rsid w:val="00F75228"/>
    <w:rsid w:val="00F7523B"/>
    <w:rsid w:val="00F75243"/>
    <w:rsid w:val="00F75252"/>
    <w:rsid w:val="00F75378"/>
    <w:rsid w:val="00F75413"/>
    <w:rsid w:val="00F75446"/>
    <w:rsid w:val="00F754E8"/>
    <w:rsid w:val="00F754FC"/>
    <w:rsid w:val="00F7553E"/>
    <w:rsid w:val="00F756D9"/>
    <w:rsid w:val="00F756DD"/>
    <w:rsid w:val="00F757EE"/>
    <w:rsid w:val="00F758D2"/>
    <w:rsid w:val="00F7590A"/>
    <w:rsid w:val="00F75956"/>
    <w:rsid w:val="00F75A08"/>
    <w:rsid w:val="00F75A24"/>
    <w:rsid w:val="00F75AF0"/>
    <w:rsid w:val="00F75BA2"/>
    <w:rsid w:val="00F75CBB"/>
    <w:rsid w:val="00F75D38"/>
    <w:rsid w:val="00F75D9E"/>
    <w:rsid w:val="00F75E5A"/>
    <w:rsid w:val="00F75EE4"/>
    <w:rsid w:val="00F75F58"/>
    <w:rsid w:val="00F75F5F"/>
    <w:rsid w:val="00F75FCE"/>
    <w:rsid w:val="00F760BB"/>
    <w:rsid w:val="00F760E9"/>
    <w:rsid w:val="00F761A6"/>
    <w:rsid w:val="00F76229"/>
    <w:rsid w:val="00F7638F"/>
    <w:rsid w:val="00F764A6"/>
    <w:rsid w:val="00F76629"/>
    <w:rsid w:val="00F76827"/>
    <w:rsid w:val="00F7683C"/>
    <w:rsid w:val="00F76B22"/>
    <w:rsid w:val="00F76B5E"/>
    <w:rsid w:val="00F76C89"/>
    <w:rsid w:val="00F76D54"/>
    <w:rsid w:val="00F76D92"/>
    <w:rsid w:val="00F76E21"/>
    <w:rsid w:val="00F76E89"/>
    <w:rsid w:val="00F76EDE"/>
    <w:rsid w:val="00F77030"/>
    <w:rsid w:val="00F770BA"/>
    <w:rsid w:val="00F7715A"/>
    <w:rsid w:val="00F771AE"/>
    <w:rsid w:val="00F7723F"/>
    <w:rsid w:val="00F7735F"/>
    <w:rsid w:val="00F7746C"/>
    <w:rsid w:val="00F774D9"/>
    <w:rsid w:val="00F774FC"/>
    <w:rsid w:val="00F7750F"/>
    <w:rsid w:val="00F775A8"/>
    <w:rsid w:val="00F7781D"/>
    <w:rsid w:val="00F77851"/>
    <w:rsid w:val="00F7786D"/>
    <w:rsid w:val="00F778EC"/>
    <w:rsid w:val="00F7799A"/>
    <w:rsid w:val="00F779AB"/>
    <w:rsid w:val="00F77A12"/>
    <w:rsid w:val="00F77ADB"/>
    <w:rsid w:val="00F77B3C"/>
    <w:rsid w:val="00F77B45"/>
    <w:rsid w:val="00F77B49"/>
    <w:rsid w:val="00F77CC6"/>
    <w:rsid w:val="00F77D11"/>
    <w:rsid w:val="00F77DBD"/>
    <w:rsid w:val="00F77EC1"/>
    <w:rsid w:val="00F77EC4"/>
    <w:rsid w:val="00F77FAC"/>
    <w:rsid w:val="00F8018B"/>
    <w:rsid w:val="00F801D0"/>
    <w:rsid w:val="00F80215"/>
    <w:rsid w:val="00F8028A"/>
    <w:rsid w:val="00F802EE"/>
    <w:rsid w:val="00F8034B"/>
    <w:rsid w:val="00F8034F"/>
    <w:rsid w:val="00F80382"/>
    <w:rsid w:val="00F80454"/>
    <w:rsid w:val="00F80512"/>
    <w:rsid w:val="00F80558"/>
    <w:rsid w:val="00F8061F"/>
    <w:rsid w:val="00F80659"/>
    <w:rsid w:val="00F80771"/>
    <w:rsid w:val="00F807B7"/>
    <w:rsid w:val="00F8083C"/>
    <w:rsid w:val="00F808D4"/>
    <w:rsid w:val="00F809AA"/>
    <w:rsid w:val="00F809D2"/>
    <w:rsid w:val="00F809F9"/>
    <w:rsid w:val="00F80A50"/>
    <w:rsid w:val="00F80C41"/>
    <w:rsid w:val="00F80D59"/>
    <w:rsid w:val="00F80E1C"/>
    <w:rsid w:val="00F80E92"/>
    <w:rsid w:val="00F80ED2"/>
    <w:rsid w:val="00F8100F"/>
    <w:rsid w:val="00F810C4"/>
    <w:rsid w:val="00F810F8"/>
    <w:rsid w:val="00F8113A"/>
    <w:rsid w:val="00F8114A"/>
    <w:rsid w:val="00F81167"/>
    <w:rsid w:val="00F8132D"/>
    <w:rsid w:val="00F81362"/>
    <w:rsid w:val="00F814F7"/>
    <w:rsid w:val="00F814FC"/>
    <w:rsid w:val="00F8177C"/>
    <w:rsid w:val="00F81784"/>
    <w:rsid w:val="00F8186A"/>
    <w:rsid w:val="00F818AF"/>
    <w:rsid w:val="00F81929"/>
    <w:rsid w:val="00F81940"/>
    <w:rsid w:val="00F819E3"/>
    <w:rsid w:val="00F81C13"/>
    <w:rsid w:val="00F81D6D"/>
    <w:rsid w:val="00F81DDA"/>
    <w:rsid w:val="00F81E35"/>
    <w:rsid w:val="00F81E86"/>
    <w:rsid w:val="00F82004"/>
    <w:rsid w:val="00F8200C"/>
    <w:rsid w:val="00F820F9"/>
    <w:rsid w:val="00F82188"/>
    <w:rsid w:val="00F821B6"/>
    <w:rsid w:val="00F823B2"/>
    <w:rsid w:val="00F823C4"/>
    <w:rsid w:val="00F82408"/>
    <w:rsid w:val="00F82495"/>
    <w:rsid w:val="00F824EF"/>
    <w:rsid w:val="00F82507"/>
    <w:rsid w:val="00F82622"/>
    <w:rsid w:val="00F82633"/>
    <w:rsid w:val="00F82663"/>
    <w:rsid w:val="00F82676"/>
    <w:rsid w:val="00F826EC"/>
    <w:rsid w:val="00F8271C"/>
    <w:rsid w:val="00F82763"/>
    <w:rsid w:val="00F8278A"/>
    <w:rsid w:val="00F82821"/>
    <w:rsid w:val="00F8283A"/>
    <w:rsid w:val="00F829A7"/>
    <w:rsid w:val="00F829F1"/>
    <w:rsid w:val="00F82A7B"/>
    <w:rsid w:val="00F82B90"/>
    <w:rsid w:val="00F82DAB"/>
    <w:rsid w:val="00F82DCF"/>
    <w:rsid w:val="00F82E82"/>
    <w:rsid w:val="00F83246"/>
    <w:rsid w:val="00F833F6"/>
    <w:rsid w:val="00F83400"/>
    <w:rsid w:val="00F83526"/>
    <w:rsid w:val="00F835F5"/>
    <w:rsid w:val="00F836A1"/>
    <w:rsid w:val="00F83720"/>
    <w:rsid w:val="00F8373A"/>
    <w:rsid w:val="00F83751"/>
    <w:rsid w:val="00F8385F"/>
    <w:rsid w:val="00F83893"/>
    <w:rsid w:val="00F83906"/>
    <w:rsid w:val="00F83972"/>
    <w:rsid w:val="00F839FC"/>
    <w:rsid w:val="00F83AEA"/>
    <w:rsid w:val="00F83C01"/>
    <w:rsid w:val="00F83D36"/>
    <w:rsid w:val="00F83D53"/>
    <w:rsid w:val="00F83D7A"/>
    <w:rsid w:val="00F83E59"/>
    <w:rsid w:val="00F83E6B"/>
    <w:rsid w:val="00F83F28"/>
    <w:rsid w:val="00F840CC"/>
    <w:rsid w:val="00F840D9"/>
    <w:rsid w:val="00F84117"/>
    <w:rsid w:val="00F841A2"/>
    <w:rsid w:val="00F841A4"/>
    <w:rsid w:val="00F841F6"/>
    <w:rsid w:val="00F8443D"/>
    <w:rsid w:val="00F84535"/>
    <w:rsid w:val="00F845DB"/>
    <w:rsid w:val="00F84652"/>
    <w:rsid w:val="00F84830"/>
    <w:rsid w:val="00F848AD"/>
    <w:rsid w:val="00F848AE"/>
    <w:rsid w:val="00F84953"/>
    <w:rsid w:val="00F84A15"/>
    <w:rsid w:val="00F84A6E"/>
    <w:rsid w:val="00F84B3E"/>
    <w:rsid w:val="00F84C01"/>
    <w:rsid w:val="00F84CF7"/>
    <w:rsid w:val="00F84D07"/>
    <w:rsid w:val="00F84E47"/>
    <w:rsid w:val="00F84F13"/>
    <w:rsid w:val="00F84FBD"/>
    <w:rsid w:val="00F84FD1"/>
    <w:rsid w:val="00F84FD7"/>
    <w:rsid w:val="00F8504C"/>
    <w:rsid w:val="00F85087"/>
    <w:rsid w:val="00F850BD"/>
    <w:rsid w:val="00F8516D"/>
    <w:rsid w:val="00F85185"/>
    <w:rsid w:val="00F851DE"/>
    <w:rsid w:val="00F854D5"/>
    <w:rsid w:val="00F854EE"/>
    <w:rsid w:val="00F8552C"/>
    <w:rsid w:val="00F85593"/>
    <w:rsid w:val="00F855D1"/>
    <w:rsid w:val="00F8564E"/>
    <w:rsid w:val="00F856FF"/>
    <w:rsid w:val="00F85783"/>
    <w:rsid w:val="00F857CF"/>
    <w:rsid w:val="00F85809"/>
    <w:rsid w:val="00F85875"/>
    <w:rsid w:val="00F858A6"/>
    <w:rsid w:val="00F85A13"/>
    <w:rsid w:val="00F85A4F"/>
    <w:rsid w:val="00F85ABD"/>
    <w:rsid w:val="00F85BE9"/>
    <w:rsid w:val="00F85C22"/>
    <w:rsid w:val="00F85CA6"/>
    <w:rsid w:val="00F85E05"/>
    <w:rsid w:val="00F85E0B"/>
    <w:rsid w:val="00F85E83"/>
    <w:rsid w:val="00F85E90"/>
    <w:rsid w:val="00F8609D"/>
    <w:rsid w:val="00F860A6"/>
    <w:rsid w:val="00F86278"/>
    <w:rsid w:val="00F86326"/>
    <w:rsid w:val="00F8632F"/>
    <w:rsid w:val="00F86348"/>
    <w:rsid w:val="00F864F8"/>
    <w:rsid w:val="00F86513"/>
    <w:rsid w:val="00F86514"/>
    <w:rsid w:val="00F8653E"/>
    <w:rsid w:val="00F86651"/>
    <w:rsid w:val="00F86681"/>
    <w:rsid w:val="00F866C7"/>
    <w:rsid w:val="00F8676A"/>
    <w:rsid w:val="00F8676C"/>
    <w:rsid w:val="00F867F4"/>
    <w:rsid w:val="00F8685E"/>
    <w:rsid w:val="00F86911"/>
    <w:rsid w:val="00F86970"/>
    <w:rsid w:val="00F86980"/>
    <w:rsid w:val="00F86982"/>
    <w:rsid w:val="00F869D5"/>
    <w:rsid w:val="00F86A50"/>
    <w:rsid w:val="00F86ABC"/>
    <w:rsid w:val="00F86AF8"/>
    <w:rsid w:val="00F86BA8"/>
    <w:rsid w:val="00F86DEC"/>
    <w:rsid w:val="00F86ED1"/>
    <w:rsid w:val="00F86F35"/>
    <w:rsid w:val="00F86F3E"/>
    <w:rsid w:val="00F87009"/>
    <w:rsid w:val="00F8707B"/>
    <w:rsid w:val="00F870FD"/>
    <w:rsid w:val="00F871EC"/>
    <w:rsid w:val="00F87240"/>
    <w:rsid w:val="00F87241"/>
    <w:rsid w:val="00F872D9"/>
    <w:rsid w:val="00F8737D"/>
    <w:rsid w:val="00F87452"/>
    <w:rsid w:val="00F87624"/>
    <w:rsid w:val="00F876B2"/>
    <w:rsid w:val="00F87752"/>
    <w:rsid w:val="00F8775B"/>
    <w:rsid w:val="00F877FA"/>
    <w:rsid w:val="00F87847"/>
    <w:rsid w:val="00F878ED"/>
    <w:rsid w:val="00F879FF"/>
    <w:rsid w:val="00F87A2E"/>
    <w:rsid w:val="00F87A4A"/>
    <w:rsid w:val="00F87A71"/>
    <w:rsid w:val="00F87A7C"/>
    <w:rsid w:val="00F87ACE"/>
    <w:rsid w:val="00F87BD4"/>
    <w:rsid w:val="00F87CC1"/>
    <w:rsid w:val="00F87D16"/>
    <w:rsid w:val="00F87E76"/>
    <w:rsid w:val="00F87F89"/>
    <w:rsid w:val="00F8E13E"/>
    <w:rsid w:val="00F900FF"/>
    <w:rsid w:val="00F90267"/>
    <w:rsid w:val="00F9026E"/>
    <w:rsid w:val="00F90312"/>
    <w:rsid w:val="00F90359"/>
    <w:rsid w:val="00F90374"/>
    <w:rsid w:val="00F903B4"/>
    <w:rsid w:val="00F903D0"/>
    <w:rsid w:val="00F9042B"/>
    <w:rsid w:val="00F90455"/>
    <w:rsid w:val="00F90456"/>
    <w:rsid w:val="00F90503"/>
    <w:rsid w:val="00F90562"/>
    <w:rsid w:val="00F9058F"/>
    <w:rsid w:val="00F905FA"/>
    <w:rsid w:val="00F90704"/>
    <w:rsid w:val="00F90767"/>
    <w:rsid w:val="00F909A2"/>
    <w:rsid w:val="00F90A40"/>
    <w:rsid w:val="00F90B66"/>
    <w:rsid w:val="00F90D04"/>
    <w:rsid w:val="00F90D33"/>
    <w:rsid w:val="00F90DB7"/>
    <w:rsid w:val="00F90EBC"/>
    <w:rsid w:val="00F90EBD"/>
    <w:rsid w:val="00F910B2"/>
    <w:rsid w:val="00F91104"/>
    <w:rsid w:val="00F9113C"/>
    <w:rsid w:val="00F91238"/>
    <w:rsid w:val="00F91284"/>
    <w:rsid w:val="00F9129C"/>
    <w:rsid w:val="00F9133F"/>
    <w:rsid w:val="00F91353"/>
    <w:rsid w:val="00F91367"/>
    <w:rsid w:val="00F913AD"/>
    <w:rsid w:val="00F91436"/>
    <w:rsid w:val="00F914DE"/>
    <w:rsid w:val="00F91550"/>
    <w:rsid w:val="00F91555"/>
    <w:rsid w:val="00F9157C"/>
    <w:rsid w:val="00F91588"/>
    <w:rsid w:val="00F91595"/>
    <w:rsid w:val="00F91930"/>
    <w:rsid w:val="00F919E0"/>
    <w:rsid w:val="00F91A59"/>
    <w:rsid w:val="00F91ADA"/>
    <w:rsid w:val="00F91AE9"/>
    <w:rsid w:val="00F91B3E"/>
    <w:rsid w:val="00F91C0D"/>
    <w:rsid w:val="00F91D29"/>
    <w:rsid w:val="00F91DFB"/>
    <w:rsid w:val="00F91E1B"/>
    <w:rsid w:val="00F91E30"/>
    <w:rsid w:val="00F91E74"/>
    <w:rsid w:val="00F91F30"/>
    <w:rsid w:val="00F91F6C"/>
    <w:rsid w:val="00F92025"/>
    <w:rsid w:val="00F92030"/>
    <w:rsid w:val="00F92106"/>
    <w:rsid w:val="00F92131"/>
    <w:rsid w:val="00F92148"/>
    <w:rsid w:val="00F92189"/>
    <w:rsid w:val="00F921C4"/>
    <w:rsid w:val="00F921C9"/>
    <w:rsid w:val="00F92221"/>
    <w:rsid w:val="00F922FE"/>
    <w:rsid w:val="00F92336"/>
    <w:rsid w:val="00F92348"/>
    <w:rsid w:val="00F9243A"/>
    <w:rsid w:val="00F9249B"/>
    <w:rsid w:val="00F92501"/>
    <w:rsid w:val="00F9259B"/>
    <w:rsid w:val="00F9259F"/>
    <w:rsid w:val="00F92626"/>
    <w:rsid w:val="00F9263E"/>
    <w:rsid w:val="00F9276F"/>
    <w:rsid w:val="00F92822"/>
    <w:rsid w:val="00F928AE"/>
    <w:rsid w:val="00F928CB"/>
    <w:rsid w:val="00F928EF"/>
    <w:rsid w:val="00F92972"/>
    <w:rsid w:val="00F92999"/>
    <w:rsid w:val="00F92A73"/>
    <w:rsid w:val="00F92AC9"/>
    <w:rsid w:val="00F92AFE"/>
    <w:rsid w:val="00F92B6F"/>
    <w:rsid w:val="00F92C0E"/>
    <w:rsid w:val="00F92E0E"/>
    <w:rsid w:val="00F92F8D"/>
    <w:rsid w:val="00F93157"/>
    <w:rsid w:val="00F93173"/>
    <w:rsid w:val="00F9328B"/>
    <w:rsid w:val="00F932A9"/>
    <w:rsid w:val="00F93383"/>
    <w:rsid w:val="00F93434"/>
    <w:rsid w:val="00F9347A"/>
    <w:rsid w:val="00F93562"/>
    <w:rsid w:val="00F9361B"/>
    <w:rsid w:val="00F93684"/>
    <w:rsid w:val="00F936DB"/>
    <w:rsid w:val="00F9371F"/>
    <w:rsid w:val="00F937BA"/>
    <w:rsid w:val="00F93811"/>
    <w:rsid w:val="00F93832"/>
    <w:rsid w:val="00F938F1"/>
    <w:rsid w:val="00F93917"/>
    <w:rsid w:val="00F93920"/>
    <w:rsid w:val="00F9398A"/>
    <w:rsid w:val="00F939E1"/>
    <w:rsid w:val="00F93AC4"/>
    <w:rsid w:val="00F93B07"/>
    <w:rsid w:val="00F93B75"/>
    <w:rsid w:val="00F93C06"/>
    <w:rsid w:val="00F93C25"/>
    <w:rsid w:val="00F93CB1"/>
    <w:rsid w:val="00F93F84"/>
    <w:rsid w:val="00F94078"/>
    <w:rsid w:val="00F94080"/>
    <w:rsid w:val="00F940FA"/>
    <w:rsid w:val="00F9413B"/>
    <w:rsid w:val="00F94318"/>
    <w:rsid w:val="00F94343"/>
    <w:rsid w:val="00F94498"/>
    <w:rsid w:val="00F944C7"/>
    <w:rsid w:val="00F945A9"/>
    <w:rsid w:val="00F945CC"/>
    <w:rsid w:val="00F94620"/>
    <w:rsid w:val="00F949FC"/>
    <w:rsid w:val="00F94AC8"/>
    <w:rsid w:val="00F94AFE"/>
    <w:rsid w:val="00F94B11"/>
    <w:rsid w:val="00F94B3A"/>
    <w:rsid w:val="00F94C28"/>
    <w:rsid w:val="00F94C76"/>
    <w:rsid w:val="00F94CBC"/>
    <w:rsid w:val="00F94CDD"/>
    <w:rsid w:val="00F94D34"/>
    <w:rsid w:val="00F94E6F"/>
    <w:rsid w:val="00F94ED4"/>
    <w:rsid w:val="00F94EE1"/>
    <w:rsid w:val="00F950CE"/>
    <w:rsid w:val="00F9513F"/>
    <w:rsid w:val="00F9516D"/>
    <w:rsid w:val="00F95196"/>
    <w:rsid w:val="00F951FE"/>
    <w:rsid w:val="00F95245"/>
    <w:rsid w:val="00F9529A"/>
    <w:rsid w:val="00F9543D"/>
    <w:rsid w:val="00F95499"/>
    <w:rsid w:val="00F9560A"/>
    <w:rsid w:val="00F9572B"/>
    <w:rsid w:val="00F95887"/>
    <w:rsid w:val="00F95900"/>
    <w:rsid w:val="00F95930"/>
    <w:rsid w:val="00F95934"/>
    <w:rsid w:val="00F95935"/>
    <w:rsid w:val="00F95958"/>
    <w:rsid w:val="00F959FD"/>
    <w:rsid w:val="00F95C8C"/>
    <w:rsid w:val="00F95CBC"/>
    <w:rsid w:val="00F95ECB"/>
    <w:rsid w:val="00F95EF1"/>
    <w:rsid w:val="00F960CA"/>
    <w:rsid w:val="00F96118"/>
    <w:rsid w:val="00F96146"/>
    <w:rsid w:val="00F961AA"/>
    <w:rsid w:val="00F96287"/>
    <w:rsid w:val="00F9629C"/>
    <w:rsid w:val="00F96324"/>
    <w:rsid w:val="00F963D4"/>
    <w:rsid w:val="00F96475"/>
    <w:rsid w:val="00F96481"/>
    <w:rsid w:val="00F965AF"/>
    <w:rsid w:val="00F96604"/>
    <w:rsid w:val="00F96622"/>
    <w:rsid w:val="00F96693"/>
    <w:rsid w:val="00F966C5"/>
    <w:rsid w:val="00F9671A"/>
    <w:rsid w:val="00F967F6"/>
    <w:rsid w:val="00F9681F"/>
    <w:rsid w:val="00F9684A"/>
    <w:rsid w:val="00F968C1"/>
    <w:rsid w:val="00F9696D"/>
    <w:rsid w:val="00F96C72"/>
    <w:rsid w:val="00F96DDC"/>
    <w:rsid w:val="00F96DDF"/>
    <w:rsid w:val="00F96DE2"/>
    <w:rsid w:val="00F9709C"/>
    <w:rsid w:val="00F971AF"/>
    <w:rsid w:val="00F971ED"/>
    <w:rsid w:val="00F97239"/>
    <w:rsid w:val="00F97406"/>
    <w:rsid w:val="00F97443"/>
    <w:rsid w:val="00F9744D"/>
    <w:rsid w:val="00F974C3"/>
    <w:rsid w:val="00F974E0"/>
    <w:rsid w:val="00F97572"/>
    <w:rsid w:val="00F975F1"/>
    <w:rsid w:val="00F977D5"/>
    <w:rsid w:val="00F9794A"/>
    <w:rsid w:val="00F97997"/>
    <w:rsid w:val="00F97AB2"/>
    <w:rsid w:val="00F97B15"/>
    <w:rsid w:val="00F97B20"/>
    <w:rsid w:val="00F97C37"/>
    <w:rsid w:val="00F97D3E"/>
    <w:rsid w:val="00F97DC0"/>
    <w:rsid w:val="00F97F6E"/>
    <w:rsid w:val="00F97FBF"/>
    <w:rsid w:val="00FA0082"/>
    <w:rsid w:val="00FA00AF"/>
    <w:rsid w:val="00FA00C9"/>
    <w:rsid w:val="00FA01AA"/>
    <w:rsid w:val="00FA01EC"/>
    <w:rsid w:val="00FA027F"/>
    <w:rsid w:val="00FA02C8"/>
    <w:rsid w:val="00FA03FE"/>
    <w:rsid w:val="00FA045A"/>
    <w:rsid w:val="00FA05B8"/>
    <w:rsid w:val="00FA0604"/>
    <w:rsid w:val="00FA06E8"/>
    <w:rsid w:val="00FA076F"/>
    <w:rsid w:val="00FA07EE"/>
    <w:rsid w:val="00FA0825"/>
    <w:rsid w:val="00FA08AD"/>
    <w:rsid w:val="00FA0947"/>
    <w:rsid w:val="00FA09F4"/>
    <w:rsid w:val="00FA0A5C"/>
    <w:rsid w:val="00FA0A87"/>
    <w:rsid w:val="00FA0AB4"/>
    <w:rsid w:val="00FA0B6E"/>
    <w:rsid w:val="00FA0B87"/>
    <w:rsid w:val="00FA0B8C"/>
    <w:rsid w:val="00FA0CC8"/>
    <w:rsid w:val="00FA0D25"/>
    <w:rsid w:val="00FA0DDF"/>
    <w:rsid w:val="00FA0EAD"/>
    <w:rsid w:val="00FA0EEE"/>
    <w:rsid w:val="00FA0F74"/>
    <w:rsid w:val="00FA0F94"/>
    <w:rsid w:val="00FA0F9F"/>
    <w:rsid w:val="00FA0FAD"/>
    <w:rsid w:val="00FA1022"/>
    <w:rsid w:val="00FA1210"/>
    <w:rsid w:val="00FA1288"/>
    <w:rsid w:val="00FA12CD"/>
    <w:rsid w:val="00FA1300"/>
    <w:rsid w:val="00FA13A2"/>
    <w:rsid w:val="00FA13DB"/>
    <w:rsid w:val="00FA1460"/>
    <w:rsid w:val="00FA1564"/>
    <w:rsid w:val="00FA1568"/>
    <w:rsid w:val="00FA16AC"/>
    <w:rsid w:val="00FA170F"/>
    <w:rsid w:val="00FA18A1"/>
    <w:rsid w:val="00FA1941"/>
    <w:rsid w:val="00FA198D"/>
    <w:rsid w:val="00FA19C5"/>
    <w:rsid w:val="00FA1BFD"/>
    <w:rsid w:val="00FA1C2A"/>
    <w:rsid w:val="00FA1C82"/>
    <w:rsid w:val="00FA1D72"/>
    <w:rsid w:val="00FA1E7C"/>
    <w:rsid w:val="00FA1EAD"/>
    <w:rsid w:val="00FA1EFB"/>
    <w:rsid w:val="00FA1F03"/>
    <w:rsid w:val="00FA1F61"/>
    <w:rsid w:val="00FA1F81"/>
    <w:rsid w:val="00FA21D0"/>
    <w:rsid w:val="00FA21FD"/>
    <w:rsid w:val="00FA229F"/>
    <w:rsid w:val="00FA22E4"/>
    <w:rsid w:val="00FA2373"/>
    <w:rsid w:val="00FA23D8"/>
    <w:rsid w:val="00FA2443"/>
    <w:rsid w:val="00FA25C9"/>
    <w:rsid w:val="00FA2761"/>
    <w:rsid w:val="00FA2762"/>
    <w:rsid w:val="00FA2897"/>
    <w:rsid w:val="00FA298A"/>
    <w:rsid w:val="00FA2AAE"/>
    <w:rsid w:val="00FA2AEA"/>
    <w:rsid w:val="00FA2C68"/>
    <w:rsid w:val="00FA2DE1"/>
    <w:rsid w:val="00FA2F03"/>
    <w:rsid w:val="00FA2F27"/>
    <w:rsid w:val="00FA2F36"/>
    <w:rsid w:val="00FA2F4E"/>
    <w:rsid w:val="00FA306D"/>
    <w:rsid w:val="00FA310A"/>
    <w:rsid w:val="00FA312F"/>
    <w:rsid w:val="00FA31BD"/>
    <w:rsid w:val="00FA3232"/>
    <w:rsid w:val="00FA324E"/>
    <w:rsid w:val="00FA3278"/>
    <w:rsid w:val="00FA337F"/>
    <w:rsid w:val="00FA3442"/>
    <w:rsid w:val="00FA347A"/>
    <w:rsid w:val="00FA3557"/>
    <w:rsid w:val="00FA3560"/>
    <w:rsid w:val="00FA35F3"/>
    <w:rsid w:val="00FA364C"/>
    <w:rsid w:val="00FA368B"/>
    <w:rsid w:val="00FA3697"/>
    <w:rsid w:val="00FA36A0"/>
    <w:rsid w:val="00FA36C9"/>
    <w:rsid w:val="00FA36E5"/>
    <w:rsid w:val="00FA38EA"/>
    <w:rsid w:val="00FA39C9"/>
    <w:rsid w:val="00FA3A8D"/>
    <w:rsid w:val="00FA3B9B"/>
    <w:rsid w:val="00FA3BD6"/>
    <w:rsid w:val="00FA3BE8"/>
    <w:rsid w:val="00FA3C52"/>
    <w:rsid w:val="00FA3CA0"/>
    <w:rsid w:val="00FA3CD7"/>
    <w:rsid w:val="00FA3DEE"/>
    <w:rsid w:val="00FA3F56"/>
    <w:rsid w:val="00FA3FEA"/>
    <w:rsid w:val="00FA40A2"/>
    <w:rsid w:val="00FA40EF"/>
    <w:rsid w:val="00FA4150"/>
    <w:rsid w:val="00FA41E1"/>
    <w:rsid w:val="00FA42D2"/>
    <w:rsid w:val="00FA4322"/>
    <w:rsid w:val="00FA4515"/>
    <w:rsid w:val="00FA47CA"/>
    <w:rsid w:val="00FA4906"/>
    <w:rsid w:val="00FA4963"/>
    <w:rsid w:val="00FA4A6A"/>
    <w:rsid w:val="00FA4A8A"/>
    <w:rsid w:val="00FA4B2A"/>
    <w:rsid w:val="00FA4BDE"/>
    <w:rsid w:val="00FA4BF1"/>
    <w:rsid w:val="00FA4C55"/>
    <w:rsid w:val="00FA4C6C"/>
    <w:rsid w:val="00FA4DBE"/>
    <w:rsid w:val="00FA4DD7"/>
    <w:rsid w:val="00FA4DE2"/>
    <w:rsid w:val="00FA4E0F"/>
    <w:rsid w:val="00FA4FD2"/>
    <w:rsid w:val="00FA5067"/>
    <w:rsid w:val="00FA527E"/>
    <w:rsid w:val="00FA5404"/>
    <w:rsid w:val="00FA5410"/>
    <w:rsid w:val="00FA55DF"/>
    <w:rsid w:val="00FA55E8"/>
    <w:rsid w:val="00FA5605"/>
    <w:rsid w:val="00FA5677"/>
    <w:rsid w:val="00FA568E"/>
    <w:rsid w:val="00FA5692"/>
    <w:rsid w:val="00FA5766"/>
    <w:rsid w:val="00FA5869"/>
    <w:rsid w:val="00FA598A"/>
    <w:rsid w:val="00FA5A88"/>
    <w:rsid w:val="00FA5A96"/>
    <w:rsid w:val="00FA5B2C"/>
    <w:rsid w:val="00FA5C3E"/>
    <w:rsid w:val="00FA5CD6"/>
    <w:rsid w:val="00FA5E3E"/>
    <w:rsid w:val="00FA5E51"/>
    <w:rsid w:val="00FA5E64"/>
    <w:rsid w:val="00FA5F4B"/>
    <w:rsid w:val="00FA5FDD"/>
    <w:rsid w:val="00FA621C"/>
    <w:rsid w:val="00FA6244"/>
    <w:rsid w:val="00FA626B"/>
    <w:rsid w:val="00FA627F"/>
    <w:rsid w:val="00FA62AA"/>
    <w:rsid w:val="00FA63FF"/>
    <w:rsid w:val="00FA6453"/>
    <w:rsid w:val="00FA64A4"/>
    <w:rsid w:val="00FA64CE"/>
    <w:rsid w:val="00FA6519"/>
    <w:rsid w:val="00FA660C"/>
    <w:rsid w:val="00FA687B"/>
    <w:rsid w:val="00FA68B4"/>
    <w:rsid w:val="00FA68F7"/>
    <w:rsid w:val="00FA6944"/>
    <w:rsid w:val="00FA694D"/>
    <w:rsid w:val="00FA6A02"/>
    <w:rsid w:val="00FA6A03"/>
    <w:rsid w:val="00FA6A62"/>
    <w:rsid w:val="00FA6AFE"/>
    <w:rsid w:val="00FA6C21"/>
    <w:rsid w:val="00FA6C42"/>
    <w:rsid w:val="00FA6C51"/>
    <w:rsid w:val="00FA6C6A"/>
    <w:rsid w:val="00FA6CA2"/>
    <w:rsid w:val="00FA6CC1"/>
    <w:rsid w:val="00FA6D01"/>
    <w:rsid w:val="00FA6D18"/>
    <w:rsid w:val="00FA6D3E"/>
    <w:rsid w:val="00FA6DDD"/>
    <w:rsid w:val="00FA6E69"/>
    <w:rsid w:val="00FA6E82"/>
    <w:rsid w:val="00FA6F80"/>
    <w:rsid w:val="00FA7171"/>
    <w:rsid w:val="00FA7413"/>
    <w:rsid w:val="00FA7476"/>
    <w:rsid w:val="00FA74AD"/>
    <w:rsid w:val="00FA7509"/>
    <w:rsid w:val="00FA754A"/>
    <w:rsid w:val="00FA7745"/>
    <w:rsid w:val="00FA77E3"/>
    <w:rsid w:val="00FA79A1"/>
    <w:rsid w:val="00FA7A07"/>
    <w:rsid w:val="00FA7A78"/>
    <w:rsid w:val="00FA7AA4"/>
    <w:rsid w:val="00FA7AD7"/>
    <w:rsid w:val="00FA7B1E"/>
    <w:rsid w:val="00FA7B66"/>
    <w:rsid w:val="00FA7BF9"/>
    <w:rsid w:val="00FA7C47"/>
    <w:rsid w:val="00FA7D7D"/>
    <w:rsid w:val="00FA7D90"/>
    <w:rsid w:val="00FA7DCD"/>
    <w:rsid w:val="00FA7E63"/>
    <w:rsid w:val="00FA7EA9"/>
    <w:rsid w:val="00FA7F46"/>
    <w:rsid w:val="00FB005F"/>
    <w:rsid w:val="00FB006A"/>
    <w:rsid w:val="00FB016F"/>
    <w:rsid w:val="00FB0178"/>
    <w:rsid w:val="00FB01B5"/>
    <w:rsid w:val="00FB0219"/>
    <w:rsid w:val="00FB0287"/>
    <w:rsid w:val="00FB02E7"/>
    <w:rsid w:val="00FB0548"/>
    <w:rsid w:val="00FB0564"/>
    <w:rsid w:val="00FB0646"/>
    <w:rsid w:val="00FB067E"/>
    <w:rsid w:val="00FB0781"/>
    <w:rsid w:val="00FB07DD"/>
    <w:rsid w:val="00FB0847"/>
    <w:rsid w:val="00FB0873"/>
    <w:rsid w:val="00FB09C1"/>
    <w:rsid w:val="00FB0C02"/>
    <w:rsid w:val="00FB0CBE"/>
    <w:rsid w:val="00FB0E03"/>
    <w:rsid w:val="00FB0E0F"/>
    <w:rsid w:val="00FB0E21"/>
    <w:rsid w:val="00FB0E85"/>
    <w:rsid w:val="00FB0EBC"/>
    <w:rsid w:val="00FB0EE9"/>
    <w:rsid w:val="00FB0F80"/>
    <w:rsid w:val="00FB0FC4"/>
    <w:rsid w:val="00FB10FC"/>
    <w:rsid w:val="00FB14B7"/>
    <w:rsid w:val="00FB14B8"/>
    <w:rsid w:val="00FB15A3"/>
    <w:rsid w:val="00FB15B6"/>
    <w:rsid w:val="00FB178F"/>
    <w:rsid w:val="00FB1871"/>
    <w:rsid w:val="00FB19AF"/>
    <w:rsid w:val="00FB19D2"/>
    <w:rsid w:val="00FB1A06"/>
    <w:rsid w:val="00FB1ACA"/>
    <w:rsid w:val="00FB1B36"/>
    <w:rsid w:val="00FB1B6C"/>
    <w:rsid w:val="00FB1B81"/>
    <w:rsid w:val="00FB1BD1"/>
    <w:rsid w:val="00FB1BE4"/>
    <w:rsid w:val="00FB1D8A"/>
    <w:rsid w:val="00FB1DB8"/>
    <w:rsid w:val="00FB1E19"/>
    <w:rsid w:val="00FB1E4E"/>
    <w:rsid w:val="00FB1E4F"/>
    <w:rsid w:val="00FB1F92"/>
    <w:rsid w:val="00FB1F93"/>
    <w:rsid w:val="00FB202C"/>
    <w:rsid w:val="00FB2035"/>
    <w:rsid w:val="00FB203B"/>
    <w:rsid w:val="00FB2058"/>
    <w:rsid w:val="00FB213A"/>
    <w:rsid w:val="00FB22B4"/>
    <w:rsid w:val="00FB22F5"/>
    <w:rsid w:val="00FB2302"/>
    <w:rsid w:val="00FB2331"/>
    <w:rsid w:val="00FB2372"/>
    <w:rsid w:val="00FB23EA"/>
    <w:rsid w:val="00FB24B1"/>
    <w:rsid w:val="00FB2517"/>
    <w:rsid w:val="00FB251C"/>
    <w:rsid w:val="00FB25B1"/>
    <w:rsid w:val="00FB25F0"/>
    <w:rsid w:val="00FB2667"/>
    <w:rsid w:val="00FB26A7"/>
    <w:rsid w:val="00FB26DD"/>
    <w:rsid w:val="00FB26E4"/>
    <w:rsid w:val="00FB2833"/>
    <w:rsid w:val="00FB2867"/>
    <w:rsid w:val="00FB28AA"/>
    <w:rsid w:val="00FB28C7"/>
    <w:rsid w:val="00FB2942"/>
    <w:rsid w:val="00FB2999"/>
    <w:rsid w:val="00FB2A34"/>
    <w:rsid w:val="00FB2A4D"/>
    <w:rsid w:val="00FB2A4E"/>
    <w:rsid w:val="00FB2A71"/>
    <w:rsid w:val="00FB2AEC"/>
    <w:rsid w:val="00FB2AF3"/>
    <w:rsid w:val="00FB2D01"/>
    <w:rsid w:val="00FB2DB1"/>
    <w:rsid w:val="00FB2E07"/>
    <w:rsid w:val="00FB2E2C"/>
    <w:rsid w:val="00FB2E2D"/>
    <w:rsid w:val="00FB2ED4"/>
    <w:rsid w:val="00FB3145"/>
    <w:rsid w:val="00FB3202"/>
    <w:rsid w:val="00FB32BD"/>
    <w:rsid w:val="00FB34B8"/>
    <w:rsid w:val="00FB3509"/>
    <w:rsid w:val="00FB3614"/>
    <w:rsid w:val="00FB365B"/>
    <w:rsid w:val="00FB367D"/>
    <w:rsid w:val="00FB3686"/>
    <w:rsid w:val="00FB36E8"/>
    <w:rsid w:val="00FB36F5"/>
    <w:rsid w:val="00FB391F"/>
    <w:rsid w:val="00FB3A6C"/>
    <w:rsid w:val="00FB3A92"/>
    <w:rsid w:val="00FB3AA3"/>
    <w:rsid w:val="00FB3AE5"/>
    <w:rsid w:val="00FB3AFA"/>
    <w:rsid w:val="00FB3B2A"/>
    <w:rsid w:val="00FB3B4E"/>
    <w:rsid w:val="00FB3BA0"/>
    <w:rsid w:val="00FB3C5D"/>
    <w:rsid w:val="00FB3C79"/>
    <w:rsid w:val="00FB3D67"/>
    <w:rsid w:val="00FB3E63"/>
    <w:rsid w:val="00FB3F12"/>
    <w:rsid w:val="00FB3F7C"/>
    <w:rsid w:val="00FB4044"/>
    <w:rsid w:val="00FB4070"/>
    <w:rsid w:val="00FB40C6"/>
    <w:rsid w:val="00FB4372"/>
    <w:rsid w:val="00FB43C5"/>
    <w:rsid w:val="00FB4415"/>
    <w:rsid w:val="00FB441B"/>
    <w:rsid w:val="00FB4488"/>
    <w:rsid w:val="00FB45F6"/>
    <w:rsid w:val="00FB4766"/>
    <w:rsid w:val="00FB476A"/>
    <w:rsid w:val="00FB47EF"/>
    <w:rsid w:val="00FB488A"/>
    <w:rsid w:val="00FB48C0"/>
    <w:rsid w:val="00FB49CF"/>
    <w:rsid w:val="00FB4A51"/>
    <w:rsid w:val="00FB4AE4"/>
    <w:rsid w:val="00FB4B5E"/>
    <w:rsid w:val="00FB4B8A"/>
    <w:rsid w:val="00FB4CE9"/>
    <w:rsid w:val="00FB4D86"/>
    <w:rsid w:val="00FB4EC6"/>
    <w:rsid w:val="00FB4FAC"/>
    <w:rsid w:val="00FB50F9"/>
    <w:rsid w:val="00FB5143"/>
    <w:rsid w:val="00FB5202"/>
    <w:rsid w:val="00FB524B"/>
    <w:rsid w:val="00FB5347"/>
    <w:rsid w:val="00FB5382"/>
    <w:rsid w:val="00FB540B"/>
    <w:rsid w:val="00FB546F"/>
    <w:rsid w:val="00FB549F"/>
    <w:rsid w:val="00FB5719"/>
    <w:rsid w:val="00FB57A3"/>
    <w:rsid w:val="00FB59DD"/>
    <w:rsid w:val="00FB5A43"/>
    <w:rsid w:val="00FB5B3A"/>
    <w:rsid w:val="00FB5D33"/>
    <w:rsid w:val="00FB5D50"/>
    <w:rsid w:val="00FB5D63"/>
    <w:rsid w:val="00FB5DC8"/>
    <w:rsid w:val="00FB5E20"/>
    <w:rsid w:val="00FB5EEF"/>
    <w:rsid w:val="00FB60A7"/>
    <w:rsid w:val="00FB6123"/>
    <w:rsid w:val="00FB620D"/>
    <w:rsid w:val="00FB627E"/>
    <w:rsid w:val="00FB6303"/>
    <w:rsid w:val="00FB63A2"/>
    <w:rsid w:val="00FB63E7"/>
    <w:rsid w:val="00FB6465"/>
    <w:rsid w:val="00FB6563"/>
    <w:rsid w:val="00FB65F6"/>
    <w:rsid w:val="00FB668D"/>
    <w:rsid w:val="00FB66E9"/>
    <w:rsid w:val="00FB6763"/>
    <w:rsid w:val="00FB6814"/>
    <w:rsid w:val="00FB687E"/>
    <w:rsid w:val="00FB69BA"/>
    <w:rsid w:val="00FB6DDE"/>
    <w:rsid w:val="00FB6E28"/>
    <w:rsid w:val="00FB6F09"/>
    <w:rsid w:val="00FB6F67"/>
    <w:rsid w:val="00FB707B"/>
    <w:rsid w:val="00FB708E"/>
    <w:rsid w:val="00FB70F2"/>
    <w:rsid w:val="00FB70F9"/>
    <w:rsid w:val="00FB7127"/>
    <w:rsid w:val="00FB71EE"/>
    <w:rsid w:val="00FB7264"/>
    <w:rsid w:val="00FB728C"/>
    <w:rsid w:val="00FB72E0"/>
    <w:rsid w:val="00FB7385"/>
    <w:rsid w:val="00FB73D4"/>
    <w:rsid w:val="00FB73D8"/>
    <w:rsid w:val="00FB74A5"/>
    <w:rsid w:val="00FB74D3"/>
    <w:rsid w:val="00FB7599"/>
    <w:rsid w:val="00FB75E5"/>
    <w:rsid w:val="00FB75E8"/>
    <w:rsid w:val="00FB783A"/>
    <w:rsid w:val="00FB785A"/>
    <w:rsid w:val="00FB7897"/>
    <w:rsid w:val="00FB78B9"/>
    <w:rsid w:val="00FB794B"/>
    <w:rsid w:val="00FB799B"/>
    <w:rsid w:val="00FB7B03"/>
    <w:rsid w:val="00FB7CB2"/>
    <w:rsid w:val="00FB7CDC"/>
    <w:rsid w:val="00FB7D25"/>
    <w:rsid w:val="00FB7DB1"/>
    <w:rsid w:val="00FB7E7A"/>
    <w:rsid w:val="00FB7F4D"/>
    <w:rsid w:val="00FC0019"/>
    <w:rsid w:val="00FC0037"/>
    <w:rsid w:val="00FC003E"/>
    <w:rsid w:val="00FC0067"/>
    <w:rsid w:val="00FC01E1"/>
    <w:rsid w:val="00FC01F6"/>
    <w:rsid w:val="00FC0238"/>
    <w:rsid w:val="00FC0276"/>
    <w:rsid w:val="00FC02B5"/>
    <w:rsid w:val="00FC02BE"/>
    <w:rsid w:val="00FC03CC"/>
    <w:rsid w:val="00FC03D5"/>
    <w:rsid w:val="00FC042B"/>
    <w:rsid w:val="00FC047D"/>
    <w:rsid w:val="00FC04C9"/>
    <w:rsid w:val="00FC05F4"/>
    <w:rsid w:val="00FC064C"/>
    <w:rsid w:val="00FC06B2"/>
    <w:rsid w:val="00FC0915"/>
    <w:rsid w:val="00FC0934"/>
    <w:rsid w:val="00FC097D"/>
    <w:rsid w:val="00FC09D1"/>
    <w:rsid w:val="00FC0A73"/>
    <w:rsid w:val="00FC0AD7"/>
    <w:rsid w:val="00FC0AEA"/>
    <w:rsid w:val="00FC0BE7"/>
    <w:rsid w:val="00FC0CF2"/>
    <w:rsid w:val="00FC0D92"/>
    <w:rsid w:val="00FC0DCA"/>
    <w:rsid w:val="00FC0E0C"/>
    <w:rsid w:val="00FC0E33"/>
    <w:rsid w:val="00FC0F40"/>
    <w:rsid w:val="00FC0FAF"/>
    <w:rsid w:val="00FC1061"/>
    <w:rsid w:val="00FC1064"/>
    <w:rsid w:val="00FC106F"/>
    <w:rsid w:val="00FC1081"/>
    <w:rsid w:val="00FC10B9"/>
    <w:rsid w:val="00FC10DE"/>
    <w:rsid w:val="00FC1146"/>
    <w:rsid w:val="00FC12BA"/>
    <w:rsid w:val="00FC1313"/>
    <w:rsid w:val="00FC134E"/>
    <w:rsid w:val="00FC13B4"/>
    <w:rsid w:val="00FC13ED"/>
    <w:rsid w:val="00FC1482"/>
    <w:rsid w:val="00FC1559"/>
    <w:rsid w:val="00FC1607"/>
    <w:rsid w:val="00FC164B"/>
    <w:rsid w:val="00FC16E6"/>
    <w:rsid w:val="00FC187E"/>
    <w:rsid w:val="00FC18A9"/>
    <w:rsid w:val="00FC18D5"/>
    <w:rsid w:val="00FC18D8"/>
    <w:rsid w:val="00FC19CD"/>
    <w:rsid w:val="00FC1B15"/>
    <w:rsid w:val="00FC1B25"/>
    <w:rsid w:val="00FC1C9B"/>
    <w:rsid w:val="00FC1D52"/>
    <w:rsid w:val="00FC1DB6"/>
    <w:rsid w:val="00FC1E00"/>
    <w:rsid w:val="00FC1E5B"/>
    <w:rsid w:val="00FC1F82"/>
    <w:rsid w:val="00FC2000"/>
    <w:rsid w:val="00FC2002"/>
    <w:rsid w:val="00FC2117"/>
    <w:rsid w:val="00FC2190"/>
    <w:rsid w:val="00FC22F7"/>
    <w:rsid w:val="00FC22FB"/>
    <w:rsid w:val="00FC237D"/>
    <w:rsid w:val="00FC23A2"/>
    <w:rsid w:val="00FC23AA"/>
    <w:rsid w:val="00FC23C7"/>
    <w:rsid w:val="00FC248E"/>
    <w:rsid w:val="00FC24B4"/>
    <w:rsid w:val="00FC25AF"/>
    <w:rsid w:val="00FC26AD"/>
    <w:rsid w:val="00FC26C4"/>
    <w:rsid w:val="00FC26E6"/>
    <w:rsid w:val="00FC2730"/>
    <w:rsid w:val="00FC2770"/>
    <w:rsid w:val="00FC279D"/>
    <w:rsid w:val="00FC27C4"/>
    <w:rsid w:val="00FC27D3"/>
    <w:rsid w:val="00FC285D"/>
    <w:rsid w:val="00FC2918"/>
    <w:rsid w:val="00FC294C"/>
    <w:rsid w:val="00FC298C"/>
    <w:rsid w:val="00FC2A3B"/>
    <w:rsid w:val="00FC2A58"/>
    <w:rsid w:val="00FC2B45"/>
    <w:rsid w:val="00FC2BD9"/>
    <w:rsid w:val="00FC2C2F"/>
    <w:rsid w:val="00FC2C51"/>
    <w:rsid w:val="00FC2C64"/>
    <w:rsid w:val="00FC2D5F"/>
    <w:rsid w:val="00FC2E05"/>
    <w:rsid w:val="00FC2E6F"/>
    <w:rsid w:val="00FC2E7B"/>
    <w:rsid w:val="00FC2EA5"/>
    <w:rsid w:val="00FC2EAA"/>
    <w:rsid w:val="00FC2F2E"/>
    <w:rsid w:val="00FC2F8B"/>
    <w:rsid w:val="00FC304D"/>
    <w:rsid w:val="00FC30CD"/>
    <w:rsid w:val="00FC30D7"/>
    <w:rsid w:val="00FC31F8"/>
    <w:rsid w:val="00FC32BB"/>
    <w:rsid w:val="00FC32F0"/>
    <w:rsid w:val="00FC3317"/>
    <w:rsid w:val="00FC3326"/>
    <w:rsid w:val="00FC338E"/>
    <w:rsid w:val="00FC33F1"/>
    <w:rsid w:val="00FC347C"/>
    <w:rsid w:val="00FC347F"/>
    <w:rsid w:val="00FC353C"/>
    <w:rsid w:val="00FC35EA"/>
    <w:rsid w:val="00FC3608"/>
    <w:rsid w:val="00FC36B1"/>
    <w:rsid w:val="00FC379C"/>
    <w:rsid w:val="00FC3810"/>
    <w:rsid w:val="00FC3995"/>
    <w:rsid w:val="00FC3B34"/>
    <w:rsid w:val="00FC3CBF"/>
    <w:rsid w:val="00FC3CCC"/>
    <w:rsid w:val="00FC3D14"/>
    <w:rsid w:val="00FC3DB0"/>
    <w:rsid w:val="00FC3DB1"/>
    <w:rsid w:val="00FC3E01"/>
    <w:rsid w:val="00FC40AF"/>
    <w:rsid w:val="00FC413B"/>
    <w:rsid w:val="00FC4222"/>
    <w:rsid w:val="00FC4272"/>
    <w:rsid w:val="00FC42BA"/>
    <w:rsid w:val="00FC43DD"/>
    <w:rsid w:val="00FC442E"/>
    <w:rsid w:val="00FC4498"/>
    <w:rsid w:val="00FC44D3"/>
    <w:rsid w:val="00FC44F1"/>
    <w:rsid w:val="00FC4570"/>
    <w:rsid w:val="00FC45C3"/>
    <w:rsid w:val="00FC465E"/>
    <w:rsid w:val="00FC4675"/>
    <w:rsid w:val="00FC46FA"/>
    <w:rsid w:val="00FC4731"/>
    <w:rsid w:val="00FC488D"/>
    <w:rsid w:val="00FC4C39"/>
    <w:rsid w:val="00FC4C79"/>
    <w:rsid w:val="00FC4D05"/>
    <w:rsid w:val="00FC4EB9"/>
    <w:rsid w:val="00FC4EE5"/>
    <w:rsid w:val="00FC4EEC"/>
    <w:rsid w:val="00FC557B"/>
    <w:rsid w:val="00FC55AD"/>
    <w:rsid w:val="00FC5603"/>
    <w:rsid w:val="00FC560C"/>
    <w:rsid w:val="00FC562D"/>
    <w:rsid w:val="00FC56AC"/>
    <w:rsid w:val="00FC576C"/>
    <w:rsid w:val="00FC582B"/>
    <w:rsid w:val="00FC58EB"/>
    <w:rsid w:val="00FC59A7"/>
    <w:rsid w:val="00FC59B5"/>
    <w:rsid w:val="00FC5A63"/>
    <w:rsid w:val="00FC5BA6"/>
    <w:rsid w:val="00FC5C64"/>
    <w:rsid w:val="00FC5D4C"/>
    <w:rsid w:val="00FC5DB4"/>
    <w:rsid w:val="00FC5DE4"/>
    <w:rsid w:val="00FC601A"/>
    <w:rsid w:val="00FC60A8"/>
    <w:rsid w:val="00FC6135"/>
    <w:rsid w:val="00FC61FD"/>
    <w:rsid w:val="00FC6299"/>
    <w:rsid w:val="00FC6342"/>
    <w:rsid w:val="00FC6387"/>
    <w:rsid w:val="00FC63D6"/>
    <w:rsid w:val="00FC6413"/>
    <w:rsid w:val="00FC6471"/>
    <w:rsid w:val="00FC6638"/>
    <w:rsid w:val="00FC669C"/>
    <w:rsid w:val="00FC66AB"/>
    <w:rsid w:val="00FC6778"/>
    <w:rsid w:val="00FC683B"/>
    <w:rsid w:val="00FC6891"/>
    <w:rsid w:val="00FC6974"/>
    <w:rsid w:val="00FC6A81"/>
    <w:rsid w:val="00FC6BB7"/>
    <w:rsid w:val="00FC6CB0"/>
    <w:rsid w:val="00FC6DF8"/>
    <w:rsid w:val="00FC6E2D"/>
    <w:rsid w:val="00FC6F71"/>
    <w:rsid w:val="00FC6FA0"/>
    <w:rsid w:val="00FC6FC0"/>
    <w:rsid w:val="00FC7085"/>
    <w:rsid w:val="00FC7122"/>
    <w:rsid w:val="00FC7131"/>
    <w:rsid w:val="00FC717B"/>
    <w:rsid w:val="00FC736E"/>
    <w:rsid w:val="00FC738A"/>
    <w:rsid w:val="00FC73FF"/>
    <w:rsid w:val="00FC759D"/>
    <w:rsid w:val="00FC763D"/>
    <w:rsid w:val="00FC7685"/>
    <w:rsid w:val="00FC76CF"/>
    <w:rsid w:val="00FC776F"/>
    <w:rsid w:val="00FC77CA"/>
    <w:rsid w:val="00FC785F"/>
    <w:rsid w:val="00FC7885"/>
    <w:rsid w:val="00FC7950"/>
    <w:rsid w:val="00FC7968"/>
    <w:rsid w:val="00FC79BC"/>
    <w:rsid w:val="00FC7A09"/>
    <w:rsid w:val="00FC7A50"/>
    <w:rsid w:val="00FC7A9C"/>
    <w:rsid w:val="00FC7AF4"/>
    <w:rsid w:val="00FC7B03"/>
    <w:rsid w:val="00FC7B50"/>
    <w:rsid w:val="00FC7B51"/>
    <w:rsid w:val="00FC7EDA"/>
    <w:rsid w:val="00FD0242"/>
    <w:rsid w:val="00FD02F0"/>
    <w:rsid w:val="00FD02F9"/>
    <w:rsid w:val="00FD03A6"/>
    <w:rsid w:val="00FD0443"/>
    <w:rsid w:val="00FD05D3"/>
    <w:rsid w:val="00FD0731"/>
    <w:rsid w:val="00FD079F"/>
    <w:rsid w:val="00FD083C"/>
    <w:rsid w:val="00FD087D"/>
    <w:rsid w:val="00FD08A2"/>
    <w:rsid w:val="00FD098A"/>
    <w:rsid w:val="00FD098F"/>
    <w:rsid w:val="00FD0A99"/>
    <w:rsid w:val="00FD0B0B"/>
    <w:rsid w:val="00FD0B28"/>
    <w:rsid w:val="00FD0BBD"/>
    <w:rsid w:val="00FD0D4C"/>
    <w:rsid w:val="00FD0DD7"/>
    <w:rsid w:val="00FD0E43"/>
    <w:rsid w:val="00FD0F9B"/>
    <w:rsid w:val="00FD104E"/>
    <w:rsid w:val="00FD1060"/>
    <w:rsid w:val="00FD1122"/>
    <w:rsid w:val="00FD114E"/>
    <w:rsid w:val="00FD1193"/>
    <w:rsid w:val="00FD1256"/>
    <w:rsid w:val="00FD127E"/>
    <w:rsid w:val="00FD1286"/>
    <w:rsid w:val="00FD1353"/>
    <w:rsid w:val="00FD1417"/>
    <w:rsid w:val="00FD1438"/>
    <w:rsid w:val="00FD145C"/>
    <w:rsid w:val="00FD1592"/>
    <w:rsid w:val="00FD15F9"/>
    <w:rsid w:val="00FD173F"/>
    <w:rsid w:val="00FD17A1"/>
    <w:rsid w:val="00FD17BA"/>
    <w:rsid w:val="00FD18B9"/>
    <w:rsid w:val="00FD18D8"/>
    <w:rsid w:val="00FD18DD"/>
    <w:rsid w:val="00FD1A37"/>
    <w:rsid w:val="00FD1A5F"/>
    <w:rsid w:val="00FD1AD3"/>
    <w:rsid w:val="00FD1B55"/>
    <w:rsid w:val="00FD1B88"/>
    <w:rsid w:val="00FD1C0E"/>
    <w:rsid w:val="00FD1CD7"/>
    <w:rsid w:val="00FD1D67"/>
    <w:rsid w:val="00FD1DD6"/>
    <w:rsid w:val="00FD1E18"/>
    <w:rsid w:val="00FD1E6A"/>
    <w:rsid w:val="00FD1EBC"/>
    <w:rsid w:val="00FD1F36"/>
    <w:rsid w:val="00FD2049"/>
    <w:rsid w:val="00FD20CB"/>
    <w:rsid w:val="00FD2129"/>
    <w:rsid w:val="00FD2201"/>
    <w:rsid w:val="00FD229B"/>
    <w:rsid w:val="00FD22F8"/>
    <w:rsid w:val="00FD237C"/>
    <w:rsid w:val="00FD248F"/>
    <w:rsid w:val="00FD24F9"/>
    <w:rsid w:val="00FD25E4"/>
    <w:rsid w:val="00FD26D9"/>
    <w:rsid w:val="00FD26F5"/>
    <w:rsid w:val="00FD2849"/>
    <w:rsid w:val="00FD2869"/>
    <w:rsid w:val="00FD28CE"/>
    <w:rsid w:val="00FD2915"/>
    <w:rsid w:val="00FD29EE"/>
    <w:rsid w:val="00FD29FA"/>
    <w:rsid w:val="00FD2A21"/>
    <w:rsid w:val="00FD2AE6"/>
    <w:rsid w:val="00FD2B14"/>
    <w:rsid w:val="00FD2BCE"/>
    <w:rsid w:val="00FD2C44"/>
    <w:rsid w:val="00FD2C9D"/>
    <w:rsid w:val="00FD2CE0"/>
    <w:rsid w:val="00FD2E2F"/>
    <w:rsid w:val="00FD2E58"/>
    <w:rsid w:val="00FD2F34"/>
    <w:rsid w:val="00FD2F71"/>
    <w:rsid w:val="00FD2F74"/>
    <w:rsid w:val="00FD2FAA"/>
    <w:rsid w:val="00FD2FCF"/>
    <w:rsid w:val="00FD319B"/>
    <w:rsid w:val="00FD31A0"/>
    <w:rsid w:val="00FD3270"/>
    <w:rsid w:val="00FD3284"/>
    <w:rsid w:val="00FD332E"/>
    <w:rsid w:val="00FD341B"/>
    <w:rsid w:val="00FD34DF"/>
    <w:rsid w:val="00FD34E9"/>
    <w:rsid w:val="00FD358D"/>
    <w:rsid w:val="00FD35E3"/>
    <w:rsid w:val="00FD375B"/>
    <w:rsid w:val="00FD37EC"/>
    <w:rsid w:val="00FD3A1A"/>
    <w:rsid w:val="00FD3A78"/>
    <w:rsid w:val="00FD3B63"/>
    <w:rsid w:val="00FD3B94"/>
    <w:rsid w:val="00FD3D1C"/>
    <w:rsid w:val="00FD3D23"/>
    <w:rsid w:val="00FD3DE5"/>
    <w:rsid w:val="00FD3EBA"/>
    <w:rsid w:val="00FD3EE7"/>
    <w:rsid w:val="00FD40DD"/>
    <w:rsid w:val="00FD4268"/>
    <w:rsid w:val="00FD4278"/>
    <w:rsid w:val="00FD42B7"/>
    <w:rsid w:val="00FD435C"/>
    <w:rsid w:val="00FD43A2"/>
    <w:rsid w:val="00FD43B3"/>
    <w:rsid w:val="00FD4536"/>
    <w:rsid w:val="00FD457C"/>
    <w:rsid w:val="00FD4633"/>
    <w:rsid w:val="00FD4733"/>
    <w:rsid w:val="00FD4738"/>
    <w:rsid w:val="00FD4751"/>
    <w:rsid w:val="00FD47D4"/>
    <w:rsid w:val="00FD4890"/>
    <w:rsid w:val="00FD4924"/>
    <w:rsid w:val="00FD4A2C"/>
    <w:rsid w:val="00FD4A96"/>
    <w:rsid w:val="00FD4B2F"/>
    <w:rsid w:val="00FD4C17"/>
    <w:rsid w:val="00FD4C19"/>
    <w:rsid w:val="00FD4C7C"/>
    <w:rsid w:val="00FD4C93"/>
    <w:rsid w:val="00FD4D12"/>
    <w:rsid w:val="00FD4FAE"/>
    <w:rsid w:val="00FD5136"/>
    <w:rsid w:val="00FD516A"/>
    <w:rsid w:val="00FD5197"/>
    <w:rsid w:val="00FD5205"/>
    <w:rsid w:val="00FD5341"/>
    <w:rsid w:val="00FD53FF"/>
    <w:rsid w:val="00FD5561"/>
    <w:rsid w:val="00FD55AC"/>
    <w:rsid w:val="00FD5682"/>
    <w:rsid w:val="00FD57C7"/>
    <w:rsid w:val="00FD5965"/>
    <w:rsid w:val="00FD59CD"/>
    <w:rsid w:val="00FD5B40"/>
    <w:rsid w:val="00FD5C79"/>
    <w:rsid w:val="00FD5D11"/>
    <w:rsid w:val="00FD5D13"/>
    <w:rsid w:val="00FD5D6E"/>
    <w:rsid w:val="00FD5E09"/>
    <w:rsid w:val="00FD5E6F"/>
    <w:rsid w:val="00FD5F64"/>
    <w:rsid w:val="00FD5F80"/>
    <w:rsid w:val="00FD5FDD"/>
    <w:rsid w:val="00FD5FE4"/>
    <w:rsid w:val="00FD6295"/>
    <w:rsid w:val="00FD62C1"/>
    <w:rsid w:val="00FD64A0"/>
    <w:rsid w:val="00FD65EA"/>
    <w:rsid w:val="00FD664F"/>
    <w:rsid w:val="00FD6651"/>
    <w:rsid w:val="00FD6678"/>
    <w:rsid w:val="00FD6706"/>
    <w:rsid w:val="00FD68FA"/>
    <w:rsid w:val="00FD696E"/>
    <w:rsid w:val="00FD6A05"/>
    <w:rsid w:val="00FD6AD0"/>
    <w:rsid w:val="00FD6B5E"/>
    <w:rsid w:val="00FD6BB5"/>
    <w:rsid w:val="00FD6BBA"/>
    <w:rsid w:val="00FD6D1D"/>
    <w:rsid w:val="00FD6D2B"/>
    <w:rsid w:val="00FD6DB5"/>
    <w:rsid w:val="00FD6E18"/>
    <w:rsid w:val="00FD6F06"/>
    <w:rsid w:val="00FD71A7"/>
    <w:rsid w:val="00FD72C6"/>
    <w:rsid w:val="00FD72CF"/>
    <w:rsid w:val="00FD7390"/>
    <w:rsid w:val="00FD73EB"/>
    <w:rsid w:val="00FD7490"/>
    <w:rsid w:val="00FD7519"/>
    <w:rsid w:val="00FD764C"/>
    <w:rsid w:val="00FD7689"/>
    <w:rsid w:val="00FD773A"/>
    <w:rsid w:val="00FD78C3"/>
    <w:rsid w:val="00FD79D2"/>
    <w:rsid w:val="00FD79F4"/>
    <w:rsid w:val="00FD7C15"/>
    <w:rsid w:val="00FD7C85"/>
    <w:rsid w:val="00FD7CB3"/>
    <w:rsid w:val="00FD7D44"/>
    <w:rsid w:val="00FD7E7A"/>
    <w:rsid w:val="00FD7F02"/>
    <w:rsid w:val="00FE00F7"/>
    <w:rsid w:val="00FE0382"/>
    <w:rsid w:val="00FE03AD"/>
    <w:rsid w:val="00FE0584"/>
    <w:rsid w:val="00FE0595"/>
    <w:rsid w:val="00FE06DF"/>
    <w:rsid w:val="00FE0770"/>
    <w:rsid w:val="00FE089F"/>
    <w:rsid w:val="00FE08CC"/>
    <w:rsid w:val="00FE0A90"/>
    <w:rsid w:val="00FE0B6C"/>
    <w:rsid w:val="00FE0C27"/>
    <w:rsid w:val="00FE0C49"/>
    <w:rsid w:val="00FE0CAD"/>
    <w:rsid w:val="00FE0D72"/>
    <w:rsid w:val="00FE0E9B"/>
    <w:rsid w:val="00FE0EA0"/>
    <w:rsid w:val="00FE0F07"/>
    <w:rsid w:val="00FE0F34"/>
    <w:rsid w:val="00FE0FD0"/>
    <w:rsid w:val="00FE100F"/>
    <w:rsid w:val="00FE1118"/>
    <w:rsid w:val="00FE1150"/>
    <w:rsid w:val="00FE115F"/>
    <w:rsid w:val="00FE11CF"/>
    <w:rsid w:val="00FE11D9"/>
    <w:rsid w:val="00FE1233"/>
    <w:rsid w:val="00FE1250"/>
    <w:rsid w:val="00FE12C5"/>
    <w:rsid w:val="00FE1343"/>
    <w:rsid w:val="00FE13C9"/>
    <w:rsid w:val="00FE146C"/>
    <w:rsid w:val="00FE14DD"/>
    <w:rsid w:val="00FE1631"/>
    <w:rsid w:val="00FE16A7"/>
    <w:rsid w:val="00FE1744"/>
    <w:rsid w:val="00FE1971"/>
    <w:rsid w:val="00FE1AB0"/>
    <w:rsid w:val="00FE1B8D"/>
    <w:rsid w:val="00FE1BE7"/>
    <w:rsid w:val="00FE1C10"/>
    <w:rsid w:val="00FE1CBE"/>
    <w:rsid w:val="00FE1DF4"/>
    <w:rsid w:val="00FE1E4E"/>
    <w:rsid w:val="00FE1EFE"/>
    <w:rsid w:val="00FE1FCC"/>
    <w:rsid w:val="00FE212C"/>
    <w:rsid w:val="00FE215A"/>
    <w:rsid w:val="00FE21C1"/>
    <w:rsid w:val="00FE223C"/>
    <w:rsid w:val="00FE224E"/>
    <w:rsid w:val="00FE2346"/>
    <w:rsid w:val="00FE239F"/>
    <w:rsid w:val="00FE24EF"/>
    <w:rsid w:val="00FE253B"/>
    <w:rsid w:val="00FE2550"/>
    <w:rsid w:val="00FE263C"/>
    <w:rsid w:val="00FE2666"/>
    <w:rsid w:val="00FE271C"/>
    <w:rsid w:val="00FE27BB"/>
    <w:rsid w:val="00FE2893"/>
    <w:rsid w:val="00FE28C8"/>
    <w:rsid w:val="00FE299B"/>
    <w:rsid w:val="00FE2A7A"/>
    <w:rsid w:val="00FE2BD5"/>
    <w:rsid w:val="00FE2C51"/>
    <w:rsid w:val="00FE2CA4"/>
    <w:rsid w:val="00FE2CEB"/>
    <w:rsid w:val="00FE2D1D"/>
    <w:rsid w:val="00FE2DB9"/>
    <w:rsid w:val="00FE2E45"/>
    <w:rsid w:val="00FE2E82"/>
    <w:rsid w:val="00FE2F04"/>
    <w:rsid w:val="00FE303F"/>
    <w:rsid w:val="00FE310D"/>
    <w:rsid w:val="00FE3111"/>
    <w:rsid w:val="00FE3297"/>
    <w:rsid w:val="00FE32E6"/>
    <w:rsid w:val="00FE3327"/>
    <w:rsid w:val="00FE346C"/>
    <w:rsid w:val="00FE347A"/>
    <w:rsid w:val="00FE34F1"/>
    <w:rsid w:val="00FE3539"/>
    <w:rsid w:val="00FE3629"/>
    <w:rsid w:val="00FE36EB"/>
    <w:rsid w:val="00FE36EE"/>
    <w:rsid w:val="00FE37E0"/>
    <w:rsid w:val="00FE37E5"/>
    <w:rsid w:val="00FE3936"/>
    <w:rsid w:val="00FE393A"/>
    <w:rsid w:val="00FE3BD7"/>
    <w:rsid w:val="00FE3BFC"/>
    <w:rsid w:val="00FE3CF2"/>
    <w:rsid w:val="00FE3D2F"/>
    <w:rsid w:val="00FE3D8E"/>
    <w:rsid w:val="00FE3DFB"/>
    <w:rsid w:val="00FE3E06"/>
    <w:rsid w:val="00FE3EED"/>
    <w:rsid w:val="00FE3EF9"/>
    <w:rsid w:val="00FE3F99"/>
    <w:rsid w:val="00FE3FC7"/>
    <w:rsid w:val="00FE4053"/>
    <w:rsid w:val="00FE4097"/>
    <w:rsid w:val="00FE40E5"/>
    <w:rsid w:val="00FE4125"/>
    <w:rsid w:val="00FE41F5"/>
    <w:rsid w:val="00FE4276"/>
    <w:rsid w:val="00FE42B2"/>
    <w:rsid w:val="00FE4352"/>
    <w:rsid w:val="00FE436C"/>
    <w:rsid w:val="00FE44D8"/>
    <w:rsid w:val="00FE4564"/>
    <w:rsid w:val="00FE46B2"/>
    <w:rsid w:val="00FE4739"/>
    <w:rsid w:val="00FE4849"/>
    <w:rsid w:val="00FE489E"/>
    <w:rsid w:val="00FE491C"/>
    <w:rsid w:val="00FE4973"/>
    <w:rsid w:val="00FE49DD"/>
    <w:rsid w:val="00FE4AA2"/>
    <w:rsid w:val="00FE4D93"/>
    <w:rsid w:val="00FE4D97"/>
    <w:rsid w:val="00FE4DB2"/>
    <w:rsid w:val="00FE4DBF"/>
    <w:rsid w:val="00FE4EED"/>
    <w:rsid w:val="00FE4F0A"/>
    <w:rsid w:val="00FE4FA7"/>
    <w:rsid w:val="00FE4FD8"/>
    <w:rsid w:val="00FE5049"/>
    <w:rsid w:val="00FE50AF"/>
    <w:rsid w:val="00FE50B3"/>
    <w:rsid w:val="00FE50BE"/>
    <w:rsid w:val="00FE5129"/>
    <w:rsid w:val="00FE5189"/>
    <w:rsid w:val="00FE528B"/>
    <w:rsid w:val="00FE52B1"/>
    <w:rsid w:val="00FE52F3"/>
    <w:rsid w:val="00FE533F"/>
    <w:rsid w:val="00FE53BC"/>
    <w:rsid w:val="00FE53EE"/>
    <w:rsid w:val="00FE5416"/>
    <w:rsid w:val="00FE541E"/>
    <w:rsid w:val="00FE5433"/>
    <w:rsid w:val="00FE546E"/>
    <w:rsid w:val="00FE5487"/>
    <w:rsid w:val="00FE54E0"/>
    <w:rsid w:val="00FE54F3"/>
    <w:rsid w:val="00FE563B"/>
    <w:rsid w:val="00FE567C"/>
    <w:rsid w:val="00FE5705"/>
    <w:rsid w:val="00FE575D"/>
    <w:rsid w:val="00FE5781"/>
    <w:rsid w:val="00FE5796"/>
    <w:rsid w:val="00FE58F2"/>
    <w:rsid w:val="00FE5908"/>
    <w:rsid w:val="00FE590A"/>
    <w:rsid w:val="00FE5973"/>
    <w:rsid w:val="00FE5A2A"/>
    <w:rsid w:val="00FE5A7B"/>
    <w:rsid w:val="00FE5ADE"/>
    <w:rsid w:val="00FE5B58"/>
    <w:rsid w:val="00FE5C70"/>
    <w:rsid w:val="00FE5C82"/>
    <w:rsid w:val="00FE5D41"/>
    <w:rsid w:val="00FE5E3C"/>
    <w:rsid w:val="00FE5E64"/>
    <w:rsid w:val="00FE5F84"/>
    <w:rsid w:val="00FE5FDC"/>
    <w:rsid w:val="00FE6024"/>
    <w:rsid w:val="00FE603D"/>
    <w:rsid w:val="00FE6118"/>
    <w:rsid w:val="00FE612E"/>
    <w:rsid w:val="00FE6143"/>
    <w:rsid w:val="00FE61C7"/>
    <w:rsid w:val="00FE6272"/>
    <w:rsid w:val="00FE62FF"/>
    <w:rsid w:val="00FE6324"/>
    <w:rsid w:val="00FE6483"/>
    <w:rsid w:val="00FE64E2"/>
    <w:rsid w:val="00FE64FA"/>
    <w:rsid w:val="00FE6548"/>
    <w:rsid w:val="00FE666F"/>
    <w:rsid w:val="00FE67B6"/>
    <w:rsid w:val="00FE6808"/>
    <w:rsid w:val="00FE681D"/>
    <w:rsid w:val="00FE68FE"/>
    <w:rsid w:val="00FE698B"/>
    <w:rsid w:val="00FE6A57"/>
    <w:rsid w:val="00FE6A5C"/>
    <w:rsid w:val="00FE6AC6"/>
    <w:rsid w:val="00FE6AE9"/>
    <w:rsid w:val="00FE6B9B"/>
    <w:rsid w:val="00FE6BE7"/>
    <w:rsid w:val="00FE6C4C"/>
    <w:rsid w:val="00FE6DDD"/>
    <w:rsid w:val="00FE6E4C"/>
    <w:rsid w:val="00FE70EB"/>
    <w:rsid w:val="00FE714C"/>
    <w:rsid w:val="00FE71B6"/>
    <w:rsid w:val="00FE7212"/>
    <w:rsid w:val="00FE726B"/>
    <w:rsid w:val="00FE73AC"/>
    <w:rsid w:val="00FE73D8"/>
    <w:rsid w:val="00FE747C"/>
    <w:rsid w:val="00FE74DF"/>
    <w:rsid w:val="00FE74E3"/>
    <w:rsid w:val="00FE75D4"/>
    <w:rsid w:val="00FE7611"/>
    <w:rsid w:val="00FE77BA"/>
    <w:rsid w:val="00FE787A"/>
    <w:rsid w:val="00FE7AE9"/>
    <w:rsid w:val="00FE7B69"/>
    <w:rsid w:val="00FE7C82"/>
    <w:rsid w:val="00FE7C9B"/>
    <w:rsid w:val="00FE7CBC"/>
    <w:rsid w:val="00FE7CE3"/>
    <w:rsid w:val="00FE7CEA"/>
    <w:rsid w:val="00FE7D52"/>
    <w:rsid w:val="00FE7D7E"/>
    <w:rsid w:val="00FE7DF1"/>
    <w:rsid w:val="00FE7E19"/>
    <w:rsid w:val="00FE7ED1"/>
    <w:rsid w:val="00FE7F2C"/>
    <w:rsid w:val="00FE7F67"/>
    <w:rsid w:val="00FE7FFC"/>
    <w:rsid w:val="00FF00E8"/>
    <w:rsid w:val="00FF0160"/>
    <w:rsid w:val="00FF022B"/>
    <w:rsid w:val="00FF022F"/>
    <w:rsid w:val="00FF0415"/>
    <w:rsid w:val="00FF04E7"/>
    <w:rsid w:val="00FF05D4"/>
    <w:rsid w:val="00FF05D6"/>
    <w:rsid w:val="00FF0630"/>
    <w:rsid w:val="00FF06A8"/>
    <w:rsid w:val="00FF0723"/>
    <w:rsid w:val="00FF08A0"/>
    <w:rsid w:val="00FF0930"/>
    <w:rsid w:val="00FF09B9"/>
    <w:rsid w:val="00FF0B64"/>
    <w:rsid w:val="00FF0C56"/>
    <w:rsid w:val="00FF0C71"/>
    <w:rsid w:val="00FF0C81"/>
    <w:rsid w:val="00FF0D90"/>
    <w:rsid w:val="00FF0DBD"/>
    <w:rsid w:val="00FF0E08"/>
    <w:rsid w:val="00FF0E16"/>
    <w:rsid w:val="00FF0E2C"/>
    <w:rsid w:val="00FF0E9D"/>
    <w:rsid w:val="00FF0ED4"/>
    <w:rsid w:val="00FF0F00"/>
    <w:rsid w:val="00FF10BE"/>
    <w:rsid w:val="00FF1179"/>
    <w:rsid w:val="00FF1366"/>
    <w:rsid w:val="00FF138F"/>
    <w:rsid w:val="00FF13D2"/>
    <w:rsid w:val="00FF15C2"/>
    <w:rsid w:val="00FF165A"/>
    <w:rsid w:val="00FF177B"/>
    <w:rsid w:val="00FF178A"/>
    <w:rsid w:val="00FF17DB"/>
    <w:rsid w:val="00FF182B"/>
    <w:rsid w:val="00FF183F"/>
    <w:rsid w:val="00FF1872"/>
    <w:rsid w:val="00FF1985"/>
    <w:rsid w:val="00FF1991"/>
    <w:rsid w:val="00FF1A79"/>
    <w:rsid w:val="00FF1A90"/>
    <w:rsid w:val="00FF1B05"/>
    <w:rsid w:val="00FF1B68"/>
    <w:rsid w:val="00FF1C54"/>
    <w:rsid w:val="00FF1E50"/>
    <w:rsid w:val="00FF1EB2"/>
    <w:rsid w:val="00FF1EB9"/>
    <w:rsid w:val="00FF1ECA"/>
    <w:rsid w:val="00FF1F37"/>
    <w:rsid w:val="00FF2026"/>
    <w:rsid w:val="00FF2100"/>
    <w:rsid w:val="00FF21F5"/>
    <w:rsid w:val="00FF223B"/>
    <w:rsid w:val="00FF22BC"/>
    <w:rsid w:val="00FF2314"/>
    <w:rsid w:val="00FF23CF"/>
    <w:rsid w:val="00FF2528"/>
    <w:rsid w:val="00FF25F7"/>
    <w:rsid w:val="00FF2697"/>
    <w:rsid w:val="00FF2710"/>
    <w:rsid w:val="00FF274D"/>
    <w:rsid w:val="00FF2774"/>
    <w:rsid w:val="00FF27D6"/>
    <w:rsid w:val="00FF2AB0"/>
    <w:rsid w:val="00FF2B4C"/>
    <w:rsid w:val="00FF2BFC"/>
    <w:rsid w:val="00FF2C0B"/>
    <w:rsid w:val="00FF2CF3"/>
    <w:rsid w:val="00FF2E5D"/>
    <w:rsid w:val="00FF2FD0"/>
    <w:rsid w:val="00FF306B"/>
    <w:rsid w:val="00FF3092"/>
    <w:rsid w:val="00FF30D5"/>
    <w:rsid w:val="00FF30F3"/>
    <w:rsid w:val="00FF31FA"/>
    <w:rsid w:val="00FF3255"/>
    <w:rsid w:val="00FF3277"/>
    <w:rsid w:val="00FF32D6"/>
    <w:rsid w:val="00FF345A"/>
    <w:rsid w:val="00FF348E"/>
    <w:rsid w:val="00FF351A"/>
    <w:rsid w:val="00FF355E"/>
    <w:rsid w:val="00FF35C5"/>
    <w:rsid w:val="00FF35FE"/>
    <w:rsid w:val="00FF3813"/>
    <w:rsid w:val="00FF3A07"/>
    <w:rsid w:val="00FF3C35"/>
    <w:rsid w:val="00FF3D35"/>
    <w:rsid w:val="00FF3D38"/>
    <w:rsid w:val="00FF3D3D"/>
    <w:rsid w:val="00FF3DFD"/>
    <w:rsid w:val="00FF3EC0"/>
    <w:rsid w:val="00FF3EF2"/>
    <w:rsid w:val="00FF3FEA"/>
    <w:rsid w:val="00FF402F"/>
    <w:rsid w:val="00FF4049"/>
    <w:rsid w:val="00FF4069"/>
    <w:rsid w:val="00FF409B"/>
    <w:rsid w:val="00FF420D"/>
    <w:rsid w:val="00FF425F"/>
    <w:rsid w:val="00FF42AF"/>
    <w:rsid w:val="00FF433F"/>
    <w:rsid w:val="00FF4400"/>
    <w:rsid w:val="00FF4521"/>
    <w:rsid w:val="00FF4665"/>
    <w:rsid w:val="00FF46E0"/>
    <w:rsid w:val="00FF4838"/>
    <w:rsid w:val="00FF4986"/>
    <w:rsid w:val="00FF49A1"/>
    <w:rsid w:val="00FF4AAA"/>
    <w:rsid w:val="00FF4AAE"/>
    <w:rsid w:val="00FF4BB1"/>
    <w:rsid w:val="00FF4C68"/>
    <w:rsid w:val="00FF4D0D"/>
    <w:rsid w:val="00FF4E12"/>
    <w:rsid w:val="00FF5030"/>
    <w:rsid w:val="00FF5091"/>
    <w:rsid w:val="00FF50AC"/>
    <w:rsid w:val="00FF50D5"/>
    <w:rsid w:val="00FF5120"/>
    <w:rsid w:val="00FF52BD"/>
    <w:rsid w:val="00FF53AE"/>
    <w:rsid w:val="00FF540B"/>
    <w:rsid w:val="00FF5418"/>
    <w:rsid w:val="00FF549A"/>
    <w:rsid w:val="00FF54F4"/>
    <w:rsid w:val="00FF553B"/>
    <w:rsid w:val="00FF5687"/>
    <w:rsid w:val="00FF57F9"/>
    <w:rsid w:val="00FF58F3"/>
    <w:rsid w:val="00FF59AD"/>
    <w:rsid w:val="00FF5B94"/>
    <w:rsid w:val="00FF5C8D"/>
    <w:rsid w:val="00FF5C99"/>
    <w:rsid w:val="00FF5D4B"/>
    <w:rsid w:val="00FF5DAC"/>
    <w:rsid w:val="00FF5DCB"/>
    <w:rsid w:val="00FF5EBD"/>
    <w:rsid w:val="00FF61D0"/>
    <w:rsid w:val="00FF626D"/>
    <w:rsid w:val="00FF62A9"/>
    <w:rsid w:val="00FF63D6"/>
    <w:rsid w:val="00FF64E9"/>
    <w:rsid w:val="00FF6566"/>
    <w:rsid w:val="00FF66A9"/>
    <w:rsid w:val="00FF67B6"/>
    <w:rsid w:val="00FF67D6"/>
    <w:rsid w:val="00FF684C"/>
    <w:rsid w:val="00FF6A1D"/>
    <w:rsid w:val="00FF6A6F"/>
    <w:rsid w:val="00FF6B28"/>
    <w:rsid w:val="00FF6D4A"/>
    <w:rsid w:val="00FF6E15"/>
    <w:rsid w:val="00FF6FAA"/>
    <w:rsid w:val="00FF708B"/>
    <w:rsid w:val="00FF70F3"/>
    <w:rsid w:val="00FF71DE"/>
    <w:rsid w:val="00FF7224"/>
    <w:rsid w:val="00FF73C9"/>
    <w:rsid w:val="00FF7483"/>
    <w:rsid w:val="00FF7485"/>
    <w:rsid w:val="00FF74B3"/>
    <w:rsid w:val="00FF74D1"/>
    <w:rsid w:val="00FF75BD"/>
    <w:rsid w:val="00FF77D6"/>
    <w:rsid w:val="00FF7824"/>
    <w:rsid w:val="00FF788C"/>
    <w:rsid w:val="00FF79F8"/>
    <w:rsid w:val="00FF7A32"/>
    <w:rsid w:val="00FF7A3B"/>
    <w:rsid w:val="00FF7A53"/>
    <w:rsid w:val="00FF7D62"/>
    <w:rsid w:val="00FF7E4F"/>
    <w:rsid w:val="00FF7E63"/>
    <w:rsid w:val="00FF7E8E"/>
    <w:rsid w:val="00FF7F97"/>
    <w:rsid w:val="0103BA13"/>
    <w:rsid w:val="01090E1B"/>
    <w:rsid w:val="0128C96A"/>
    <w:rsid w:val="01299F57"/>
    <w:rsid w:val="01336AF6"/>
    <w:rsid w:val="0145B2E6"/>
    <w:rsid w:val="0153160D"/>
    <w:rsid w:val="016B1D1D"/>
    <w:rsid w:val="016F1B9D"/>
    <w:rsid w:val="016F67DA"/>
    <w:rsid w:val="017C1475"/>
    <w:rsid w:val="017D89C3"/>
    <w:rsid w:val="0186772A"/>
    <w:rsid w:val="0191C45B"/>
    <w:rsid w:val="019A563C"/>
    <w:rsid w:val="019F9BF7"/>
    <w:rsid w:val="01A03E47"/>
    <w:rsid w:val="01A10C64"/>
    <w:rsid w:val="01A84001"/>
    <w:rsid w:val="01AB11D7"/>
    <w:rsid w:val="01AE761B"/>
    <w:rsid w:val="01B6AEF5"/>
    <w:rsid w:val="01C38DBD"/>
    <w:rsid w:val="01E002CC"/>
    <w:rsid w:val="01F4237E"/>
    <w:rsid w:val="01FCA794"/>
    <w:rsid w:val="0203BB7B"/>
    <w:rsid w:val="02043F8B"/>
    <w:rsid w:val="020FB261"/>
    <w:rsid w:val="021DFBE4"/>
    <w:rsid w:val="021FDCE6"/>
    <w:rsid w:val="02359456"/>
    <w:rsid w:val="02418268"/>
    <w:rsid w:val="02528BEB"/>
    <w:rsid w:val="0253877B"/>
    <w:rsid w:val="02579363"/>
    <w:rsid w:val="0259B581"/>
    <w:rsid w:val="02756320"/>
    <w:rsid w:val="027C5FB9"/>
    <w:rsid w:val="028B5405"/>
    <w:rsid w:val="028EDAE9"/>
    <w:rsid w:val="0293DF21"/>
    <w:rsid w:val="029497E3"/>
    <w:rsid w:val="02A8236A"/>
    <w:rsid w:val="02AD5456"/>
    <w:rsid w:val="02AF89B9"/>
    <w:rsid w:val="02B58A91"/>
    <w:rsid w:val="02B98C98"/>
    <w:rsid w:val="02BB206F"/>
    <w:rsid w:val="02BEC837"/>
    <w:rsid w:val="02D1F4B0"/>
    <w:rsid w:val="02E2AE9B"/>
    <w:rsid w:val="02E2EE7D"/>
    <w:rsid w:val="02E4124C"/>
    <w:rsid w:val="02FD27EF"/>
    <w:rsid w:val="030D5728"/>
    <w:rsid w:val="032E2D6B"/>
    <w:rsid w:val="0330892E"/>
    <w:rsid w:val="033734A3"/>
    <w:rsid w:val="0342AA8D"/>
    <w:rsid w:val="035F192F"/>
    <w:rsid w:val="03611FD7"/>
    <w:rsid w:val="036C8138"/>
    <w:rsid w:val="037A1299"/>
    <w:rsid w:val="038011E7"/>
    <w:rsid w:val="03847E43"/>
    <w:rsid w:val="0391BD3D"/>
    <w:rsid w:val="0397C8BA"/>
    <w:rsid w:val="03985D28"/>
    <w:rsid w:val="039C88C3"/>
    <w:rsid w:val="039CDED1"/>
    <w:rsid w:val="03A8D23E"/>
    <w:rsid w:val="03AA6CDB"/>
    <w:rsid w:val="03ACEC60"/>
    <w:rsid w:val="03B5F2BE"/>
    <w:rsid w:val="03F8A2F1"/>
    <w:rsid w:val="0402A8D7"/>
    <w:rsid w:val="0403E7BD"/>
    <w:rsid w:val="04070807"/>
    <w:rsid w:val="04138D0E"/>
    <w:rsid w:val="0422499B"/>
    <w:rsid w:val="04245A91"/>
    <w:rsid w:val="0457D99F"/>
    <w:rsid w:val="0481B653"/>
    <w:rsid w:val="0485FE32"/>
    <w:rsid w:val="048C4C20"/>
    <w:rsid w:val="04A79E16"/>
    <w:rsid w:val="04BC8E46"/>
    <w:rsid w:val="04E8B4EC"/>
    <w:rsid w:val="04E91E2F"/>
    <w:rsid w:val="04EEC1D9"/>
    <w:rsid w:val="04F06367"/>
    <w:rsid w:val="04F71D7D"/>
    <w:rsid w:val="04F8A93E"/>
    <w:rsid w:val="04F91B15"/>
    <w:rsid w:val="05026CEA"/>
    <w:rsid w:val="0502A9D4"/>
    <w:rsid w:val="0503B5DE"/>
    <w:rsid w:val="0514CB8D"/>
    <w:rsid w:val="052D8D82"/>
    <w:rsid w:val="054861BD"/>
    <w:rsid w:val="057D8AD5"/>
    <w:rsid w:val="058052CE"/>
    <w:rsid w:val="059B87AA"/>
    <w:rsid w:val="05AF64B3"/>
    <w:rsid w:val="05C10DBF"/>
    <w:rsid w:val="05C6DB4B"/>
    <w:rsid w:val="05CDC197"/>
    <w:rsid w:val="05CF659A"/>
    <w:rsid w:val="05DDE5FC"/>
    <w:rsid w:val="05EA23CA"/>
    <w:rsid w:val="05EFC999"/>
    <w:rsid w:val="05EFFC67"/>
    <w:rsid w:val="05F07748"/>
    <w:rsid w:val="0619A49C"/>
    <w:rsid w:val="061A227F"/>
    <w:rsid w:val="061E52F7"/>
    <w:rsid w:val="062F3C27"/>
    <w:rsid w:val="0631280D"/>
    <w:rsid w:val="065276D0"/>
    <w:rsid w:val="065958AC"/>
    <w:rsid w:val="065ACD24"/>
    <w:rsid w:val="065B9710"/>
    <w:rsid w:val="06753510"/>
    <w:rsid w:val="068543CC"/>
    <w:rsid w:val="0688434A"/>
    <w:rsid w:val="069AC9BB"/>
    <w:rsid w:val="06A34FC1"/>
    <w:rsid w:val="06AE05BA"/>
    <w:rsid w:val="06B3A494"/>
    <w:rsid w:val="06C12FC9"/>
    <w:rsid w:val="06C2095F"/>
    <w:rsid w:val="06C71933"/>
    <w:rsid w:val="06CDE31B"/>
    <w:rsid w:val="06E40DAF"/>
    <w:rsid w:val="06F1C4F7"/>
    <w:rsid w:val="06FD5FDA"/>
    <w:rsid w:val="07078765"/>
    <w:rsid w:val="071F4E9C"/>
    <w:rsid w:val="071F6C67"/>
    <w:rsid w:val="07231854"/>
    <w:rsid w:val="072EFC0C"/>
    <w:rsid w:val="073E0A24"/>
    <w:rsid w:val="074F0BF2"/>
    <w:rsid w:val="07512B12"/>
    <w:rsid w:val="075E3BF6"/>
    <w:rsid w:val="07631185"/>
    <w:rsid w:val="07730C78"/>
    <w:rsid w:val="077331E7"/>
    <w:rsid w:val="0775BE93"/>
    <w:rsid w:val="077CEECC"/>
    <w:rsid w:val="078D77DB"/>
    <w:rsid w:val="079A88FA"/>
    <w:rsid w:val="07A0181F"/>
    <w:rsid w:val="07A524C6"/>
    <w:rsid w:val="07AEDF2A"/>
    <w:rsid w:val="07B96A7F"/>
    <w:rsid w:val="07D83438"/>
    <w:rsid w:val="07F9A577"/>
    <w:rsid w:val="07F9E88F"/>
    <w:rsid w:val="08062C32"/>
    <w:rsid w:val="0807CE7E"/>
    <w:rsid w:val="0814DA4B"/>
    <w:rsid w:val="081943D4"/>
    <w:rsid w:val="081D3245"/>
    <w:rsid w:val="081F453D"/>
    <w:rsid w:val="082287FC"/>
    <w:rsid w:val="08238F81"/>
    <w:rsid w:val="08400DE4"/>
    <w:rsid w:val="08582723"/>
    <w:rsid w:val="08594AC9"/>
    <w:rsid w:val="085C5F42"/>
    <w:rsid w:val="085EDD93"/>
    <w:rsid w:val="086702A7"/>
    <w:rsid w:val="087019A1"/>
    <w:rsid w:val="087451C2"/>
    <w:rsid w:val="087BE30D"/>
    <w:rsid w:val="0893159E"/>
    <w:rsid w:val="0896A690"/>
    <w:rsid w:val="08A1950C"/>
    <w:rsid w:val="08A413D6"/>
    <w:rsid w:val="08A62F17"/>
    <w:rsid w:val="08AF380B"/>
    <w:rsid w:val="08B98D53"/>
    <w:rsid w:val="08BE0FBD"/>
    <w:rsid w:val="08C73AB2"/>
    <w:rsid w:val="08D7A764"/>
    <w:rsid w:val="08D85D26"/>
    <w:rsid w:val="08DB905B"/>
    <w:rsid w:val="08DEC9C5"/>
    <w:rsid w:val="08ECF83B"/>
    <w:rsid w:val="08EE0C88"/>
    <w:rsid w:val="08F1D118"/>
    <w:rsid w:val="08F85AB6"/>
    <w:rsid w:val="09189E92"/>
    <w:rsid w:val="0920623D"/>
    <w:rsid w:val="09218932"/>
    <w:rsid w:val="0928FA6B"/>
    <w:rsid w:val="092D5523"/>
    <w:rsid w:val="093964A4"/>
    <w:rsid w:val="09414493"/>
    <w:rsid w:val="094369F4"/>
    <w:rsid w:val="094487FC"/>
    <w:rsid w:val="0960EAC0"/>
    <w:rsid w:val="09637680"/>
    <w:rsid w:val="097AEFF6"/>
    <w:rsid w:val="097DB622"/>
    <w:rsid w:val="098D1CAE"/>
    <w:rsid w:val="09A42098"/>
    <w:rsid w:val="09A7DB98"/>
    <w:rsid w:val="09A7E3F7"/>
    <w:rsid w:val="09B0D780"/>
    <w:rsid w:val="09B1624F"/>
    <w:rsid w:val="09B86BB4"/>
    <w:rsid w:val="09BA9BB1"/>
    <w:rsid w:val="09BB0E56"/>
    <w:rsid w:val="09CCCA81"/>
    <w:rsid w:val="09EECB15"/>
    <w:rsid w:val="09F6E3CF"/>
    <w:rsid w:val="0A00D6EB"/>
    <w:rsid w:val="0A03A2DE"/>
    <w:rsid w:val="0A35F543"/>
    <w:rsid w:val="0A4196BF"/>
    <w:rsid w:val="0A862B8C"/>
    <w:rsid w:val="0A96C4E2"/>
    <w:rsid w:val="0A9B9F56"/>
    <w:rsid w:val="0A9BE5FF"/>
    <w:rsid w:val="0A9D1681"/>
    <w:rsid w:val="0AA30EB9"/>
    <w:rsid w:val="0AAB0EEA"/>
    <w:rsid w:val="0AAF1EAC"/>
    <w:rsid w:val="0ABD4F77"/>
    <w:rsid w:val="0ABFB95D"/>
    <w:rsid w:val="0AC2C464"/>
    <w:rsid w:val="0AC8B520"/>
    <w:rsid w:val="0ACAC87F"/>
    <w:rsid w:val="0AE14C8B"/>
    <w:rsid w:val="0AE79174"/>
    <w:rsid w:val="0AEEB2A3"/>
    <w:rsid w:val="0B01414B"/>
    <w:rsid w:val="0B075141"/>
    <w:rsid w:val="0B12A034"/>
    <w:rsid w:val="0B1778DB"/>
    <w:rsid w:val="0B1D2BBD"/>
    <w:rsid w:val="0B1DB7B4"/>
    <w:rsid w:val="0B23587D"/>
    <w:rsid w:val="0B239B37"/>
    <w:rsid w:val="0B38F989"/>
    <w:rsid w:val="0B41FDDB"/>
    <w:rsid w:val="0B425FCE"/>
    <w:rsid w:val="0B484543"/>
    <w:rsid w:val="0B59EF99"/>
    <w:rsid w:val="0B6B0BD2"/>
    <w:rsid w:val="0B75B3D7"/>
    <w:rsid w:val="0B8B61F5"/>
    <w:rsid w:val="0B8EDC7F"/>
    <w:rsid w:val="0B917D58"/>
    <w:rsid w:val="0B976DBB"/>
    <w:rsid w:val="0BA14982"/>
    <w:rsid w:val="0BA87C7D"/>
    <w:rsid w:val="0BB267CA"/>
    <w:rsid w:val="0BC61ABF"/>
    <w:rsid w:val="0BC6D1D6"/>
    <w:rsid w:val="0BC81BB0"/>
    <w:rsid w:val="0BCBFB24"/>
    <w:rsid w:val="0BCF50B0"/>
    <w:rsid w:val="0BDD2B29"/>
    <w:rsid w:val="0BE8A4D7"/>
    <w:rsid w:val="0C2D3225"/>
    <w:rsid w:val="0C493F75"/>
    <w:rsid w:val="0C538CD0"/>
    <w:rsid w:val="0C5487C6"/>
    <w:rsid w:val="0C641839"/>
    <w:rsid w:val="0C7463A1"/>
    <w:rsid w:val="0C7C0F90"/>
    <w:rsid w:val="0C7ECB2C"/>
    <w:rsid w:val="0C80246A"/>
    <w:rsid w:val="0C91CAD3"/>
    <w:rsid w:val="0C92F8AE"/>
    <w:rsid w:val="0CAED34C"/>
    <w:rsid w:val="0CB160A6"/>
    <w:rsid w:val="0CC29D79"/>
    <w:rsid w:val="0CE49D4F"/>
    <w:rsid w:val="0D00CDEA"/>
    <w:rsid w:val="0D15FCDF"/>
    <w:rsid w:val="0D1EAADF"/>
    <w:rsid w:val="0D22C01E"/>
    <w:rsid w:val="0D2505FB"/>
    <w:rsid w:val="0D29F7AD"/>
    <w:rsid w:val="0D2B38E8"/>
    <w:rsid w:val="0D3D96F1"/>
    <w:rsid w:val="0D44C866"/>
    <w:rsid w:val="0D457292"/>
    <w:rsid w:val="0D61ECCD"/>
    <w:rsid w:val="0D7054F0"/>
    <w:rsid w:val="0D765C10"/>
    <w:rsid w:val="0D7E0E60"/>
    <w:rsid w:val="0D8CCE81"/>
    <w:rsid w:val="0D8FB040"/>
    <w:rsid w:val="0DA216B7"/>
    <w:rsid w:val="0DB6D5D0"/>
    <w:rsid w:val="0DBE91ED"/>
    <w:rsid w:val="0DC49AD9"/>
    <w:rsid w:val="0DCC1FC2"/>
    <w:rsid w:val="0DCFDEFE"/>
    <w:rsid w:val="0DD4D9A5"/>
    <w:rsid w:val="0DDB52ED"/>
    <w:rsid w:val="0DF6B423"/>
    <w:rsid w:val="0DF8A64E"/>
    <w:rsid w:val="0DFB1131"/>
    <w:rsid w:val="0E19BF5C"/>
    <w:rsid w:val="0E2D3EB4"/>
    <w:rsid w:val="0E31FFAD"/>
    <w:rsid w:val="0E3C7061"/>
    <w:rsid w:val="0E579001"/>
    <w:rsid w:val="0E57BB76"/>
    <w:rsid w:val="0E5AC581"/>
    <w:rsid w:val="0E7481C7"/>
    <w:rsid w:val="0E849C85"/>
    <w:rsid w:val="0E882287"/>
    <w:rsid w:val="0E89A0D7"/>
    <w:rsid w:val="0E8CF54F"/>
    <w:rsid w:val="0EB21F2E"/>
    <w:rsid w:val="0EB23B7F"/>
    <w:rsid w:val="0EC15E22"/>
    <w:rsid w:val="0EC2615E"/>
    <w:rsid w:val="0EC68F72"/>
    <w:rsid w:val="0ED9C927"/>
    <w:rsid w:val="0EEEE578"/>
    <w:rsid w:val="0EF893B7"/>
    <w:rsid w:val="0EFA2A2D"/>
    <w:rsid w:val="0EFF0A58"/>
    <w:rsid w:val="0F132D1C"/>
    <w:rsid w:val="0F19986B"/>
    <w:rsid w:val="0F3135E8"/>
    <w:rsid w:val="0F330438"/>
    <w:rsid w:val="0F35FFA8"/>
    <w:rsid w:val="0F421B32"/>
    <w:rsid w:val="0F4A1E36"/>
    <w:rsid w:val="0F4ACA85"/>
    <w:rsid w:val="0F6429F7"/>
    <w:rsid w:val="0F6F5828"/>
    <w:rsid w:val="0F73170B"/>
    <w:rsid w:val="0F7D46B6"/>
    <w:rsid w:val="0F9472F9"/>
    <w:rsid w:val="0FA58F81"/>
    <w:rsid w:val="0FB10B28"/>
    <w:rsid w:val="0FD77890"/>
    <w:rsid w:val="0FD7D71B"/>
    <w:rsid w:val="0FFA3B5B"/>
    <w:rsid w:val="10007654"/>
    <w:rsid w:val="100087F5"/>
    <w:rsid w:val="101AD9EB"/>
    <w:rsid w:val="10249A3D"/>
    <w:rsid w:val="1027F606"/>
    <w:rsid w:val="10292340"/>
    <w:rsid w:val="10292A2F"/>
    <w:rsid w:val="105122C1"/>
    <w:rsid w:val="1052ADA7"/>
    <w:rsid w:val="10536F83"/>
    <w:rsid w:val="1059B073"/>
    <w:rsid w:val="10605B86"/>
    <w:rsid w:val="106AF976"/>
    <w:rsid w:val="107D8BAE"/>
    <w:rsid w:val="1086F681"/>
    <w:rsid w:val="108D8F9E"/>
    <w:rsid w:val="10C9E270"/>
    <w:rsid w:val="10E0B79D"/>
    <w:rsid w:val="10FED70F"/>
    <w:rsid w:val="11583517"/>
    <w:rsid w:val="11598E30"/>
    <w:rsid w:val="115BA6EE"/>
    <w:rsid w:val="1162B75A"/>
    <w:rsid w:val="11709ECE"/>
    <w:rsid w:val="1173959B"/>
    <w:rsid w:val="11794382"/>
    <w:rsid w:val="118C7322"/>
    <w:rsid w:val="118EDEFB"/>
    <w:rsid w:val="1193E894"/>
    <w:rsid w:val="119EE218"/>
    <w:rsid w:val="11AEA5A5"/>
    <w:rsid w:val="11CEE248"/>
    <w:rsid w:val="11D33603"/>
    <w:rsid w:val="11D5273C"/>
    <w:rsid w:val="11DA212A"/>
    <w:rsid w:val="11DA41B4"/>
    <w:rsid w:val="11DCD794"/>
    <w:rsid w:val="11E753DE"/>
    <w:rsid w:val="11F9599A"/>
    <w:rsid w:val="12009288"/>
    <w:rsid w:val="1201FC3B"/>
    <w:rsid w:val="120733C8"/>
    <w:rsid w:val="121EB443"/>
    <w:rsid w:val="12318064"/>
    <w:rsid w:val="1234055F"/>
    <w:rsid w:val="1239D097"/>
    <w:rsid w:val="124A60A9"/>
    <w:rsid w:val="124D73B1"/>
    <w:rsid w:val="127291B7"/>
    <w:rsid w:val="12781C31"/>
    <w:rsid w:val="127D2315"/>
    <w:rsid w:val="12A04D26"/>
    <w:rsid w:val="12B1B355"/>
    <w:rsid w:val="12B2558B"/>
    <w:rsid w:val="12B8C6B2"/>
    <w:rsid w:val="12D96F8C"/>
    <w:rsid w:val="12E9518D"/>
    <w:rsid w:val="12F80438"/>
    <w:rsid w:val="12FB0AD6"/>
    <w:rsid w:val="130B024F"/>
    <w:rsid w:val="130E26A2"/>
    <w:rsid w:val="1310F27C"/>
    <w:rsid w:val="1322BF9C"/>
    <w:rsid w:val="132AD1B7"/>
    <w:rsid w:val="13393E74"/>
    <w:rsid w:val="13511AFF"/>
    <w:rsid w:val="13583C49"/>
    <w:rsid w:val="13709C82"/>
    <w:rsid w:val="1372CCA6"/>
    <w:rsid w:val="1376DEA1"/>
    <w:rsid w:val="13814282"/>
    <w:rsid w:val="1382A8F2"/>
    <w:rsid w:val="1391343B"/>
    <w:rsid w:val="13973A82"/>
    <w:rsid w:val="1397AAC3"/>
    <w:rsid w:val="139E51F6"/>
    <w:rsid w:val="13A163E6"/>
    <w:rsid w:val="13ABF974"/>
    <w:rsid w:val="13ACE328"/>
    <w:rsid w:val="13B1A6BD"/>
    <w:rsid w:val="13BA8353"/>
    <w:rsid w:val="13BCF18A"/>
    <w:rsid w:val="13D3859E"/>
    <w:rsid w:val="13EF6ACB"/>
    <w:rsid w:val="13F5FA76"/>
    <w:rsid w:val="1414A56F"/>
    <w:rsid w:val="1417BBEF"/>
    <w:rsid w:val="14187FB6"/>
    <w:rsid w:val="142416E6"/>
    <w:rsid w:val="1428301B"/>
    <w:rsid w:val="142BA05C"/>
    <w:rsid w:val="1435D5D5"/>
    <w:rsid w:val="14395A71"/>
    <w:rsid w:val="14402905"/>
    <w:rsid w:val="14443523"/>
    <w:rsid w:val="1445C0B5"/>
    <w:rsid w:val="144635CE"/>
    <w:rsid w:val="1449DF74"/>
    <w:rsid w:val="14577E69"/>
    <w:rsid w:val="14607580"/>
    <w:rsid w:val="146F015D"/>
    <w:rsid w:val="146FB3FE"/>
    <w:rsid w:val="147281DC"/>
    <w:rsid w:val="14734276"/>
    <w:rsid w:val="147B29A6"/>
    <w:rsid w:val="14801C9C"/>
    <w:rsid w:val="1489E4D7"/>
    <w:rsid w:val="149A173E"/>
    <w:rsid w:val="149A2BB6"/>
    <w:rsid w:val="14A91816"/>
    <w:rsid w:val="14B1E927"/>
    <w:rsid w:val="14BE3C60"/>
    <w:rsid w:val="14BEF116"/>
    <w:rsid w:val="14F471F8"/>
    <w:rsid w:val="14F64AF2"/>
    <w:rsid w:val="15027BA5"/>
    <w:rsid w:val="1503B26E"/>
    <w:rsid w:val="151654EA"/>
    <w:rsid w:val="15252300"/>
    <w:rsid w:val="1525810D"/>
    <w:rsid w:val="15269095"/>
    <w:rsid w:val="153765EA"/>
    <w:rsid w:val="1542B3F9"/>
    <w:rsid w:val="154E3A43"/>
    <w:rsid w:val="15608670"/>
    <w:rsid w:val="1571855C"/>
    <w:rsid w:val="157679CD"/>
    <w:rsid w:val="158081EC"/>
    <w:rsid w:val="15848A76"/>
    <w:rsid w:val="15862451"/>
    <w:rsid w:val="1587BB81"/>
    <w:rsid w:val="159049FD"/>
    <w:rsid w:val="1590BD1F"/>
    <w:rsid w:val="15947B55"/>
    <w:rsid w:val="15971CC2"/>
    <w:rsid w:val="15989E66"/>
    <w:rsid w:val="15AEEFBA"/>
    <w:rsid w:val="15B02FCA"/>
    <w:rsid w:val="15B22C0A"/>
    <w:rsid w:val="15D0C6D3"/>
    <w:rsid w:val="15DCAC6A"/>
    <w:rsid w:val="15F184BF"/>
    <w:rsid w:val="161B8E9C"/>
    <w:rsid w:val="16286664"/>
    <w:rsid w:val="16418223"/>
    <w:rsid w:val="164C351F"/>
    <w:rsid w:val="165CA6CF"/>
    <w:rsid w:val="165FFBA0"/>
    <w:rsid w:val="166CEAF6"/>
    <w:rsid w:val="1677A43D"/>
    <w:rsid w:val="167ACE73"/>
    <w:rsid w:val="16831949"/>
    <w:rsid w:val="16A3C973"/>
    <w:rsid w:val="16B1BB92"/>
    <w:rsid w:val="16BED811"/>
    <w:rsid w:val="16C84922"/>
    <w:rsid w:val="16D9D43C"/>
    <w:rsid w:val="16E24FC6"/>
    <w:rsid w:val="16EFA0D6"/>
    <w:rsid w:val="16F251E6"/>
    <w:rsid w:val="16FBBE01"/>
    <w:rsid w:val="170A50D1"/>
    <w:rsid w:val="17129811"/>
    <w:rsid w:val="1713E776"/>
    <w:rsid w:val="17169EAB"/>
    <w:rsid w:val="17207E92"/>
    <w:rsid w:val="1720A6D5"/>
    <w:rsid w:val="17234EF0"/>
    <w:rsid w:val="1727E8C7"/>
    <w:rsid w:val="1743AB41"/>
    <w:rsid w:val="1744FF3B"/>
    <w:rsid w:val="1753B331"/>
    <w:rsid w:val="1755BD94"/>
    <w:rsid w:val="1769C650"/>
    <w:rsid w:val="1781660B"/>
    <w:rsid w:val="1791720A"/>
    <w:rsid w:val="1792E274"/>
    <w:rsid w:val="1797BF80"/>
    <w:rsid w:val="17A2CC26"/>
    <w:rsid w:val="17AEEB03"/>
    <w:rsid w:val="17AF07EA"/>
    <w:rsid w:val="17B0CC81"/>
    <w:rsid w:val="17B1552F"/>
    <w:rsid w:val="17CD0C83"/>
    <w:rsid w:val="17D87218"/>
    <w:rsid w:val="17DC5BDB"/>
    <w:rsid w:val="17E1A99A"/>
    <w:rsid w:val="17E45B73"/>
    <w:rsid w:val="17EA10CE"/>
    <w:rsid w:val="17EF06DE"/>
    <w:rsid w:val="17F6BB6D"/>
    <w:rsid w:val="17FA9796"/>
    <w:rsid w:val="1802165C"/>
    <w:rsid w:val="1805CFEA"/>
    <w:rsid w:val="180C8652"/>
    <w:rsid w:val="181A28FA"/>
    <w:rsid w:val="181AFDB2"/>
    <w:rsid w:val="184780B0"/>
    <w:rsid w:val="184A35EB"/>
    <w:rsid w:val="184A5F4B"/>
    <w:rsid w:val="184C6B6C"/>
    <w:rsid w:val="1856DC70"/>
    <w:rsid w:val="18588DAA"/>
    <w:rsid w:val="1861F63E"/>
    <w:rsid w:val="187472F0"/>
    <w:rsid w:val="187A4C3A"/>
    <w:rsid w:val="18827FDB"/>
    <w:rsid w:val="188B99A5"/>
    <w:rsid w:val="188EB563"/>
    <w:rsid w:val="18914B94"/>
    <w:rsid w:val="18AF7E0E"/>
    <w:rsid w:val="18CEDF9C"/>
    <w:rsid w:val="18DC265E"/>
    <w:rsid w:val="18EA8392"/>
    <w:rsid w:val="18EF26D3"/>
    <w:rsid w:val="18FEDCF1"/>
    <w:rsid w:val="19091128"/>
    <w:rsid w:val="191789D8"/>
    <w:rsid w:val="1934D0FF"/>
    <w:rsid w:val="19519517"/>
    <w:rsid w:val="1961D90B"/>
    <w:rsid w:val="1971AD6C"/>
    <w:rsid w:val="1975049D"/>
    <w:rsid w:val="197B29FD"/>
    <w:rsid w:val="198082D9"/>
    <w:rsid w:val="198289BC"/>
    <w:rsid w:val="199B58FC"/>
    <w:rsid w:val="19A8D167"/>
    <w:rsid w:val="19B22870"/>
    <w:rsid w:val="19BE12A3"/>
    <w:rsid w:val="19C98466"/>
    <w:rsid w:val="19CE6435"/>
    <w:rsid w:val="19FCC148"/>
    <w:rsid w:val="19FD12FC"/>
    <w:rsid w:val="1A135675"/>
    <w:rsid w:val="1A1545C1"/>
    <w:rsid w:val="1A1AA7ED"/>
    <w:rsid w:val="1A1E9105"/>
    <w:rsid w:val="1A309463"/>
    <w:rsid w:val="1A38E589"/>
    <w:rsid w:val="1A3A9B26"/>
    <w:rsid w:val="1A3C3EDA"/>
    <w:rsid w:val="1A3E5DB4"/>
    <w:rsid w:val="1A3FDDFD"/>
    <w:rsid w:val="1A477C45"/>
    <w:rsid w:val="1A5397FE"/>
    <w:rsid w:val="1A65AC10"/>
    <w:rsid w:val="1A6ADE41"/>
    <w:rsid w:val="1A6FBDF2"/>
    <w:rsid w:val="1A724F18"/>
    <w:rsid w:val="1A78A6B7"/>
    <w:rsid w:val="1A978104"/>
    <w:rsid w:val="1AAAF039"/>
    <w:rsid w:val="1ABC5DDA"/>
    <w:rsid w:val="1ABFC57F"/>
    <w:rsid w:val="1AC07495"/>
    <w:rsid w:val="1AC16C0D"/>
    <w:rsid w:val="1AC8718A"/>
    <w:rsid w:val="1ADCF2D0"/>
    <w:rsid w:val="1AF0DCAD"/>
    <w:rsid w:val="1AF67E3A"/>
    <w:rsid w:val="1AF75B2B"/>
    <w:rsid w:val="1AF80018"/>
    <w:rsid w:val="1AFC2271"/>
    <w:rsid w:val="1B000196"/>
    <w:rsid w:val="1B01302D"/>
    <w:rsid w:val="1B0B5DAB"/>
    <w:rsid w:val="1B1B3EAA"/>
    <w:rsid w:val="1B1B8BF7"/>
    <w:rsid w:val="1B239F37"/>
    <w:rsid w:val="1B2B9F21"/>
    <w:rsid w:val="1B2C0027"/>
    <w:rsid w:val="1B35CC49"/>
    <w:rsid w:val="1B4D7F60"/>
    <w:rsid w:val="1B586C43"/>
    <w:rsid w:val="1B697419"/>
    <w:rsid w:val="1B6C5ECB"/>
    <w:rsid w:val="1B7749F5"/>
    <w:rsid w:val="1B8A36DD"/>
    <w:rsid w:val="1BA0F4B8"/>
    <w:rsid w:val="1BA1634D"/>
    <w:rsid w:val="1BA8652B"/>
    <w:rsid w:val="1BB05941"/>
    <w:rsid w:val="1BB13763"/>
    <w:rsid w:val="1BB5E865"/>
    <w:rsid w:val="1BB65FB2"/>
    <w:rsid w:val="1BDEA7D4"/>
    <w:rsid w:val="1BE099A6"/>
    <w:rsid w:val="1BFCBC2E"/>
    <w:rsid w:val="1C00F3BD"/>
    <w:rsid w:val="1C203C71"/>
    <w:rsid w:val="1C3462F7"/>
    <w:rsid w:val="1C3EF936"/>
    <w:rsid w:val="1C3FBFD1"/>
    <w:rsid w:val="1C442F46"/>
    <w:rsid w:val="1C472313"/>
    <w:rsid w:val="1C4ADC53"/>
    <w:rsid w:val="1C4E3B49"/>
    <w:rsid w:val="1C5105DC"/>
    <w:rsid w:val="1C5B50D3"/>
    <w:rsid w:val="1C813ECB"/>
    <w:rsid w:val="1C9AB717"/>
    <w:rsid w:val="1CD0A14A"/>
    <w:rsid w:val="1CD223AB"/>
    <w:rsid w:val="1CD39986"/>
    <w:rsid w:val="1CE9C8DA"/>
    <w:rsid w:val="1CF126D9"/>
    <w:rsid w:val="1CF605CC"/>
    <w:rsid w:val="1D03F5BB"/>
    <w:rsid w:val="1D0CF216"/>
    <w:rsid w:val="1D15C065"/>
    <w:rsid w:val="1D160102"/>
    <w:rsid w:val="1D1AD794"/>
    <w:rsid w:val="1D1C3F48"/>
    <w:rsid w:val="1D2211EB"/>
    <w:rsid w:val="1D29729D"/>
    <w:rsid w:val="1D2DE6A6"/>
    <w:rsid w:val="1D34EAC3"/>
    <w:rsid w:val="1D482A62"/>
    <w:rsid w:val="1D539C56"/>
    <w:rsid w:val="1D5A63DD"/>
    <w:rsid w:val="1D5B59F4"/>
    <w:rsid w:val="1D5D6CE8"/>
    <w:rsid w:val="1D8FED23"/>
    <w:rsid w:val="1D9A35AE"/>
    <w:rsid w:val="1DA26E79"/>
    <w:rsid w:val="1DBD0871"/>
    <w:rsid w:val="1DBF6EB9"/>
    <w:rsid w:val="1DC1D5EB"/>
    <w:rsid w:val="1DDC2FC8"/>
    <w:rsid w:val="1DDD5A3F"/>
    <w:rsid w:val="1DE03368"/>
    <w:rsid w:val="1DEA3FD2"/>
    <w:rsid w:val="1DEE4DA3"/>
    <w:rsid w:val="1DEF7282"/>
    <w:rsid w:val="1E02312B"/>
    <w:rsid w:val="1E30872A"/>
    <w:rsid w:val="1E56C091"/>
    <w:rsid w:val="1E5EFE4E"/>
    <w:rsid w:val="1E60C86D"/>
    <w:rsid w:val="1E81896A"/>
    <w:rsid w:val="1E83DBC7"/>
    <w:rsid w:val="1E8EC5A3"/>
    <w:rsid w:val="1E916DCC"/>
    <w:rsid w:val="1EAFCB3D"/>
    <w:rsid w:val="1EBE3495"/>
    <w:rsid w:val="1ED3CA35"/>
    <w:rsid w:val="1EE759CD"/>
    <w:rsid w:val="1EEACD90"/>
    <w:rsid w:val="1EFB0176"/>
    <w:rsid w:val="1F1AE87F"/>
    <w:rsid w:val="1F212653"/>
    <w:rsid w:val="1F3C3B94"/>
    <w:rsid w:val="1F3F882E"/>
    <w:rsid w:val="1F45C8C0"/>
    <w:rsid w:val="1F49F470"/>
    <w:rsid w:val="1F526131"/>
    <w:rsid w:val="1F580F1A"/>
    <w:rsid w:val="1F592039"/>
    <w:rsid w:val="1F667C97"/>
    <w:rsid w:val="1F6B3EA4"/>
    <w:rsid w:val="1F74CDDC"/>
    <w:rsid w:val="1F7EF9E5"/>
    <w:rsid w:val="1F87BEF8"/>
    <w:rsid w:val="1F9C4BFB"/>
    <w:rsid w:val="1FA27CD0"/>
    <w:rsid w:val="1FAAB7F3"/>
    <w:rsid w:val="1FAB4F2D"/>
    <w:rsid w:val="1FAF99E9"/>
    <w:rsid w:val="1FB2BC81"/>
    <w:rsid w:val="1FBB16E7"/>
    <w:rsid w:val="1FBEFC1F"/>
    <w:rsid w:val="1FC0D590"/>
    <w:rsid w:val="1FC1BE1C"/>
    <w:rsid w:val="1FD0E6BB"/>
    <w:rsid w:val="1FDDDA0C"/>
    <w:rsid w:val="1FE2DCD2"/>
    <w:rsid w:val="1FF31751"/>
    <w:rsid w:val="2006A3BD"/>
    <w:rsid w:val="201462C0"/>
    <w:rsid w:val="2035178A"/>
    <w:rsid w:val="205208C8"/>
    <w:rsid w:val="207EC6C2"/>
    <w:rsid w:val="208A4F33"/>
    <w:rsid w:val="208B2501"/>
    <w:rsid w:val="208E1A12"/>
    <w:rsid w:val="2093002E"/>
    <w:rsid w:val="209511FE"/>
    <w:rsid w:val="20A6B0BE"/>
    <w:rsid w:val="20AE84C7"/>
    <w:rsid w:val="20B83802"/>
    <w:rsid w:val="20B90B01"/>
    <w:rsid w:val="20D2E37F"/>
    <w:rsid w:val="20D6B9D9"/>
    <w:rsid w:val="20D9364B"/>
    <w:rsid w:val="20DCE3D3"/>
    <w:rsid w:val="20E1E0C4"/>
    <w:rsid w:val="20E5D182"/>
    <w:rsid w:val="20FC8DED"/>
    <w:rsid w:val="2102D25F"/>
    <w:rsid w:val="2104FC91"/>
    <w:rsid w:val="210DE2BC"/>
    <w:rsid w:val="212109C5"/>
    <w:rsid w:val="2141041A"/>
    <w:rsid w:val="21468C26"/>
    <w:rsid w:val="215579EC"/>
    <w:rsid w:val="2155F963"/>
    <w:rsid w:val="215BFC6F"/>
    <w:rsid w:val="21660ABB"/>
    <w:rsid w:val="21836CEF"/>
    <w:rsid w:val="218DC74B"/>
    <w:rsid w:val="2199B53A"/>
    <w:rsid w:val="219A293C"/>
    <w:rsid w:val="219E9128"/>
    <w:rsid w:val="21C3282B"/>
    <w:rsid w:val="21C5BCA7"/>
    <w:rsid w:val="21D8C0D3"/>
    <w:rsid w:val="21E0E03B"/>
    <w:rsid w:val="21E8CF45"/>
    <w:rsid w:val="21EB1BAC"/>
    <w:rsid w:val="21EC4205"/>
    <w:rsid w:val="21F98164"/>
    <w:rsid w:val="22007CAF"/>
    <w:rsid w:val="2203B2FB"/>
    <w:rsid w:val="2204E1E3"/>
    <w:rsid w:val="2216932B"/>
    <w:rsid w:val="222C4CA8"/>
    <w:rsid w:val="2230283F"/>
    <w:rsid w:val="223B50F3"/>
    <w:rsid w:val="223C19B9"/>
    <w:rsid w:val="223D6243"/>
    <w:rsid w:val="223F9EF0"/>
    <w:rsid w:val="22499D9F"/>
    <w:rsid w:val="2257421D"/>
    <w:rsid w:val="225E532F"/>
    <w:rsid w:val="2262A1A1"/>
    <w:rsid w:val="22638CF6"/>
    <w:rsid w:val="226CD6A2"/>
    <w:rsid w:val="22770DDD"/>
    <w:rsid w:val="227D9620"/>
    <w:rsid w:val="227E78D8"/>
    <w:rsid w:val="22827104"/>
    <w:rsid w:val="228484CE"/>
    <w:rsid w:val="2290EBAA"/>
    <w:rsid w:val="22934378"/>
    <w:rsid w:val="2295C1F6"/>
    <w:rsid w:val="2297E889"/>
    <w:rsid w:val="22A33894"/>
    <w:rsid w:val="22AB192F"/>
    <w:rsid w:val="22BCFCAB"/>
    <w:rsid w:val="22BE4697"/>
    <w:rsid w:val="22C88022"/>
    <w:rsid w:val="22D47E70"/>
    <w:rsid w:val="22D53C44"/>
    <w:rsid w:val="22D77BB5"/>
    <w:rsid w:val="22F2269C"/>
    <w:rsid w:val="22F6301D"/>
    <w:rsid w:val="231B5E30"/>
    <w:rsid w:val="231BCC9B"/>
    <w:rsid w:val="232620BA"/>
    <w:rsid w:val="232E5A53"/>
    <w:rsid w:val="2333BEB5"/>
    <w:rsid w:val="233EF818"/>
    <w:rsid w:val="2340563A"/>
    <w:rsid w:val="234A9B74"/>
    <w:rsid w:val="2359D914"/>
    <w:rsid w:val="2364ABF1"/>
    <w:rsid w:val="236F722C"/>
    <w:rsid w:val="23814D5A"/>
    <w:rsid w:val="2389DB02"/>
    <w:rsid w:val="2393413F"/>
    <w:rsid w:val="23971131"/>
    <w:rsid w:val="23C14EC8"/>
    <w:rsid w:val="23D4FCBF"/>
    <w:rsid w:val="23DDFBB4"/>
    <w:rsid w:val="23E83BFA"/>
    <w:rsid w:val="23F01339"/>
    <w:rsid w:val="24000C7D"/>
    <w:rsid w:val="24145857"/>
    <w:rsid w:val="241CD616"/>
    <w:rsid w:val="242DD175"/>
    <w:rsid w:val="2435B726"/>
    <w:rsid w:val="24498A97"/>
    <w:rsid w:val="2455F402"/>
    <w:rsid w:val="2457471E"/>
    <w:rsid w:val="2458FC4D"/>
    <w:rsid w:val="245B3C34"/>
    <w:rsid w:val="246CBB87"/>
    <w:rsid w:val="2474B9FC"/>
    <w:rsid w:val="247B1C4F"/>
    <w:rsid w:val="24834DB4"/>
    <w:rsid w:val="2483C4BE"/>
    <w:rsid w:val="2488488E"/>
    <w:rsid w:val="2496675D"/>
    <w:rsid w:val="249C5CBC"/>
    <w:rsid w:val="24B0DFED"/>
    <w:rsid w:val="24B572CB"/>
    <w:rsid w:val="24BA1CE3"/>
    <w:rsid w:val="24BCBEFB"/>
    <w:rsid w:val="24BD5BA8"/>
    <w:rsid w:val="24C33137"/>
    <w:rsid w:val="24C9245D"/>
    <w:rsid w:val="24CA9402"/>
    <w:rsid w:val="24DE5DF4"/>
    <w:rsid w:val="24E06CC4"/>
    <w:rsid w:val="24E1C0F0"/>
    <w:rsid w:val="24E49DCF"/>
    <w:rsid w:val="24E52F51"/>
    <w:rsid w:val="24E6CDE1"/>
    <w:rsid w:val="24FC8C6C"/>
    <w:rsid w:val="25177AA6"/>
    <w:rsid w:val="2526E55D"/>
    <w:rsid w:val="2530BAFD"/>
    <w:rsid w:val="253881AD"/>
    <w:rsid w:val="253A643F"/>
    <w:rsid w:val="25510D29"/>
    <w:rsid w:val="255DA5AE"/>
    <w:rsid w:val="256480BB"/>
    <w:rsid w:val="25700034"/>
    <w:rsid w:val="2585A509"/>
    <w:rsid w:val="258BDA24"/>
    <w:rsid w:val="2598E7FA"/>
    <w:rsid w:val="25A58CC3"/>
    <w:rsid w:val="25AAF041"/>
    <w:rsid w:val="25BA9D2E"/>
    <w:rsid w:val="25BBF99D"/>
    <w:rsid w:val="25CA91A5"/>
    <w:rsid w:val="25D4B67A"/>
    <w:rsid w:val="25FD1ACD"/>
    <w:rsid w:val="25FE4F18"/>
    <w:rsid w:val="260F8754"/>
    <w:rsid w:val="2612D3EB"/>
    <w:rsid w:val="261755CE"/>
    <w:rsid w:val="2631005E"/>
    <w:rsid w:val="2645D483"/>
    <w:rsid w:val="264F92D1"/>
    <w:rsid w:val="2654D3B8"/>
    <w:rsid w:val="26551966"/>
    <w:rsid w:val="26555040"/>
    <w:rsid w:val="26606E46"/>
    <w:rsid w:val="2664CABB"/>
    <w:rsid w:val="26674E34"/>
    <w:rsid w:val="266E12E3"/>
    <w:rsid w:val="2674EC06"/>
    <w:rsid w:val="26822CD6"/>
    <w:rsid w:val="26904471"/>
    <w:rsid w:val="2694319F"/>
    <w:rsid w:val="26976231"/>
    <w:rsid w:val="26A4AE13"/>
    <w:rsid w:val="26A6499C"/>
    <w:rsid w:val="26B7986B"/>
    <w:rsid w:val="26BF6DF8"/>
    <w:rsid w:val="26CCA0CA"/>
    <w:rsid w:val="26FAFA8C"/>
    <w:rsid w:val="26FC5DA2"/>
    <w:rsid w:val="26FFB173"/>
    <w:rsid w:val="2707A0D8"/>
    <w:rsid w:val="270B447B"/>
    <w:rsid w:val="271550D4"/>
    <w:rsid w:val="2717A889"/>
    <w:rsid w:val="271BD3C0"/>
    <w:rsid w:val="271EE11E"/>
    <w:rsid w:val="273EC592"/>
    <w:rsid w:val="274351F7"/>
    <w:rsid w:val="2750E8F0"/>
    <w:rsid w:val="275B6C67"/>
    <w:rsid w:val="2762759C"/>
    <w:rsid w:val="276A3E86"/>
    <w:rsid w:val="2796557B"/>
    <w:rsid w:val="27B6D6D3"/>
    <w:rsid w:val="27C3B526"/>
    <w:rsid w:val="27CD6FDD"/>
    <w:rsid w:val="27CFECA0"/>
    <w:rsid w:val="27D269E4"/>
    <w:rsid w:val="27EBEDBA"/>
    <w:rsid w:val="27F44036"/>
    <w:rsid w:val="27F5B09C"/>
    <w:rsid w:val="27FC4B4A"/>
    <w:rsid w:val="2808DFFD"/>
    <w:rsid w:val="281F3D1F"/>
    <w:rsid w:val="282C5E3D"/>
    <w:rsid w:val="28440E63"/>
    <w:rsid w:val="2869B8D4"/>
    <w:rsid w:val="2883A4FF"/>
    <w:rsid w:val="288D3040"/>
    <w:rsid w:val="28A97D8A"/>
    <w:rsid w:val="28B05201"/>
    <w:rsid w:val="28C0A061"/>
    <w:rsid w:val="28C0F70C"/>
    <w:rsid w:val="28C47EA1"/>
    <w:rsid w:val="28C956A6"/>
    <w:rsid w:val="28CDF507"/>
    <w:rsid w:val="28DF4888"/>
    <w:rsid w:val="28FC2578"/>
    <w:rsid w:val="28FE3AEC"/>
    <w:rsid w:val="28FE601B"/>
    <w:rsid w:val="290B9784"/>
    <w:rsid w:val="291108E1"/>
    <w:rsid w:val="2915F3AC"/>
    <w:rsid w:val="29210DA5"/>
    <w:rsid w:val="292B6C55"/>
    <w:rsid w:val="29321DA7"/>
    <w:rsid w:val="293D19B2"/>
    <w:rsid w:val="29430F78"/>
    <w:rsid w:val="294639EC"/>
    <w:rsid w:val="294B07B0"/>
    <w:rsid w:val="29559053"/>
    <w:rsid w:val="2961FD4F"/>
    <w:rsid w:val="2987337A"/>
    <w:rsid w:val="298E070D"/>
    <w:rsid w:val="29952708"/>
    <w:rsid w:val="299D2B55"/>
    <w:rsid w:val="29AA85CA"/>
    <w:rsid w:val="29AB8512"/>
    <w:rsid w:val="29B1AC3D"/>
    <w:rsid w:val="29C2EBC8"/>
    <w:rsid w:val="29C34E81"/>
    <w:rsid w:val="29CDA17C"/>
    <w:rsid w:val="29D6D762"/>
    <w:rsid w:val="29F603AA"/>
    <w:rsid w:val="29FFCA52"/>
    <w:rsid w:val="2A01262E"/>
    <w:rsid w:val="2A033A9F"/>
    <w:rsid w:val="2A040E34"/>
    <w:rsid w:val="2A157FB6"/>
    <w:rsid w:val="2A1E7FCB"/>
    <w:rsid w:val="2A215493"/>
    <w:rsid w:val="2A2DFD91"/>
    <w:rsid w:val="2A2F4A16"/>
    <w:rsid w:val="2A2FDEAC"/>
    <w:rsid w:val="2A35C6B0"/>
    <w:rsid w:val="2A38200C"/>
    <w:rsid w:val="2A45F71D"/>
    <w:rsid w:val="2A47784A"/>
    <w:rsid w:val="2A48F050"/>
    <w:rsid w:val="2A4FF70B"/>
    <w:rsid w:val="2A71B722"/>
    <w:rsid w:val="2A7F6D1E"/>
    <w:rsid w:val="2A8111AD"/>
    <w:rsid w:val="2A9ACDF4"/>
    <w:rsid w:val="2A9FF502"/>
    <w:rsid w:val="2AB69BEB"/>
    <w:rsid w:val="2ABEDC9C"/>
    <w:rsid w:val="2AD2B472"/>
    <w:rsid w:val="2AE7EB2C"/>
    <w:rsid w:val="2AFAC576"/>
    <w:rsid w:val="2B01A776"/>
    <w:rsid w:val="2B17DA94"/>
    <w:rsid w:val="2B17E511"/>
    <w:rsid w:val="2B3A708B"/>
    <w:rsid w:val="2B40F284"/>
    <w:rsid w:val="2B4E886F"/>
    <w:rsid w:val="2B5BD579"/>
    <w:rsid w:val="2B629BEF"/>
    <w:rsid w:val="2B6B6C0B"/>
    <w:rsid w:val="2B851432"/>
    <w:rsid w:val="2B85DA61"/>
    <w:rsid w:val="2B8DE3E0"/>
    <w:rsid w:val="2B8F5F3E"/>
    <w:rsid w:val="2B9D462F"/>
    <w:rsid w:val="2B9D9676"/>
    <w:rsid w:val="2BA2018D"/>
    <w:rsid w:val="2BAA1E97"/>
    <w:rsid w:val="2BB5E9A9"/>
    <w:rsid w:val="2BB6A36C"/>
    <w:rsid w:val="2BB920C1"/>
    <w:rsid w:val="2BC25C14"/>
    <w:rsid w:val="2BC56277"/>
    <w:rsid w:val="2BF0D3D2"/>
    <w:rsid w:val="2BF10BAF"/>
    <w:rsid w:val="2BF34E79"/>
    <w:rsid w:val="2BF71E84"/>
    <w:rsid w:val="2C0972C8"/>
    <w:rsid w:val="2C0CA420"/>
    <w:rsid w:val="2C0DE522"/>
    <w:rsid w:val="2C21CB57"/>
    <w:rsid w:val="2C2237E9"/>
    <w:rsid w:val="2C310E67"/>
    <w:rsid w:val="2C36065A"/>
    <w:rsid w:val="2C3B0944"/>
    <w:rsid w:val="2C45825F"/>
    <w:rsid w:val="2C4A4185"/>
    <w:rsid w:val="2C56F4F3"/>
    <w:rsid w:val="2C571C38"/>
    <w:rsid w:val="2C5B255E"/>
    <w:rsid w:val="2C5D63A2"/>
    <w:rsid w:val="2C5D95A3"/>
    <w:rsid w:val="2C5F44D0"/>
    <w:rsid w:val="2C6DDEF1"/>
    <w:rsid w:val="2CA68111"/>
    <w:rsid w:val="2CBCF325"/>
    <w:rsid w:val="2CBD8A68"/>
    <w:rsid w:val="2CC76C6C"/>
    <w:rsid w:val="2CD48B33"/>
    <w:rsid w:val="2CE4FA7D"/>
    <w:rsid w:val="2CFBEFAE"/>
    <w:rsid w:val="2D05DA94"/>
    <w:rsid w:val="2D0A839D"/>
    <w:rsid w:val="2D109A66"/>
    <w:rsid w:val="2D109E70"/>
    <w:rsid w:val="2D127BA0"/>
    <w:rsid w:val="2D3B300F"/>
    <w:rsid w:val="2D3CDA45"/>
    <w:rsid w:val="2D474401"/>
    <w:rsid w:val="2D5C7155"/>
    <w:rsid w:val="2D63E78F"/>
    <w:rsid w:val="2D644DB3"/>
    <w:rsid w:val="2D6AEE5A"/>
    <w:rsid w:val="2D856AF8"/>
    <w:rsid w:val="2D8802A6"/>
    <w:rsid w:val="2D9A4724"/>
    <w:rsid w:val="2DB3DCF0"/>
    <w:rsid w:val="2DC4F937"/>
    <w:rsid w:val="2DCA9AAD"/>
    <w:rsid w:val="2DDADA00"/>
    <w:rsid w:val="2DE0EEC1"/>
    <w:rsid w:val="2DEC4871"/>
    <w:rsid w:val="2DEF3C95"/>
    <w:rsid w:val="2DF4D11E"/>
    <w:rsid w:val="2E080F81"/>
    <w:rsid w:val="2E0AD54D"/>
    <w:rsid w:val="2E0C1A92"/>
    <w:rsid w:val="2E13D698"/>
    <w:rsid w:val="2E1BF21F"/>
    <w:rsid w:val="2E1E434A"/>
    <w:rsid w:val="2E21DF53"/>
    <w:rsid w:val="2E2CC120"/>
    <w:rsid w:val="2E395559"/>
    <w:rsid w:val="2E4C1B2D"/>
    <w:rsid w:val="2E559535"/>
    <w:rsid w:val="2E63D04D"/>
    <w:rsid w:val="2E6F0EEC"/>
    <w:rsid w:val="2E704EA8"/>
    <w:rsid w:val="2E7078E9"/>
    <w:rsid w:val="2E809DE7"/>
    <w:rsid w:val="2E8E5D3D"/>
    <w:rsid w:val="2E8E89F6"/>
    <w:rsid w:val="2E94529E"/>
    <w:rsid w:val="2EA5D82F"/>
    <w:rsid w:val="2EAEC73B"/>
    <w:rsid w:val="2EC2474A"/>
    <w:rsid w:val="2EC3EFF8"/>
    <w:rsid w:val="2EC47CA4"/>
    <w:rsid w:val="2EC6D2F4"/>
    <w:rsid w:val="2ECE6CA7"/>
    <w:rsid w:val="2ED41B21"/>
    <w:rsid w:val="2EE0F227"/>
    <w:rsid w:val="2EE356A8"/>
    <w:rsid w:val="2EE7B2D7"/>
    <w:rsid w:val="2F372ED8"/>
    <w:rsid w:val="2F4746EA"/>
    <w:rsid w:val="2F4DC538"/>
    <w:rsid w:val="2F641553"/>
    <w:rsid w:val="2F8D97EE"/>
    <w:rsid w:val="2F93E865"/>
    <w:rsid w:val="2F966253"/>
    <w:rsid w:val="2F9C14B8"/>
    <w:rsid w:val="2FB319B5"/>
    <w:rsid w:val="2FB3A32A"/>
    <w:rsid w:val="2FC1DFAB"/>
    <w:rsid w:val="2FC4B53E"/>
    <w:rsid w:val="2FC52CF7"/>
    <w:rsid w:val="2FE4E3B5"/>
    <w:rsid w:val="2FEA73B0"/>
    <w:rsid w:val="3005D0A7"/>
    <w:rsid w:val="30182389"/>
    <w:rsid w:val="30274604"/>
    <w:rsid w:val="303052E3"/>
    <w:rsid w:val="30376C1B"/>
    <w:rsid w:val="304D5E4B"/>
    <w:rsid w:val="305A6CF5"/>
    <w:rsid w:val="30619555"/>
    <w:rsid w:val="306618E4"/>
    <w:rsid w:val="3070C4D5"/>
    <w:rsid w:val="308E478D"/>
    <w:rsid w:val="308E4EBE"/>
    <w:rsid w:val="309163E8"/>
    <w:rsid w:val="30940D7F"/>
    <w:rsid w:val="30989501"/>
    <w:rsid w:val="3099AEE3"/>
    <w:rsid w:val="30A0803B"/>
    <w:rsid w:val="30ACB686"/>
    <w:rsid w:val="30AF74BF"/>
    <w:rsid w:val="30B076E4"/>
    <w:rsid w:val="30C923DB"/>
    <w:rsid w:val="30D3E481"/>
    <w:rsid w:val="30D85042"/>
    <w:rsid w:val="30E1492C"/>
    <w:rsid w:val="30E4556A"/>
    <w:rsid w:val="3100B834"/>
    <w:rsid w:val="310193D0"/>
    <w:rsid w:val="31058AD1"/>
    <w:rsid w:val="310A3EBF"/>
    <w:rsid w:val="310B6EF6"/>
    <w:rsid w:val="310F883F"/>
    <w:rsid w:val="311555C4"/>
    <w:rsid w:val="3118A320"/>
    <w:rsid w:val="311AEA7A"/>
    <w:rsid w:val="311BAE15"/>
    <w:rsid w:val="311C6BE7"/>
    <w:rsid w:val="3120A2B1"/>
    <w:rsid w:val="3123641F"/>
    <w:rsid w:val="312B6FE3"/>
    <w:rsid w:val="3139F800"/>
    <w:rsid w:val="313F6B20"/>
    <w:rsid w:val="315CDE90"/>
    <w:rsid w:val="3162EABD"/>
    <w:rsid w:val="31726461"/>
    <w:rsid w:val="317DDB37"/>
    <w:rsid w:val="31840598"/>
    <w:rsid w:val="31841BD6"/>
    <w:rsid w:val="318A00C9"/>
    <w:rsid w:val="319A366B"/>
    <w:rsid w:val="31A2F5BC"/>
    <w:rsid w:val="31D99F14"/>
    <w:rsid w:val="31ED980A"/>
    <w:rsid w:val="3209BD5B"/>
    <w:rsid w:val="3220BB27"/>
    <w:rsid w:val="32224A1D"/>
    <w:rsid w:val="323A1503"/>
    <w:rsid w:val="32530804"/>
    <w:rsid w:val="3253DBEC"/>
    <w:rsid w:val="3256CB6F"/>
    <w:rsid w:val="3265655E"/>
    <w:rsid w:val="326DCAFC"/>
    <w:rsid w:val="327BBF31"/>
    <w:rsid w:val="328EBCDC"/>
    <w:rsid w:val="329338FF"/>
    <w:rsid w:val="3295667E"/>
    <w:rsid w:val="32ACBCC8"/>
    <w:rsid w:val="32ADF2D9"/>
    <w:rsid w:val="32B6BDF8"/>
    <w:rsid w:val="32BA56A3"/>
    <w:rsid w:val="32DF9D41"/>
    <w:rsid w:val="32E04FDF"/>
    <w:rsid w:val="32E45BD9"/>
    <w:rsid w:val="32EFEEAE"/>
    <w:rsid w:val="32F79024"/>
    <w:rsid w:val="32F9029C"/>
    <w:rsid w:val="33119C86"/>
    <w:rsid w:val="33275789"/>
    <w:rsid w:val="3329F6E6"/>
    <w:rsid w:val="332ACC78"/>
    <w:rsid w:val="33318285"/>
    <w:rsid w:val="33427D89"/>
    <w:rsid w:val="33442F14"/>
    <w:rsid w:val="3368B8D4"/>
    <w:rsid w:val="336EDF9D"/>
    <w:rsid w:val="33781705"/>
    <w:rsid w:val="3379CA1F"/>
    <w:rsid w:val="338512C8"/>
    <w:rsid w:val="3385E8B6"/>
    <w:rsid w:val="33959AF2"/>
    <w:rsid w:val="339D4827"/>
    <w:rsid w:val="33A37CDF"/>
    <w:rsid w:val="33AACA9F"/>
    <w:rsid w:val="33ACF5B3"/>
    <w:rsid w:val="33AE9389"/>
    <w:rsid w:val="33B5CFB8"/>
    <w:rsid w:val="33C43402"/>
    <w:rsid w:val="33C808D4"/>
    <w:rsid w:val="33C9A075"/>
    <w:rsid w:val="33D61C63"/>
    <w:rsid w:val="33D89833"/>
    <w:rsid w:val="33D9A3C8"/>
    <w:rsid w:val="33DB85C8"/>
    <w:rsid w:val="33DBCCEA"/>
    <w:rsid w:val="33E8224B"/>
    <w:rsid w:val="33F1735F"/>
    <w:rsid w:val="33F420C1"/>
    <w:rsid w:val="33F8E024"/>
    <w:rsid w:val="34019E11"/>
    <w:rsid w:val="34020666"/>
    <w:rsid w:val="340F6F0C"/>
    <w:rsid w:val="341336F4"/>
    <w:rsid w:val="3423AD43"/>
    <w:rsid w:val="34241B77"/>
    <w:rsid w:val="3430A158"/>
    <w:rsid w:val="3431059D"/>
    <w:rsid w:val="3433CAC8"/>
    <w:rsid w:val="343829C3"/>
    <w:rsid w:val="343D18DC"/>
    <w:rsid w:val="3443F897"/>
    <w:rsid w:val="34508472"/>
    <w:rsid w:val="3453F839"/>
    <w:rsid w:val="3454635D"/>
    <w:rsid w:val="3460F104"/>
    <w:rsid w:val="347C5F57"/>
    <w:rsid w:val="348F833E"/>
    <w:rsid w:val="3497D25E"/>
    <w:rsid w:val="34AF9EA9"/>
    <w:rsid w:val="34B144A1"/>
    <w:rsid w:val="34BB3F9F"/>
    <w:rsid w:val="34CC0881"/>
    <w:rsid w:val="34D460E1"/>
    <w:rsid w:val="3500106D"/>
    <w:rsid w:val="350FF6CB"/>
    <w:rsid w:val="3512A12F"/>
    <w:rsid w:val="3523828B"/>
    <w:rsid w:val="352C03E6"/>
    <w:rsid w:val="352DE90E"/>
    <w:rsid w:val="353BBD8E"/>
    <w:rsid w:val="355B261E"/>
    <w:rsid w:val="355CDD5E"/>
    <w:rsid w:val="3583BB7D"/>
    <w:rsid w:val="359D816B"/>
    <w:rsid w:val="35AE1D01"/>
    <w:rsid w:val="35B0C6BC"/>
    <w:rsid w:val="35C262EC"/>
    <w:rsid w:val="35EDD5C3"/>
    <w:rsid w:val="35F6ED60"/>
    <w:rsid w:val="35F850C7"/>
    <w:rsid w:val="35FBA224"/>
    <w:rsid w:val="35FFC8A1"/>
    <w:rsid w:val="3607C01E"/>
    <w:rsid w:val="360C3C0F"/>
    <w:rsid w:val="361145F0"/>
    <w:rsid w:val="3624CC1A"/>
    <w:rsid w:val="364FCE21"/>
    <w:rsid w:val="36535BE1"/>
    <w:rsid w:val="3658EFDD"/>
    <w:rsid w:val="365B9539"/>
    <w:rsid w:val="3662C32B"/>
    <w:rsid w:val="36697B2A"/>
    <w:rsid w:val="3676FCCD"/>
    <w:rsid w:val="3690749D"/>
    <w:rsid w:val="36987C72"/>
    <w:rsid w:val="369DCCF7"/>
    <w:rsid w:val="36A4EA21"/>
    <w:rsid w:val="36A98D85"/>
    <w:rsid w:val="36ADB0B4"/>
    <w:rsid w:val="36B6CD3D"/>
    <w:rsid w:val="36B7E8C9"/>
    <w:rsid w:val="36B969CB"/>
    <w:rsid w:val="36C487CC"/>
    <w:rsid w:val="36C62F24"/>
    <w:rsid w:val="36DB5D9A"/>
    <w:rsid w:val="36DFDC5E"/>
    <w:rsid w:val="36EE77B4"/>
    <w:rsid w:val="36F244FE"/>
    <w:rsid w:val="36FBD7FE"/>
    <w:rsid w:val="37063670"/>
    <w:rsid w:val="370F461C"/>
    <w:rsid w:val="370F50A4"/>
    <w:rsid w:val="373E9B2C"/>
    <w:rsid w:val="373EE585"/>
    <w:rsid w:val="374921DD"/>
    <w:rsid w:val="37531579"/>
    <w:rsid w:val="37588EA7"/>
    <w:rsid w:val="376EAA87"/>
    <w:rsid w:val="37772AB6"/>
    <w:rsid w:val="377E826C"/>
    <w:rsid w:val="3781434A"/>
    <w:rsid w:val="378678C3"/>
    <w:rsid w:val="378BC7B1"/>
    <w:rsid w:val="37911809"/>
    <w:rsid w:val="37C3BE43"/>
    <w:rsid w:val="37C74124"/>
    <w:rsid w:val="37CCD809"/>
    <w:rsid w:val="37DAD70F"/>
    <w:rsid w:val="37DB15DC"/>
    <w:rsid w:val="37DBF33D"/>
    <w:rsid w:val="37E04C57"/>
    <w:rsid w:val="37E66687"/>
    <w:rsid w:val="37E76289"/>
    <w:rsid w:val="37E931A9"/>
    <w:rsid w:val="37EB6D82"/>
    <w:rsid w:val="37F4AFBF"/>
    <w:rsid w:val="380043B6"/>
    <w:rsid w:val="380C006A"/>
    <w:rsid w:val="382AD6F3"/>
    <w:rsid w:val="382CE919"/>
    <w:rsid w:val="3830BB95"/>
    <w:rsid w:val="38336F4E"/>
    <w:rsid w:val="383D2883"/>
    <w:rsid w:val="384B2974"/>
    <w:rsid w:val="385F4CA1"/>
    <w:rsid w:val="38680342"/>
    <w:rsid w:val="386989E9"/>
    <w:rsid w:val="386B8CCE"/>
    <w:rsid w:val="38717D7D"/>
    <w:rsid w:val="3872EB56"/>
    <w:rsid w:val="3874C85F"/>
    <w:rsid w:val="3887ABBF"/>
    <w:rsid w:val="388B019D"/>
    <w:rsid w:val="38A59B9D"/>
    <w:rsid w:val="38B6FF66"/>
    <w:rsid w:val="38BAFC9F"/>
    <w:rsid w:val="38CA3B6E"/>
    <w:rsid w:val="38DF6630"/>
    <w:rsid w:val="38E26012"/>
    <w:rsid w:val="38E487CD"/>
    <w:rsid w:val="38E90D57"/>
    <w:rsid w:val="38E9C6E6"/>
    <w:rsid w:val="38F0EBF7"/>
    <w:rsid w:val="38FB11C6"/>
    <w:rsid w:val="38FD8CE6"/>
    <w:rsid w:val="38FDF9F6"/>
    <w:rsid w:val="3905B4FB"/>
    <w:rsid w:val="392BD654"/>
    <w:rsid w:val="392BE348"/>
    <w:rsid w:val="392F55A9"/>
    <w:rsid w:val="392FD75F"/>
    <w:rsid w:val="3932167E"/>
    <w:rsid w:val="3935247E"/>
    <w:rsid w:val="395082A7"/>
    <w:rsid w:val="39529D48"/>
    <w:rsid w:val="395640AA"/>
    <w:rsid w:val="3976DD1D"/>
    <w:rsid w:val="3979A7E2"/>
    <w:rsid w:val="3982450F"/>
    <w:rsid w:val="398C6C83"/>
    <w:rsid w:val="3990FB54"/>
    <w:rsid w:val="399AC80B"/>
    <w:rsid w:val="39A0BD4E"/>
    <w:rsid w:val="39A92D63"/>
    <w:rsid w:val="39BA622B"/>
    <w:rsid w:val="39CBA104"/>
    <w:rsid w:val="39CF2F0E"/>
    <w:rsid w:val="39DD6CA5"/>
    <w:rsid w:val="3A05C073"/>
    <w:rsid w:val="3A05E02E"/>
    <w:rsid w:val="3A05EC36"/>
    <w:rsid w:val="3A0B2B85"/>
    <w:rsid w:val="3A0CB6C3"/>
    <w:rsid w:val="3A15E026"/>
    <w:rsid w:val="3A1A4AD4"/>
    <w:rsid w:val="3A1FA7C7"/>
    <w:rsid w:val="3A2F55CA"/>
    <w:rsid w:val="3A536BA1"/>
    <w:rsid w:val="3A573D04"/>
    <w:rsid w:val="3A5CA18B"/>
    <w:rsid w:val="3A68DEB7"/>
    <w:rsid w:val="3A7702B7"/>
    <w:rsid w:val="3A899DE3"/>
    <w:rsid w:val="3AA1860B"/>
    <w:rsid w:val="3AA58BBE"/>
    <w:rsid w:val="3AA85845"/>
    <w:rsid w:val="3AB5747C"/>
    <w:rsid w:val="3AC096F7"/>
    <w:rsid w:val="3AC4D617"/>
    <w:rsid w:val="3AD0F510"/>
    <w:rsid w:val="3AE19481"/>
    <w:rsid w:val="3AE5A081"/>
    <w:rsid w:val="3B008FF6"/>
    <w:rsid w:val="3B01AB4B"/>
    <w:rsid w:val="3B02E833"/>
    <w:rsid w:val="3B06B78E"/>
    <w:rsid w:val="3B0938F5"/>
    <w:rsid w:val="3B112032"/>
    <w:rsid w:val="3B12328F"/>
    <w:rsid w:val="3B19BCE5"/>
    <w:rsid w:val="3B53FA77"/>
    <w:rsid w:val="3B5955A8"/>
    <w:rsid w:val="3B5C6E5B"/>
    <w:rsid w:val="3B63D84F"/>
    <w:rsid w:val="3B675347"/>
    <w:rsid w:val="3B6E7B30"/>
    <w:rsid w:val="3B730193"/>
    <w:rsid w:val="3B814908"/>
    <w:rsid w:val="3B8C2DCB"/>
    <w:rsid w:val="3BA2DBDD"/>
    <w:rsid w:val="3BAC25E4"/>
    <w:rsid w:val="3BAC3274"/>
    <w:rsid w:val="3BC78ABC"/>
    <w:rsid w:val="3BCAA101"/>
    <w:rsid w:val="3BCCB15F"/>
    <w:rsid w:val="3BDA0816"/>
    <w:rsid w:val="3BEA794E"/>
    <w:rsid w:val="3BF4325E"/>
    <w:rsid w:val="3BFB74E7"/>
    <w:rsid w:val="3C017901"/>
    <w:rsid w:val="3C091D32"/>
    <w:rsid w:val="3C19C533"/>
    <w:rsid w:val="3C22A840"/>
    <w:rsid w:val="3C2801E1"/>
    <w:rsid w:val="3C3B8861"/>
    <w:rsid w:val="3C41EF69"/>
    <w:rsid w:val="3C4B0685"/>
    <w:rsid w:val="3C51A605"/>
    <w:rsid w:val="3C594DBD"/>
    <w:rsid w:val="3C5AAD3F"/>
    <w:rsid w:val="3C67F618"/>
    <w:rsid w:val="3C6BDB86"/>
    <w:rsid w:val="3C71D172"/>
    <w:rsid w:val="3C76729B"/>
    <w:rsid w:val="3C7B5E9F"/>
    <w:rsid w:val="3C9540E8"/>
    <w:rsid w:val="3CA47957"/>
    <w:rsid w:val="3CAE5836"/>
    <w:rsid w:val="3CD98ACF"/>
    <w:rsid w:val="3CEBD111"/>
    <w:rsid w:val="3CF83CB1"/>
    <w:rsid w:val="3CFBD165"/>
    <w:rsid w:val="3D061E25"/>
    <w:rsid w:val="3D0873F9"/>
    <w:rsid w:val="3D13B392"/>
    <w:rsid w:val="3D1C631E"/>
    <w:rsid w:val="3D2F6C2A"/>
    <w:rsid w:val="3D375A93"/>
    <w:rsid w:val="3D3E0B19"/>
    <w:rsid w:val="3D50F55E"/>
    <w:rsid w:val="3D66557E"/>
    <w:rsid w:val="3D6F798F"/>
    <w:rsid w:val="3D7554F1"/>
    <w:rsid w:val="3D95A10D"/>
    <w:rsid w:val="3DC56A5A"/>
    <w:rsid w:val="3DCA5AC2"/>
    <w:rsid w:val="3DDF466F"/>
    <w:rsid w:val="3DEFEBC7"/>
    <w:rsid w:val="3DF41441"/>
    <w:rsid w:val="3DF6FEDA"/>
    <w:rsid w:val="3DF83B24"/>
    <w:rsid w:val="3DFB98F1"/>
    <w:rsid w:val="3E21400D"/>
    <w:rsid w:val="3E2748ED"/>
    <w:rsid w:val="3E2DCEFC"/>
    <w:rsid w:val="3E3925F9"/>
    <w:rsid w:val="3E43720E"/>
    <w:rsid w:val="3E602467"/>
    <w:rsid w:val="3E96D62E"/>
    <w:rsid w:val="3EBDDA78"/>
    <w:rsid w:val="3ECB2D2A"/>
    <w:rsid w:val="3EDEC91C"/>
    <w:rsid w:val="3EE772BE"/>
    <w:rsid w:val="3EEAFD46"/>
    <w:rsid w:val="3EF84BDB"/>
    <w:rsid w:val="3EFCDC3E"/>
    <w:rsid w:val="3F009E0E"/>
    <w:rsid w:val="3F299CD0"/>
    <w:rsid w:val="3F2A28A9"/>
    <w:rsid w:val="3F2EF8BB"/>
    <w:rsid w:val="3F34B0DC"/>
    <w:rsid w:val="3F4FDD68"/>
    <w:rsid w:val="3F5287DC"/>
    <w:rsid w:val="3F68DE6E"/>
    <w:rsid w:val="3F6CA36A"/>
    <w:rsid w:val="3F7075E6"/>
    <w:rsid w:val="3F874B16"/>
    <w:rsid w:val="3F9D1802"/>
    <w:rsid w:val="3FABD51B"/>
    <w:rsid w:val="3FAC2681"/>
    <w:rsid w:val="3FB8EC91"/>
    <w:rsid w:val="3FBD8ABB"/>
    <w:rsid w:val="3FC083DF"/>
    <w:rsid w:val="3FC140DC"/>
    <w:rsid w:val="3FC59EBE"/>
    <w:rsid w:val="3FD5F0D3"/>
    <w:rsid w:val="3FD70806"/>
    <w:rsid w:val="3FE5E50C"/>
    <w:rsid w:val="3FF12787"/>
    <w:rsid w:val="3FFFE82D"/>
    <w:rsid w:val="40023AA8"/>
    <w:rsid w:val="4010A1D4"/>
    <w:rsid w:val="40147105"/>
    <w:rsid w:val="401E43A3"/>
    <w:rsid w:val="401F9919"/>
    <w:rsid w:val="40224646"/>
    <w:rsid w:val="402B90FD"/>
    <w:rsid w:val="402DD7A6"/>
    <w:rsid w:val="40321EF4"/>
    <w:rsid w:val="40410554"/>
    <w:rsid w:val="4048BC61"/>
    <w:rsid w:val="40667692"/>
    <w:rsid w:val="406CD55D"/>
    <w:rsid w:val="4094387C"/>
    <w:rsid w:val="40956CB2"/>
    <w:rsid w:val="40980844"/>
    <w:rsid w:val="409B8849"/>
    <w:rsid w:val="40A102DD"/>
    <w:rsid w:val="40ADFE97"/>
    <w:rsid w:val="40AEF80F"/>
    <w:rsid w:val="40B1FD3B"/>
    <w:rsid w:val="40BE30A9"/>
    <w:rsid w:val="40BE7E7B"/>
    <w:rsid w:val="40C14D10"/>
    <w:rsid w:val="40C84FE3"/>
    <w:rsid w:val="40C8628F"/>
    <w:rsid w:val="40CB04D8"/>
    <w:rsid w:val="40CF04B6"/>
    <w:rsid w:val="40D3F2D8"/>
    <w:rsid w:val="40F4BB8B"/>
    <w:rsid w:val="40F86DD7"/>
    <w:rsid w:val="40FE12A3"/>
    <w:rsid w:val="4127BC3C"/>
    <w:rsid w:val="412A0B0F"/>
    <w:rsid w:val="413B8E79"/>
    <w:rsid w:val="413DC8CB"/>
    <w:rsid w:val="4144999B"/>
    <w:rsid w:val="4145C1DB"/>
    <w:rsid w:val="41508F62"/>
    <w:rsid w:val="416E1B75"/>
    <w:rsid w:val="4180581E"/>
    <w:rsid w:val="418E4F64"/>
    <w:rsid w:val="419170ED"/>
    <w:rsid w:val="4195F021"/>
    <w:rsid w:val="41992374"/>
    <w:rsid w:val="41A14EC6"/>
    <w:rsid w:val="41A46A7C"/>
    <w:rsid w:val="41B19C09"/>
    <w:rsid w:val="41C10C64"/>
    <w:rsid w:val="41C1BE30"/>
    <w:rsid w:val="41CF899D"/>
    <w:rsid w:val="41E07898"/>
    <w:rsid w:val="41FA1720"/>
    <w:rsid w:val="420EF19C"/>
    <w:rsid w:val="4210AA2B"/>
    <w:rsid w:val="42297A7D"/>
    <w:rsid w:val="42347886"/>
    <w:rsid w:val="423544CE"/>
    <w:rsid w:val="42428DFE"/>
    <w:rsid w:val="42513A94"/>
    <w:rsid w:val="4260A5F9"/>
    <w:rsid w:val="4261E050"/>
    <w:rsid w:val="4273166A"/>
    <w:rsid w:val="42734CC9"/>
    <w:rsid w:val="427BB758"/>
    <w:rsid w:val="42822D7B"/>
    <w:rsid w:val="429C3F49"/>
    <w:rsid w:val="42AD7F6D"/>
    <w:rsid w:val="42AF24AA"/>
    <w:rsid w:val="42B44B12"/>
    <w:rsid w:val="42BF8336"/>
    <w:rsid w:val="42C82245"/>
    <w:rsid w:val="42CCCB8B"/>
    <w:rsid w:val="42D290CE"/>
    <w:rsid w:val="42EE5F14"/>
    <w:rsid w:val="42FA06D2"/>
    <w:rsid w:val="42FA2F13"/>
    <w:rsid w:val="42FED5CF"/>
    <w:rsid w:val="43014A3E"/>
    <w:rsid w:val="4302B13E"/>
    <w:rsid w:val="430C4FD5"/>
    <w:rsid w:val="431DEC80"/>
    <w:rsid w:val="4328FD15"/>
    <w:rsid w:val="432E0A33"/>
    <w:rsid w:val="433492B9"/>
    <w:rsid w:val="434D8598"/>
    <w:rsid w:val="434F6675"/>
    <w:rsid w:val="4360992B"/>
    <w:rsid w:val="436D2D1F"/>
    <w:rsid w:val="436D2DDE"/>
    <w:rsid w:val="43759F45"/>
    <w:rsid w:val="437765B3"/>
    <w:rsid w:val="439FEC16"/>
    <w:rsid w:val="43B1190F"/>
    <w:rsid w:val="43C8B00A"/>
    <w:rsid w:val="43D94E04"/>
    <w:rsid w:val="43DA1382"/>
    <w:rsid w:val="43E3A063"/>
    <w:rsid w:val="43F499F4"/>
    <w:rsid w:val="43FA932A"/>
    <w:rsid w:val="4413B0A9"/>
    <w:rsid w:val="4420F88A"/>
    <w:rsid w:val="4423F749"/>
    <w:rsid w:val="4425E174"/>
    <w:rsid w:val="4453703A"/>
    <w:rsid w:val="4454ACB2"/>
    <w:rsid w:val="44576C1D"/>
    <w:rsid w:val="445B0CA6"/>
    <w:rsid w:val="445DC411"/>
    <w:rsid w:val="446C072F"/>
    <w:rsid w:val="4475AC69"/>
    <w:rsid w:val="4480C47C"/>
    <w:rsid w:val="448C00BA"/>
    <w:rsid w:val="448E6F78"/>
    <w:rsid w:val="44A7455E"/>
    <w:rsid w:val="44A75DCA"/>
    <w:rsid w:val="44BEF2DC"/>
    <w:rsid w:val="44D135AD"/>
    <w:rsid w:val="44E443B3"/>
    <w:rsid w:val="44E5F896"/>
    <w:rsid w:val="44F24BD5"/>
    <w:rsid w:val="44F498F9"/>
    <w:rsid w:val="44F7AD71"/>
    <w:rsid w:val="44FA98BA"/>
    <w:rsid w:val="4501F77E"/>
    <w:rsid w:val="4502F78E"/>
    <w:rsid w:val="4503EB8A"/>
    <w:rsid w:val="4513EB87"/>
    <w:rsid w:val="45380A37"/>
    <w:rsid w:val="45407D38"/>
    <w:rsid w:val="4541CA79"/>
    <w:rsid w:val="454B9D93"/>
    <w:rsid w:val="454CB270"/>
    <w:rsid w:val="45556388"/>
    <w:rsid w:val="4555F054"/>
    <w:rsid w:val="455C60D3"/>
    <w:rsid w:val="45751AC4"/>
    <w:rsid w:val="45769918"/>
    <w:rsid w:val="457D9A78"/>
    <w:rsid w:val="4582C8FE"/>
    <w:rsid w:val="458FE948"/>
    <w:rsid w:val="4591A0A6"/>
    <w:rsid w:val="45A813C8"/>
    <w:rsid w:val="45AEA219"/>
    <w:rsid w:val="45AF5C34"/>
    <w:rsid w:val="45B29D7C"/>
    <w:rsid w:val="45CCF1B3"/>
    <w:rsid w:val="45D2D684"/>
    <w:rsid w:val="45D33550"/>
    <w:rsid w:val="45D4C3E0"/>
    <w:rsid w:val="45E67FEB"/>
    <w:rsid w:val="45E722E5"/>
    <w:rsid w:val="45EA5AFD"/>
    <w:rsid w:val="45FA7CD6"/>
    <w:rsid w:val="45FECE2B"/>
    <w:rsid w:val="4602436D"/>
    <w:rsid w:val="461196FC"/>
    <w:rsid w:val="461D9A43"/>
    <w:rsid w:val="4621ECA0"/>
    <w:rsid w:val="462891DC"/>
    <w:rsid w:val="4629E299"/>
    <w:rsid w:val="462A0E3F"/>
    <w:rsid w:val="463783B1"/>
    <w:rsid w:val="4638E357"/>
    <w:rsid w:val="464EFA20"/>
    <w:rsid w:val="46629F6A"/>
    <w:rsid w:val="46650B2E"/>
    <w:rsid w:val="4666F7A1"/>
    <w:rsid w:val="467455D0"/>
    <w:rsid w:val="46760D94"/>
    <w:rsid w:val="468467E6"/>
    <w:rsid w:val="4696BC2F"/>
    <w:rsid w:val="469A06AE"/>
    <w:rsid w:val="469B6830"/>
    <w:rsid w:val="46B6D59C"/>
    <w:rsid w:val="46C50194"/>
    <w:rsid w:val="46D71624"/>
    <w:rsid w:val="46D7B944"/>
    <w:rsid w:val="46DD71EE"/>
    <w:rsid w:val="46E27C3C"/>
    <w:rsid w:val="46EA13AD"/>
    <w:rsid w:val="46FCEE24"/>
    <w:rsid w:val="4701F7CF"/>
    <w:rsid w:val="4702B935"/>
    <w:rsid w:val="472E2F32"/>
    <w:rsid w:val="47302EFA"/>
    <w:rsid w:val="47344BB9"/>
    <w:rsid w:val="4736BF42"/>
    <w:rsid w:val="4740AB3B"/>
    <w:rsid w:val="4754272E"/>
    <w:rsid w:val="475D1FD3"/>
    <w:rsid w:val="476418C2"/>
    <w:rsid w:val="477DE64C"/>
    <w:rsid w:val="4786115D"/>
    <w:rsid w:val="479B418A"/>
    <w:rsid w:val="47A81CF5"/>
    <w:rsid w:val="47AE5AD2"/>
    <w:rsid w:val="47BFD23F"/>
    <w:rsid w:val="47C0955E"/>
    <w:rsid w:val="47C708FA"/>
    <w:rsid w:val="47CC69B0"/>
    <w:rsid w:val="47CCDAA0"/>
    <w:rsid w:val="47CEAA6F"/>
    <w:rsid w:val="47D8BDBF"/>
    <w:rsid w:val="47DBE297"/>
    <w:rsid w:val="47F87CF8"/>
    <w:rsid w:val="47FDC30D"/>
    <w:rsid w:val="4805CCA9"/>
    <w:rsid w:val="481D28E6"/>
    <w:rsid w:val="482088F9"/>
    <w:rsid w:val="483C0FD1"/>
    <w:rsid w:val="485CAD9A"/>
    <w:rsid w:val="485EFB4D"/>
    <w:rsid w:val="48660BCE"/>
    <w:rsid w:val="48733A5D"/>
    <w:rsid w:val="4873514F"/>
    <w:rsid w:val="487DBCE3"/>
    <w:rsid w:val="4892ABDB"/>
    <w:rsid w:val="48948365"/>
    <w:rsid w:val="4896AEE8"/>
    <w:rsid w:val="489D64E6"/>
    <w:rsid w:val="48A68EF0"/>
    <w:rsid w:val="48AC0A7A"/>
    <w:rsid w:val="48AED7BC"/>
    <w:rsid w:val="48CBCEB7"/>
    <w:rsid w:val="48CC9179"/>
    <w:rsid w:val="48CDFBB9"/>
    <w:rsid w:val="48DBCB3E"/>
    <w:rsid w:val="48E2EC04"/>
    <w:rsid w:val="48EDF0D5"/>
    <w:rsid w:val="48FD7670"/>
    <w:rsid w:val="48FE56A7"/>
    <w:rsid w:val="49051527"/>
    <w:rsid w:val="49095531"/>
    <w:rsid w:val="490CA59F"/>
    <w:rsid w:val="4918D658"/>
    <w:rsid w:val="4924E55C"/>
    <w:rsid w:val="492BE53B"/>
    <w:rsid w:val="492F5254"/>
    <w:rsid w:val="4939B641"/>
    <w:rsid w:val="4942326E"/>
    <w:rsid w:val="494AD460"/>
    <w:rsid w:val="4954B365"/>
    <w:rsid w:val="49607C10"/>
    <w:rsid w:val="4976DA68"/>
    <w:rsid w:val="497D1F07"/>
    <w:rsid w:val="498A3392"/>
    <w:rsid w:val="49C456F6"/>
    <w:rsid w:val="49D22DD9"/>
    <w:rsid w:val="49D96F9B"/>
    <w:rsid w:val="49DA5082"/>
    <w:rsid w:val="4A05445B"/>
    <w:rsid w:val="4A0EEC38"/>
    <w:rsid w:val="4A158394"/>
    <w:rsid w:val="4A2438C4"/>
    <w:rsid w:val="4A262C19"/>
    <w:rsid w:val="4A2CA1E1"/>
    <w:rsid w:val="4A3A3141"/>
    <w:rsid w:val="4A3F70DE"/>
    <w:rsid w:val="4A4735AB"/>
    <w:rsid w:val="4A535016"/>
    <w:rsid w:val="4A567431"/>
    <w:rsid w:val="4A7487D0"/>
    <w:rsid w:val="4A7DACAA"/>
    <w:rsid w:val="4A864060"/>
    <w:rsid w:val="4A97BAE9"/>
    <w:rsid w:val="4AAAE7A8"/>
    <w:rsid w:val="4AB1DB00"/>
    <w:rsid w:val="4ABB7AF2"/>
    <w:rsid w:val="4ACFA907"/>
    <w:rsid w:val="4AF38FC2"/>
    <w:rsid w:val="4B2322B9"/>
    <w:rsid w:val="4B6000F5"/>
    <w:rsid w:val="4B769465"/>
    <w:rsid w:val="4B7B7197"/>
    <w:rsid w:val="4B7C1405"/>
    <w:rsid w:val="4B7E90D5"/>
    <w:rsid w:val="4BA10741"/>
    <w:rsid w:val="4BA35569"/>
    <w:rsid w:val="4BA84AFC"/>
    <w:rsid w:val="4BB38420"/>
    <w:rsid w:val="4BB5AAB8"/>
    <w:rsid w:val="4BBE9E90"/>
    <w:rsid w:val="4BBF70FC"/>
    <w:rsid w:val="4BC061C8"/>
    <w:rsid w:val="4BD67B09"/>
    <w:rsid w:val="4BEA39CC"/>
    <w:rsid w:val="4C15BB85"/>
    <w:rsid w:val="4C36B958"/>
    <w:rsid w:val="4C51A0FD"/>
    <w:rsid w:val="4C52E83D"/>
    <w:rsid w:val="4C5621F4"/>
    <w:rsid w:val="4C74EFE8"/>
    <w:rsid w:val="4C7672D8"/>
    <w:rsid w:val="4C80601E"/>
    <w:rsid w:val="4C84CE92"/>
    <w:rsid w:val="4C85D201"/>
    <w:rsid w:val="4CAE65E2"/>
    <w:rsid w:val="4CB255C1"/>
    <w:rsid w:val="4CB5D2BC"/>
    <w:rsid w:val="4CBAD21E"/>
    <w:rsid w:val="4CC9C50E"/>
    <w:rsid w:val="4CCC71A9"/>
    <w:rsid w:val="4CDB2001"/>
    <w:rsid w:val="4CDE27B2"/>
    <w:rsid w:val="4CEADCB8"/>
    <w:rsid w:val="4CEF9D98"/>
    <w:rsid w:val="4D2672B8"/>
    <w:rsid w:val="4D33F267"/>
    <w:rsid w:val="4D3533EF"/>
    <w:rsid w:val="4D375CB7"/>
    <w:rsid w:val="4D3C2D78"/>
    <w:rsid w:val="4D43AFA1"/>
    <w:rsid w:val="4D48C956"/>
    <w:rsid w:val="4D54939D"/>
    <w:rsid w:val="4D5E46E4"/>
    <w:rsid w:val="4D65225A"/>
    <w:rsid w:val="4D6CE71A"/>
    <w:rsid w:val="4D723A4F"/>
    <w:rsid w:val="4D8188CB"/>
    <w:rsid w:val="4D831897"/>
    <w:rsid w:val="4D907B4A"/>
    <w:rsid w:val="4D938079"/>
    <w:rsid w:val="4DA211F0"/>
    <w:rsid w:val="4DD2E5C9"/>
    <w:rsid w:val="4DD3AA8B"/>
    <w:rsid w:val="4DDAA643"/>
    <w:rsid w:val="4DDDEE6F"/>
    <w:rsid w:val="4DE9D440"/>
    <w:rsid w:val="4E04FBDE"/>
    <w:rsid w:val="4E06BBE7"/>
    <w:rsid w:val="4E082543"/>
    <w:rsid w:val="4E10F0F4"/>
    <w:rsid w:val="4E12F213"/>
    <w:rsid w:val="4E33E30D"/>
    <w:rsid w:val="4E362400"/>
    <w:rsid w:val="4E3A9885"/>
    <w:rsid w:val="4E67C13D"/>
    <w:rsid w:val="4E6C372F"/>
    <w:rsid w:val="4E6FEB3B"/>
    <w:rsid w:val="4E7B5A76"/>
    <w:rsid w:val="4E82F8D1"/>
    <w:rsid w:val="4E87D2C1"/>
    <w:rsid w:val="4E8C2719"/>
    <w:rsid w:val="4E930E4D"/>
    <w:rsid w:val="4EADF816"/>
    <w:rsid w:val="4EB294AD"/>
    <w:rsid w:val="4EB9929E"/>
    <w:rsid w:val="4EC2F494"/>
    <w:rsid w:val="4EC6C892"/>
    <w:rsid w:val="4ECD9D78"/>
    <w:rsid w:val="4EDAB1FC"/>
    <w:rsid w:val="4EE0E73C"/>
    <w:rsid w:val="4F12E9C4"/>
    <w:rsid w:val="4F252598"/>
    <w:rsid w:val="4F2EC748"/>
    <w:rsid w:val="4F32B1B1"/>
    <w:rsid w:val="4F331371"/>
    <w:rsid w:val="4F3319C1"/>
    <w:rsid w:val="4F356067"/>
    <w:rsid w:val="4F4E1FDF"/>
    <w:rsid w:val="4F5EE881"/>
    <w:rsid w:val="4F6CA6A9"/>
    <w:rsid w:val="4F73B8FC"/>
    <w:rsid w:val="4F809F69"/>
    <w:rsid w:val="4F833F8A"/>
    <w:rsid w:val="4F9121FC"/>
    <w:rsid w:val="4F9C2298"/>
    <w:rsid w:val="4FA868F6"/>
    <w:rsid w:val="4FC0D200"/>
    <w:rsid w:val="4FC0FF29"/>
    <w:rsid w:val="4FC94FB4"/>
    <w:rsid w:val="4FCA561B"/>
    <w:rsid w:val="4FCD0ABC"/>
    <w:rsid w:val="4FCE627D"/>
    <w:rsid w:val="4FE51E7A"/>
    <w:rsid w:val="4FFE6997"/>
    <w:rsid w:val="50231684"/>
    <w:rsid w:val="5031C2DF"/>
    <w:rsid w:val="5036A059"/>
    <w:rsid w:val="503C2D08"/>
    <w:rsid w:val="503D5137"/>
    <w:rsid w:val="5044469B"/>
    <w:rsid w:val="504F7DBE"/>
    <w:rsid w:val="5052DC38"/>
    <w:rsid w:val="5057F778"/>
    <w:rsid w:val="50637B4B"/>
    <w:rsid w:val="50642292"/>
    <w:rsid w:val="5078B1A7"/>
    <w:rsid w:val="507ED936"/>
    <w:rsid w:val="508ACB2B"/>
    <w:rsid w:val="508DC1E0"/>
    <w:rsid w:val="5098C2BF"/>
    <w:rsid w:val="509A7273"/>
    <w:rsid w:val="50A23832"/>
    <w:rsid w:val="50A4DE3A"/>
    <w:rsid w:val="50AD1296"/>
    <w:rsid w:val="50B9F2B2"/>
    <w:rsid w:val="50BC259F"/>
    <w:rsid w:val="50CC9581"/>
    <w:rsid w:val="50DA60EC"/>
    <w:rsid w:val="50DFE05E"/>
    <w:rsid w:val="50E9A6F7"/>
    <w:rsid w:val="50EA35B5"/>
    <w:rsid w:val="50F14D72"/>
    <w:rsid w:val="50F5605C"/>
    <w:rsid w:val="511137B3"/>
    <w:rsid w:val="511438DB"/>
    <w:rsid w:val="5121FC6C"/>
    <w:rsid w:val="5158AD0D"/>
    <w:rsid w:val="51758805"/>
    <w:rsid w:val="51879AA4"/>
    <w:rsid w:val="518C1857"/>
    <w:rsid w:val="5196DFBC"/>
    <w:rsid w:val="5198BB52"/>
    <w:rsid w:val="51A31216"/>
    <w:rsid w:val="51B3A775"/>
    <w:rsid w:val="51C03D8E"/>
    <w:rsid w:val="51E0556C"/>
    <w:rsid w:val="51E54C40"/>
    <w:rsid w:val="51E6AD52"/>
    <w:rsid w:val="51E874EE"/>
    <w:rsid w:val="520A38A8"/>
    <w:rsid w:val="520A9F23"/>
    <w:rsid w:val="5214469F"/>
    <w:rsid w:val="5219FC74"/>
    <w:rsid w:val="521C6FD6"/>
    <w:rsid w:val="521FBA95"/>
    <w:rsid w:val="52215451"/>
    <w:rsid w:val="5230E9AF"/>
    <w:rsid w:val="5245B91F"/>
    <w:rsid w:val="52519810"/>
    <w:rsid w:val="52597C0A"/>
    <w:rsid w:val="52607398"/>
    <w:rsid w:val="5268A46B"/>
    <w:rsid w:val="5272A184"/>
    <w:rsid w:val="5274F0C1"/>
    <w:rsid w:val="52772C4C"/>
    <w:rsid w:val="52898E14"/>
    <w:rsid w:val="52935F2D"/>
    <w:rsid w:val="52A40701"/>
    <w:rsid w:val="52B0CDB7"/>
    <w:rsid w:val="52B147B6"/>
    <w:rsid w:val="52BA730F"/>
    <w:rsid w:val="52C0AB5B"/>
    <w:rsid w:val="52C21DB7"/>
    <w:rsid w:val="52C86709"/>
    <w:rsid w:val="52CCEA62"/>
    <w:rsid w:val="52CE7EBF"/>
    <w:rsid w:val="52D35647"/>
    <w:rsid w:val="52EDF356"/>
    <w:rsid w:val="52F5F927"/>
    <w:rsid w:val="52F81CB4"/>
    <w:rsid w:val="5301FB74"/>
    <w:rsid w:val="5304FC0C"/>
    <w:rsid w:val="5305DC8D"/>
    <w:rsid w:val="5305ECDC"/>
    <w:rsid w:val="5307D003"/>
    <w:rsid w:val="530A9DED"/>
    <w:rsid w:val="532E6E5B"/>
    <w:rsid w:val="533D6A5A"/>
    <w:rsid w:val="53404C42"/>
    <w:rsid w:val="534EC146"/>
    <w:rsid w:val="53520989"/>
    <w:rsid w:val="5359C9DA"/>
    <w:rsid w:val="535A03B3"/>
    <w:rsid w:val="538E2A31"/>
    <w:rsid w:val="5391E86C"/>
    <w:rsid w:val="53B244B5"/>
    <w:rsid w:val="53D0142C"/>
    <w:rsid w:val="53D44BEC"/>
    <w:rsid w:val="53D6AFAC"/>
    <w:rsid w:val="53DB44FA"/>
    <w:rsid w:val="53DB57C7"/>
    <w:rsid w:val="53DC7409"/>
    <w:rsid w:val="53ECC5FF"/>
    <w:rsid w:val="53F25896"/>
    <w:rsid w:val="53FBA821"/>
    <w:rsid w:val="53FE2718"/>
    <w:rsid w:val="540C4BB8"/>
    <w:rsid w:val="541C8625"/>
    <w:rsid w:val="54260126"/>
    <w:rsid w:val="5427EC8B"/>
    <w:rsid w:val="542ECE70"/>
    <w:rsid w:val="543D7AF8"/>
    <w:rsid w:val="54418B90"/>
    <w:rsid w:val="544D1C4C"/>
    <w:rsid w:val="544F9E99"/>
    <w:rsid w:val="545F60BD"/>
    <w:rsid w:val="547F4815"/>
    <w:rsid w:val="548F7282"/>
    <w:rsid w:val="548F7AF4"/>
    <w:rsid w:val="54985549"/>
    <w:rsid w:val="54C2DE3B"/>
    <w:rsid w:val="54D77136"/>
    <w:rsid w:val="54D89057"/>
    <w:rsid w:val="54E64577"/>
    <w:rsid w:val="54F6F376"/>
    <w:rsid w:val="54F7D75C"/>
    <w:rsid w:val="54F9A5BC"/>
    <w:rsid w:val="54FD1C4C"/>
    <w:rsid w:val="54FEC53F"/>
    <w:rsid w:val="55038C45"/>
    <w:rsid w:val="5503E33D"/>
    <w:rsid w:val="55083529"/>
    <w:rsid w:val="550FA3DF"/>
    <w:rsid w:val="551AC7AA"/>
    <w:rsid w:val="551CE3D5"/>
    <w:rsid w:val="55290E9C"/>
    <w:rsid w:val="552C700C"/>
    <w:rsid w:val="552D3EC3"/>
    <w:rsid w:val="55517359"/>
    <w:rsid w:val="5551C8FF"/>
    <w:rsid w:val="55566AD4"/>
    <w:rsid w:val="5559C0F5"/>
    <w:rsid w:val="556232B6"/>
    <w:rsid w:val="556E843E"/>
    <w:rsid w:val="557AD1ED"/>
    <w:rsid w:val="5582D53A"/>
    <w:rsid w:val="55995790"/>
    <w:rsid w:val="559E6180"/>
    <w:rsid w:val="55A59652"/>
    <w:rsid w:val="55C0617A"/>
    <w:rsid w:val="55D25A91"/>
    <w:rsid w:val="55D4DFBE"/>
    <w:rsid w:val="55DAFC9C"/>
    <w:rsid w:val="55DE110D"/>
    <w:rsid w:val="55DF292D"/>
    <w:rsid w:val="55DFB10A"/>
    <w:rsid w:val="55F6F52F"/>
    <w:rsid w:val="5621ACC2"/>
    <w:rsid w:val="5628C215"/>
    <w:rsid w:val="563F1EBA"/>
    <w:rsid w:val="564F54E4"/>
    <w:rsid w:val="564FD729"/>
    <w:rsid w:val="565770BC"/>
    <w:rsid w:val="56578E58"/>
    <w:rsid w:val="5661BAA1"/>
    <w:rsid w:val="567350CB"/>
    <w:rsid w:val="567A76C8"/>
    <w:rsid w:val="567C97A4"/>
    <w:rsid w:val="567F9DE8"/>
    <w:rsid w:val="5685041E"/>
    <w:rsid w:val="5687FA1E"/>
    <w:rsid w:val="568EA73F"/>
    <w:rsid w:val="56AC4B0C"/>
    <w:rsid w:val="56AF12C3"/>
    <w:rsid w:val="56C23DA5"/>
    <w:rsid w:val="56C3EDD2"/>
    <w:rsid w:val="56CEC355"/>
    <w:rsid w:val="56D25EDA"/>
    <w:rsid w:val="56E02036"/>
    <w:rsid w:val="56F7646D"/>
    <w:rsid w:val="56FBEE32"/>
    <w:rsid w:val="5700EEA6"/>
    <w:rsid w:val="5702A916"/>
    <w:rsid w:val="570991DC"/>
    <w:rsid w:val="571EFF76"/>
    <w:rsid w:val="5727B120"/>
    <w:rsid w:val="5729DD39"/>
    <w:rsid w:val="572AACED"/>
    <w:rsid w:val="5732ED68"/>
    <w:rsid w:val="573EE365"/>
    <w:rsid w:val="5743B6AD"/>
    <w:rsid w:val="5759894C"/>
    <w:rsid w:val="575BA0BD"/>
    <w:rsid w:val="57627C8F"/>
    <w:rsid w:val="576747DB"/>
    <w:rsid w:val="576CA3DC"/>
    <w:rsid w:val="5789C240"/>
    <w:rsid w:val="5792044D"/>
    <w:rsid w:val="57AE4410"/>
    <w:rsid w:val="57BC4069"/>
    <w:rsid w:val="57C49B14"/>
    <w:rsid w:val="57C7C038"/>
    <w:rsid w:val="57DD8EFE"/>
    <w:rsid w:val="57F0858A"/>
    <w:rsid w:val="57FD5DF0"/>
    <w:rsid w:val="5801DC69"/>
    <w:rsid w:val="58413AC9"/>
    <w:rsid w:val="5843B009"/>
    <w:rsid w:val="584AB741"/>
    <w:rsid w:val="584BFE6F"/>
    <w:rsid w:val="585035F1"/>
    <w:rsid w:val="58552EBF"/>
    <w:rsid w:val="585F2F7E"/>
    <w:rsid w:val="5878009B"/>
    <w:rsid w:val="588F82F0"/>
    <w:rsid w:val="58941AF8"/>
    <w:rsid w:val="58A60736"/>
    <w:rsid w:val="58A91DC6"/>
    <w:rsid w:val="58C5794A"/>
    <w:rsid w:val="58D4BA9F"/>
    <w:rsid w:val="58D8F463"/>
    <w:rsid w:val="58DB88C9"/>
    <w:rsid w:val="58FFE977"/>
    <w:rsid w:val="590E5DFE"/>
    <w:rsid w:val="5913714D"/>
    <w:rsid w:val="59229261"/>
    <w:rsid w:val="595FB026"/>
    <w:rsid w:val="59773929"/>
    <w:rsid w:val="5996C8B3"/>
    <w:rsid w:val="59B0C807"/>
    <w:rsid w:val="59B504A1"/>
    <w:rsid w:val="59CB55C2"/>
    <w:rsid w:val="59D7A716"/>
    <w:rsid w:val="59DAF424"/>
    <w:rsid w:val="59E4F51A"/>
    <w:rsid w:val="59EB4B47"/>
    <w:rsid w:val="59F0677E"/>
    <w:rsid w:val="5A00E28C"/>
    <w:rsid w:val="5A0D0AF2"/>
    <w:rsid w:val="5A0E683C"/>
    <w:rsid w:val="5A1AE663"/>
    <w:rsid w:val="5A1F6CC5"/>
    <w:rsid w:val="5A23D79D"/>
    <w:rsid w:val="5A26DB84"/>
    <w:rsid w:val="5A334001"/>
    <w:rsid w:val="5A4EBA9B"/>
    <w:rsid w:val="5A5C19ED"/>
    <w:rsid w:val="5A5E6BEB"/>
    <w:rsid w:val="5A6F3F40"/>
    <w:rsid w:val="5A70FA4F"/>
    <w:rsid w:val="5A863AE0"/>
    <w:rsid w:val="5A8F50E8"/>
    <w:rsid w:val="5A9151AC"/>
    <w:rsid w:val="5A9D03CB"/>
    <w:rsid w:val="5A9D5BD8"/>
    <w:rsid w:val="5AA5BC7A"/>
    <w:rsid w:val="5AAD94DB"/>
    <w:rsid w:val="5AAFE298"/>
    <w:rsid w:val="5AB41E53"/>
    <w:rsid w:val="5AB4552A"/>
    <w:rsid w:val="5AB704E6"/>
    <w:rsid w:val="5AB77B4E"/>
    <w:rsid w:val="5AC0DE4D"/>
    <w:rsid w:val="5AC9E9A0"/>
    <w:rsid w:val="5ACB4444"/>
    <w:rsid w:val="5AD5E39E"/>
    <w:rsid w:val="5ADB8FE2"/>
    <w:rsid w:val="5AEA1FF4"/>
    <w:rsid w:val="5AEDF77F"/>
    <w:rsid w:val="5AF0294A"/>
    <w:rsid w:val="5AF16792"/>
    <w:rsid w:val="5AF2C227"/>
    <w:rsid w:val="5B009A69"/>
    <w:rsid w:val="5B1645BF"/>
    <w:rsid w:val="5B211C1C"/>
    <w:rsid w:val="5B2A8948"/>
    <w:rsid w:val="5B35F222"/>
    <w:rsid w:val="5B364388"/>
    <w:rsid w:val="5B3805A3"/>
    <w:rsid w:val="5B4B7396"/>
    <w:rsid w:val="5B5E0BE7"/>
    <w:rsid w:val="5B69E344"/>
    <w:rsid w:val="5B6AB80B"/>
    <w:rsid w:val="5B7E4504"/>
    <w:rsid w:val="5B986EB4"/>
    <w:rsid w:val="5B9CEA17"/>
    <w:rsid w:val="5BABD9E6"/>
    <w:rsid w:val="5BE22B6B"/>
    <w:rsid w:val="5BE4B2A1"/>
    <w:rsid w:val="5BFC3F37"/>
    <w:rsid w:val="5C0E7890"/>
    <w:rsid w:val="5C191106"/>
    <w:rsid w:val="5C1F2B98"/>
    <w:rsid w:val="5C2BDCC8"/>
    <w:rsid w:val="5C3C700D"/>
    <w:rsid w:val="5C42CAAF"/>
    <w:rsid w:val="5C472F51"/>
    <w:rsid w:val="5C559007"/>
    <w:rsid w:val="5C598888"/>
    <w:rsid w:val="5C7E6545"/>
    <w:rsid w:val="5C9ED0AF"/>
    <w:rsid w:val="5CA2B88D"/>
    <w:rsid w:val="5CA4029B"/>
    <w:rsid w:val="5CA93D52"/>
    <w:rsid w:val="5CCA5E28"/>
    <w:rsid w:val="5CE543E7"/>
    <w:rsid w:val="5CFD07E6"/>
    <w:rsid w:val="5D002039"/>
    <w:rsid w:val="5D03BEAD"/>
    <w:rsid w:val="5D182195"/>
    <w:rsid w:val="5D2AE154"/>
    <w:rsid w:val="5D3129BB"/>
    <w:rsid w:val="5D536005"/>
    <w:rsid w:val="5D620925"/>
    <w:rsid w:val="5D6B5C07"/>
    <w:rsid w:val="5D6F8716"/>
    <w:rsid w:val="5D752742"/>
    <w:rsid w:val="5D7D0A74"/>
    <w:rsid w:val="5D7EC4ED"/>
    <w:rsid w:val="5D885AEB"/>
    <w:rsid w:val="5D8C64C4"/>
    <w:rsid w:val="5D8EEB8D"/>
    <w:rsid w:val="5D914880"/>
    <w:rsid w:val="5DDA0B1A"/>
    <w:rsid w:val="5DE0F90E"/>
    <w:rsid w:val="5DE1465E"/>
    <w:rsid w:val="5DE20BB1"/>
    <w:rsid w:val="5DE6B9A2"/>
    <w:rsid w:val="5DEBFC7C"/>
    <w:rsid w:val="5DEE75EC"/>
    <w:rsid w:val="5DF6BAC0"/>
    <w:rsid w:val="5E044DD1"/>
    <w:rsid w:val="5E062653"/>
    <w:rsid w:val="5E0FBFFC"/>
    <w:rsid w:val="5E11A991"/>
    <w:rsid w:val="5E14929A"/>
    <w:rsid w:val="5E1FB2E2"/>
    <w:rsid w:val="5E22266C"/>
    <w:rsid w:val="5E2CD4F7"/>
    <w:rsid w:val="5E31F014"/>
    <w:rsid w:val="5E359F5A"/>
    <w:rsid w:val="5E4B9460"/>
    <w:rsid w:val="5E61A97B"/>
    <w:rsid w:val="5E69FA24"/>
    <w:rsid w:val="5E6EF656"/>
    <w:rsid w:val="5E7969B2"/>
    <w:rsid w:val="5E871E76"/>
    <w:rsid w:val="5E8E0849"/>
    <w:rsid w:val="5E8F7E4B"/>
    <w:rsid w:val="5E9CF82B"/>
    <w:rsid w:val="5EAB3921"/>
    <w:rsid w:val="5EBA250E"/>
    <w:rsid w:val="5ED3F895"/>
    <w:rsid w:val="5ED75B3C"/>
    <w:rsid w:val="5EE83965"/>
    <w:rsid w:val="5F1B5AB4"/>
    <w:rsid w:val="5F2E182E"/>
    <w:rsid w:val="5F4079C8"/>
    <w:rsid w:val="5F4907EC"/>
    <w:rsid w:val="5F545011"/>
    <w:rsid w:val="5F5DA5B9"/>
    <w:rsid w:val="5F70647D"/>
    <w:rsid w:val="5F7DA17A"/>
    <w:rsid w:val="5F84319C"/>
    <w:rsid w:val="5F8806FA"/>
    <w:rsid w:val="5F90C92D"/>
    <w:rsid w:val="5F924AD8"/>
    <w:rsid w:val="5F935D0C"/>
    <w:rsid w:val="5F988168"/>
    <w:rsid w:val="5FA9EBCA"/>
    <w:rsid w:val="5FAB6078"/>
    <w:rsid w:val="5FC5B853"/>
    <w:rsid w:val="5FD85872"/>
    <w:rsid w:val="5FDF36EF"/>
    <w:rsid w:val="5FEEE32E"/>
    <w:rsid w:val="5FF1A9C9"/>
    <w:rsid w:val="5FFC6220"/>
    <w:rsid w:val="5FFFB9A1"/>
    <w:rsid w:val="60067B8C"/>
    <w:rsid w:val="600AD055"/>
    <w:rsid w:val="6019C761"/>
    <w:rsid w:val="6020738A"/>
    <w:rsid w:val="6028580F"/>
    <w:rsid w:val="6037FEFA"/>
    <w:rsid w:val="6046A9D9"/>
    <w:rsid w:val="604B820F"/>
    <w:rsid w:val="60506DB1"/>
    <w:rsid w:val="60557CAA"/>
    <w:rsid w:val="605A7698"/>
    <w:rsid w:val="605B3A3F"/>
    <w:rsid w:val="605F5F16"/>
    <w:rsid w:val="6061DFAE"/>
    <w:rsid w:val="607FAF9E"/>
    <w:rsid w:val="6084F5F6"/>
    <w:rsid w:val="6097BD17"/>
    <w:rsid w:val="609E096C"/>
    <w:rsid w:val="60A036FC"/>
    <w:rsid w:val="60A18EAF"/>
    <w:rsid w:val="60A76A57"/>
    <w:rsid w:val="60BC33DF"/>
    <w:rsid w:val="60D5507C"/>
    <w:rsid w:val="60DBE07F"/>
    <w:rsid w:val="60DC9D3D"/>
    <w:rsid w:val="60E7A28E"/>
    <w:rsid w:val="60E9B8A1"/>
    <w:rsid w:val="60EB9780"/>
    <w:rsid w:val="611825C8"/>
    <w:rsid w:val="61263F02"/>
    <w:rsid w:val="61323B2D"/>
    <w:rsid w:val="61400447"/>
    <w:rsid w:val="61686A28"/>
    <w:rsid w:val="6191451B"/>
    <w:rsid w:val="61A3696A"/>
    <w:rsid w:val="61A40602"/>
    <w:rsid w:val="61A5ED98"/>
    <w:rsid w:val="61A69E0A"/>
    <w:rsid w:val="61A80150"/>
    <w:rsid w:val="61AEF414"/>
    <w:rsid w:val="61B07834"/>
    <w:rsid w:val="61B69CE4"/>
    <w:rsid w:val="61BC8469"/>
    <w:rsid w:val="61C3CF2F"/>
    <w:rsid w:val="61CC0D17"/>
    <w:rsid w:val="61CD890E"/>
    <w:rsid w:val="61D35960"/>
    <w:rsid w:val="61D771E7"/>
    <w:rsid w:val="61DB7A9F"/>
    <w:rsid w:val="61DBCBB5"/>
    <w:rsid w:val="61E5F109"/>
    <w:rsid w:val="61E7AE02"/>
    <w:rsid w:val="61EF741A"/>
    <w:rsid w:val="61F1EB55"/>
    <w:rsid w:val="61F326BF"/>
    <w:rsid w:val="61F7D547"/>
    <w:rsid w:val="61FB4713"/>
    <w:rsid w:val="620F760E"/>
    <w:rsid w:val="62145410"/>
    <w:rsid w:val="62422634"/>
    <w:rsid w:val="6245EF22"/>
    <w:rsid w:val="6255E301"/>
    <w:rsid w:val="6263E2FD"/>
    <w:rsid w:val="6263F06C"/>
    <w:rsid w:val="62662E9D"/>
    <w:rsid w:val="626FB75D"/>
    <w:rsid w:val="627A1BF3"/>
    <w:rsid w:val="627AE264"/>
    <w:rsid w:val="62946660"/>
    <w:rsid w:val="62B0079E"/>
    <w:rsid w:val="62B335E8"/>
    <w:rsid w:val="62B5FB42"/>
    <w:rsid w:val="62C87A6E"/>
    <w:rsid w:val="62CE5935"/>
    <w:rsid w:val="62D929BB"/>
    <w:rsid w:val="62E29398"/>
    <w:rsid w:val="62E6207A"/>
    <w:rsid w:val="62FF22F8"/>
    <w:rsid w:val="6309287D"/>
    <w:rsid w:val="630C60B9"/>
    <w:rsid w:val="63178634"/>
    <w:rsid w:val="631A4D8F"/>
    <w:rsid w:val="6323B067"/>
    <w:rsid w:val="6331FD5D"/>
    <w:rsid w:val="6339F254"/>
    <w:rsid w:val="635A7D42"/>
    <w:rsid w:val="6362173B"/>
    <w:rsid w:val="636A2BDE"/>
    <w:rsid w:val="636ADD9F"/>
    <w:rsid w:val="638DB649"/>
    <w:rsid w:val="639B54D7"/>
    <w:rsid w:val="63A3763C"/>
    <w:rsid w:val="63A74DF0"/>
    <w:rsid w:val="63AB1972"/>
    <w:rsid w:val="63B483D7"/>
    <w:rsid w:val="63B81574"/>
    <w:rsid w:val="63BD6759"/>
    <w:rsid w:val="63C8490F"/>
    <w:rsid w:val="63CA765E"/>
    <w:rsid w:val="63D91CD0"/>
    <w:rsid w:val="63DCC094"/>
    <w:rsid w:val="63ED107E"/>
    <w:rsid w:val="63EDE3E2"/>
    <w:rsid w:val="63F20E28"/>
    <w:rsid w:val="6401EE7F"/>
    <w:rsid w:val="640A4ABF"/>
    <w:rsid w:val="641147D6"/>
    <w:rsid w:val="641BAEC1"/>
    <w:rsid w:val="6421E39A"/>
    <w:rsid w:val="64293481"/>
    <w:rsid w:val="643B0A26"/>
    <w:rsid w:val="645454A3"/>
    <w:rsid w:val="646B96B3"/>
    <w:rsid w:val="647BAFF0"/>
    <w:rsid w:val="64822641"/>
    <w:rsid w:val="648CC12A"/>
    <w:rsid w:val="6499256A"/>
    <w:rsid w:val="649A2C59"/>
    <w:rsid w:val="649C5E05"/>
    <w:rsid w:val="64B92CDF"/>
    <w:rsid w:val="64C0C071"/>
    <w:rsid w:val="64C2AD24"/>
    <w:rsid w:val="64C53550"/>
    <w:rsid w:val="64CE6B36"/>
    <w:rsid w:val="64D20A5A"/>
    <w:rsid w:val="64D5469A"/>
    <w:rsid w:val="64D7D23D"/>
    <w:rsid w:val="64D8B342"/>
    <w:rsid w:val="64DD38B3"/>
    <w:rsid w:val="64F8F410"/>
    <w:rsid w:val="64F9DA3C"/>
    <w:rsid w:val="65152DF8"/>
    <w:rsid w:val="65370AF8"/>
    <w:rsid w:val="65393805"/>
    <w:rsid w:val="65435DC2"/>
    <w:rsid w:val="655BD738"/>
    <w:rsid w:val="65639905"/>
    <w:rsid w:val="657AEE7D"/>
    <w:rsid w:val="65844D0B"/>
    <w:rsid w:val="658B36EB"/>
    <w:rsid w:val="65DEB613"/>
    <w:rsid w:val="65F704B9"/>
    <w:rsid w:val="65FE34CE"/>
    <w:rsid w:val="660D4194"/>
    <w:rsid w:val="660F65D5"/>
    <w:rsid w:val="6615273A"/>
    <w:rsid w:val="661B883F"/>
    <w:rsid w:val="66293D2A"/>
    <w:rsid w:val="662F52BF"/>
    <w:rsid w:val="663A5139"/>
    <w:rsid w:val="663E3A3B"/>
    <w:rsid w:val="663FFE1B"/>
    <w:rsid w:val="6644E354"/>
    <w:rsid w:val="66498E91"/>
    <w:rsid w:val="664EA1E0"/>
    <w:rsid w:val="665B7FDC"/>
    <w:rsid w:val="6665DEA8"/>
    <w:rsid w:val="667ADD8E"/>
    <w:rsid w:val="6682CD41"/>
    <w:rsid w:val="669200E0"/>
    <w:rsid w:val="6696D630"/>
    <w:rsid w:val="66A044B9"/>
    <w:rsid w:val="66B1CF6A"/>
    <w:rsid w:val="66B5C4A3"/>
    <w:rsid w:val="66BD8B2E"/>
    <w:rsid w:val="66C96F56"/>
    <w:rsid w:val="66D1D44E"/>
    <w:rsid w:val="66D5803C"/>
    <w:rsid w:val="66EB717B"/>
    <w:rsid w:val="66FC1610"/>
    <w:rsid w:val="66FD2650"/>
    <w:rsid w:val="67109D3B"/>
    <w:rsid w:val="67131A5A"/>
    <w:rsid w:val="671412DA"/>
    <w:rsid w:val="67145857"/>
    <w:rsid w:val="672860DA"/>
    <w:rsid w:val="6728CCE9"/>
    <w:rsid w:val="672A21E5"/>
    <w:rsid w:val="672E55B4"/>
    <w:rsid w:val="6742DD8E"/>
    <w:rsid w:val="674FB99B"/>
    <w:rsid w:val="6750E50A"/>
    <w:rsid w:val="6751A398"/>
    <w:rsid w:val="67679A6F"/>
    <w:rsid w:val="676924CE"/>
    <w:rsid w:val="676FDC07"/>
    <w:rsid w:val="6774B51D"/>
    <w:rsid w:val="67863F60"/>
    <w:rsid w:val="6795A8C9"/>
    <w:rsid w:val="679F6598"/>
    <w:rsid w:val="67A955BB"/>
    <w:rsid w:val="67AA5760"/>
    <w:rsid w:val="67AA6969"/>
    <w:rsid w:val="67AFB991"/>
    <w:rsid w:val="67C30EC5"/>
    <w:rsid w:val="67C8B506"/>
    <w:rsid w:val="67D5DA23"/>
    <w:rsid w:val="67E248BF"/>
    <w:rsid w:val="67E271F0"/>
    <w:rsid w:val="67F6E75A"/>
    <w:rsid w:val="67FAC161"/>
    <w:rsid w:val="67FC054C"/>
    <w:rsid w:val="680189BA"/>
    <w:rsid w:val="680E7F85"/>
    <w:rsid w:val="680ECAC4"/>
    <w:rsid w:val="680F459D"/>
    <w:rsid w:val="6819720C"/>
    <w:rsid w:val="681E3E21"/>
    <w:rsid w:val="68323E48"/>
    <w:rsid w:val="6836B3C7"/>
    <w:rsid w:val="683F235C"/>
    <w:rsid w:val="684C66A1"/>
    <w:rsid w:val="6857774F"/>
    <w:rsid w:val="6864A90D"/>
    <w:rsid w:val="686C3293"/>
    <w:rsid w:val="6876736B"/>
    <w:rsid w:val="687962B7"/>
    <w:rsid w:val="687AB0CE"/>
    <w:rsid w:val="688824AB"/>
    <w:rsid w:val="68934D39"/>
    <w:rsid w:val="68BA7353"/>
    <w:rsid w:val="68BE5A89"/>
    <w:rsid w:val="68C0DF3D"/>
    <w:rsid w:val="68C2B52A"/>
    <w:rsid w:val="68C9C62D"/>
    <w:rsid w:val="68D827C6"/>
    <w:rsid w:val="68EA2292"/>
    <w:rsid w:val="69005960"/>
    <w:rsid w:val="691060A2"/>
    <w:rsid w:val="6918D5BA"/>
    <w:rsid w:val="6925DA97"/>
    <w:rsid w:val="6928C26C"/>
    <w:rsid w:val="692F66EE"/>
    <w:rsid w:val="6931F209"/>
    <w:rsid w:val="695662CA"/>
    <w:rsid w:val="69633C07"/>
    <w:rsid w:val="696EAD74"/>
    <w:rsid w:val="69739728"/>
    <w:rsid w:val="69755A27"/>
    <w:rsid w:val="69756D2E"/>
    <w:rsid w:val="697EFE87"/>
    <w:rsid w:val="6982B2DB"/>
    <w:rsid w:val="6982E0EB"/>
    <w:rsid w:val="6983B9F2"/>
    <w:rsid w:val="699A54D0"/>
    <w:rsid w:val="699B5120"/>
    <w:rsid w:val="69A1B446"/>
    <w:rsid w:val="69BA8790"/>
    <w:rsid w:val="69C24FB5"/>
    <w:rsid w:val="69DCCC29"/>
    <w:rsid w:val="69E0BE77"/>
    <w:rsid w:val="69E8D40E"/>
    <w:rsid w:val="69EF2654"/>
    <w:rsid w:val="69F6CC0D"/>
    <w:rsid w:val="6A086F78"/>
    <w:rsid w:val="6A0AA17D"/>
    <w:rsid w:val="6A0C9A5F"/>
    <w:rsid w:val="6A0CDDDA"/>
    <w:rsid w:val="6A20348B"/>
    <w:rsid w:val="6A20585F"/>
    <w:rsid w:val="6A20D283"/>
    <w:rsid w:val="6A27B73B"/>
    <w:rsid w:val="6A388D6C"/>
    <w:rsid w:val="6A3A01B5"/>
    <w:rsid w:val="6A3B27B1"/>
    <w:rsid w:val="6A3E9163"/>
    <w:rsid w:val="6A4E38CB"/>
    <w:rsid w:val="6A62C2DD"/>
    <w:rsid w:val="6A728BA9"/>
    <w:rsid w:val="6A93F50E"/>
    <w:rsid w:val="6AA3BDED"/>
    <w:rsid w:val="6ABB8DB2"/>
    <w:rsid w:val="6ACF494B"/>
    <w:rsid w:val="6AFF6D17"/>
    <w:rsid w:val="6B08002C"/>
    <w:rsid w:val="6B1DA20A"/>
    <w:rsid w:val="6B410436"/>
    <w:rsid w:val="6B418013"/>
    <w:rsid w:val="6B52F339"/>
    <w:rsid w:val="6B6AEE89"/>
    <w:rsid w:val="6B806F34"/>
    <w:rsid w:val="6B84B071"/>
    <w:rsid w:val="6B878E85"/>
    <w:rsid w:val="6B969A62"/>
    <w:rsid w:val="6B9BCDBB"/>
    <w:rsid w:val="6BA0C723"/>
    <w:rsid w:val="6BA2663A"/>
    <w:rsid w:val="6BA2DE76"/>
    <w:rsid w:val="6BA434D9"/>
    <w:rsid w:val="6BA70AA7"/>
    <w:rsid w:val="6BB029A6"/>
    <w:rsid w:val="6BC2C404"/>
    <w:rsid w:val="6BCF1685"/>
    <w:rsid w:val="6BE585E8"/>
    <w:rsid w:val="6BEC1C05"/>
    <w:rsid w:val="6C22468C"/>
    <w:rsid w:val="6C265D22"/>
    <w:rsid w:val="6C2809C5"/>
    <w:rsid w:val="6C2FE30E"/>
    <w:rsid w:val="6C34AE88"/>
    <w:rsid w:val="6C38A5F0"/>
    <w:rsid w:val="6C3DA336"/>
    <w:rsid w:val="6C3E40D8"/>
    <w:rsid w:val="6C42B947"/>
    <w:rsid w:val="6C4E608B"/>
    <w:rsid w:val="6C5CB368"/>
    <w:rsid w:val="6C65BD8F"/>
    <w:rsid w:val="6C66869F"/>
    <w:rsid w:val="6C75996C"/>
    <w:rsid w:val="6C806538"/>
    <w:rsid w:val="6C80C9AE"/>
    <w:rsid w:val="6C8BCFDC"/>
    <w:rsid w:val="6C8EC8B3"/>
    <w:rsid w:val="6C9695F7"/>
    <w:rsid w:val="6C9AE2D4"/>
    <w:rsid w:val="6CA86DDA"/>
    <w:rsid w:val="6CAC9316"/>
    <w:rsid w:val="6CADFE72"/>
    <w:rsid w:val="6CB1639A"/>
    <w:rsid w:val="6CB176DC"/>
    <w:rsid w:val="6CB21AD0"/>
    <w:rsid w:val="6CBE1DDA"/>
    <w:rsid w:val="6CC42DB6"/>
    <w:rsid w:val="6CCC782D"/>
    <w:rsid w:val="6CEA3466"/>
    <w:rsid w:val="6CF14049"/>
    <w:rsid w:val="6CF283B8"/>
    <w:rsid w:val="6CF9ADB4"/>
    <w:rsid w:val="6D2D18C6"/>
    <w:rsid w:val="6D513CB2"/>
    <w:rsid w:val="6D698DF4"/>
    <w:rsid w:val="6D6B2057"/>
    <w:rsid w:val="6D6D550B"/>
    <w:rsid w:val="6D76526B"/>
    <w:rsid w:val="6D830B0E"/>
    <w:rsid w:val="6DAF3158"/>
    <w:rsid w:val="6DB36FA3"/>
    <w:rsid w:val="6DB40BF7"/>
    <w:rsid w:val="6DB76228"/>
    <w:rsid w:val="6DC6E8CC"/>
    <w:rsid w:val="6DC6EAB9"/>
    <w:rsid w:val="6DF08F82"/>
    <w:rsid w:val="6E0CC1FA"/>
    <w:rsid w:val="6E2CE951"/>
    <w:rsid w:val="6E2DE0A6"/>
    <w:rsid w:val="6E2F2ACD"/>
    <w:rsid w:val="6E70FF26"/>
    <w:rsid w:val="6E79DBC3"/>
    <w:rsid w:val="6E7A390B"/>
    <w:rsid w:val="6E7BC223"/>
    <w:rsid w:val="6E970B06"/>
    <w:rsid w:val="6E981501"/>
    <w:rsid w:val="6E9D418F"/>
    <w:rsid w:val="6EA55936"/>
    <w:rsid w:val="6EAC053C"/>
    <w:rsid w:val="6EB804BB"/>
    <w:rsid w:val="6EB812CA"/>
    <w:rsid w:val="6ECDB9AC"/>
    <w:rsid w:val="6EDABE54"/>
    <w:rsid w:val="6EEC277C"/>
    <w:rsid w:val="6EFBBE0D"/>
    <w:rsid w:val="6F010476"/>
    <w:rsid w:val="6F0B4972"/>
    <w:rsid w:val="6F13AB59"/>
    <w:rsid w:val="6F1DF766"/>
    <w:rsid w:val="6F1EFB54"/>
    <w:rsid w:val="6F2AEECC"/>
    <w:rsid w:val="6F2CA762"/>
    <w:rsid w:val="6F419185"/>
    <w:rsid w:val="6F4315F8"/>
    <w:rsid w:val="6F44523E"/>
    <w:rsid w:val="6F4D8441"/>
    <w:rsid w:val="6F513BB0"/>
    <w:rsid w:val="6F549875"/>
    <w:rsid w:val="6F55A272"/>
    <w:rsid w:val="6F572938"/>
    <w:rsid w:val="6F6095A0"/>
    <w:rsid w:val="6F6D3314"/>
    <w:rsid w:val="6F874910"/>
    <w:rsid w:val="6F8FB312"/>
    <w:rsid w:val="6F9BA009"/>
    <w:rsid w:val="6FA235A0"/>
    <w:rsid w:val="6FA2D02D"/>
    <w:rsid w:val="6FAE8BA5"/>
    <w:rsid w:val="6FB512E6"/>
    <w:rsid w:val="6FBA67C5"/>
    <w:rsid w:val="6FBBDB5C"/>
    <w:rsid w:val="6FBEC2E9"/>
    <w:rsid w:val="6FD0A311"/>
    <w:rsid w:val="6FDAE6F0"/>
    <w:rsid w:val="6FDC1259"/>
    <w:rsid w:val="6FDE8485"/>
    <w:rsid w:val="6FE43B9B"/>
    <w:rsid w:val="6FE513B6"/>
    <w:rsid w:val="6FF784BD"/>
    <w:rsid w:val="6FFD58DA"/>
    <w:rsid w:val="6FFDB884"/>
    <w:rsid w:val="70100333"/>
    <w:rsid w:val="701B7F0D"/>
    <w:rsid w:val="701FC16E"/>
    <w:rsid w:val="702AD33D"/>
    <w:rsid w:val="702DDC2D"/>
    <w:rsid w:val="703CA805"/>
    <w:rsid w:val="703D9CE7"/>
    <w:rsid w:val="703FD4E8"/>
    <w:rsid w:val="704C33E5"/>
    <w:rsid w:val="70575698"/>
    <w:rsid w:val="70576572"/>
    <w:rsid w:val="705CDC6F"/>
    <w:rsid w:val="706225B9"/>
    <w:rsid w:val="706BC513"/>
    <w:rsid w:val="70745BD6"/>
    <w:rsid w:val="7074786B"/>
    <w:rsid w:val="7075D91C"/>
    <w:rsid w:val="707906BE"/>
    <w:rsid w:val="7088B019"/>
    <w:rsid w:val="708EC4F8"/>
    <w:rsid w:val="709C12DD"/>
    <w:rsid w:val="70BE4EF8"/>
    <w:rsid w:val="70DB669A"/>
    <w:rsid w:val="70DCCC68"/>
    <w:rsid w:val="70DDC6FB"/>
    <w:rsid w:val="70DE138E"/>
    <w:rsid w:val="70E38598"/>
    <w:rsid w:val="70F4A0C5"/>
    <w:rsid w:val="70FF36F3"/>
    <w:rsid w:val="713970C5"/>
    <w:rsid w:val="7141392D"/>
    <w:rsid w:val="7144A941"/>
    <w:rsid w:val="7148FE41"/>
    <w:rsid w:val="7150059F"/>
    <w:rsid w:val="7167E2F1"/>
    <w:rsid w:val="71742F17"/>
    <w:rsid w:val="717D677E"/>
    <w:rsid w:val="718DB4E2"/>
    <w:rsid w:val="719CB8CC"/>
    <w:rsid w:val="719E79DA"/>
    <w:rsid w:val="71A0C6E6"/>
    <w:rsid w:val="71A4A97B"/>
    <w:rsid w:val="71A85008"/>
    <w:rsid w:val="71B525FA"/>
    <w:rsid w:val="71BB4444"/>
    <w:rsid w:val="71BD94BE"/>
    <w:rsid w:val="71C3DD7C"/>
    <w:rsid w:val="71CED2EE"/>
    <w:rsid w:val="71D0488B"/>
    <w:rsid w:val="71D636B8"/>
    <w:rsid w:val="71E2D638"/>
    <w:rsid w:val="71EC5E80"/>
    <w:rsid w:val="71FF24E5"/>
    <w:rsid w:val="7205B1CB"/>
    <w:rsid w:val="7208021C"/>
    <w:rsid w:val="7211630D"/>
    <w:rsid w:val="721B4E62"/>
    <w:rsid w:val="72251127"/>
    <w:rsid w:val="723272F0"/>
    <w:rsid w:val="723632EA"/>
    <w:rsid w:val="72378B53"/>
    <w:rsid w:val="723D1420"/>
    <w:rsid w:val="723F4B9C"/>
    <w:rsid w:val="723F7E52"/>
    <w:rsid w:val="72437C17"/>
    <w:rsid w:val="7249D873"/>
    <w:rsid w:val="725717E7"/>
    <w:rsid w:val="7274927C"/>
    <w:rsid w:val="727548C4"/>
    <w:rsid w:val="7289725F"/>
    <w:rsid w:val="728C8653"/>
    <w:rsid w:val="728F2817"/>
    <w:rsid w:val="7290B0B2"/>
    <w:rsid w:val="729D1EBF"/>
    <w:rsid w:val="729E30D9"/>
    <w:rsid w:val="72A0B7D4"/>
    <w:rsid w:val="72B27847"/>
    <w:rsid w:val="72BB8064"/>
    <w:rsid w:val="72C69545"/>
    <w:rsid w:val="72D08499"/>
    <w:rsid w:val="72EF48C4"/>
    <w:rsid w:val="72F88747"/>
    <w:rsid w:val="72F9160E"/>
    <w:rsid w:val="72FE8B01"/>
    <w:rsid w:val="730A6CD5"/>
    <w:rsid w:val="73185712"/>
    <w:rsid w:val="7329AF14"/>
    <w:rsid w:val="734CA1DB"/>
    <w:rsid w:val="73572386"/>
    <w:rsid w:val="7364B5DA"/>
    <w:rsid w:val="7368BB48"/>
    <w:rsid w:val="736B55A2"/>
    <w:rsid w:val="73747553"/>
    <w:rsid w:val="738F7E5E"/>
    <w:rsid w:val="739C2E4B"/>
    <w:rsid w:val="73A2AF61"/>
    <w:rsid w:val="73CD149E"/>
    <w:rsid w:val="73CF9278"/>
    <w:rsid w:val="73D29B86"/>
    <w:rsid w:val="73DF8835"/>
    <w:rsid w:val="73E3C6A7"/>
    <w:rsid w:val="73EA00FB"/>
    <w:rsid w:val="73EB9A13"/>
    <w:rsid w:val="73EC3BD6"/>
    <w:rsid w:val="73ED34F7"/>
    <w:rsid w:val="73FC46B5"/>
    <w:rsid w:val="7414F1B8"/>
    <w:rsid w:val="74258565"/>
    <w:rsid w:val="7428D1BD"/>
    <w:rsid w:val="74486578"/>
    <w:rsid w:val="744CF823"/>
    <w:rsid w:val="745F8447"/>
    <w:rsid w:val="7477A0AE"/>
    <w:rsid w:val="747B0310"/>
    <w:rsid w:val="747F315E"/>
    <w:rsid w:val="74A5B78B"/>
    <w:rsid w:val="74C149E2"/>
    <w:rsid w:val="74C1635C"/>
    <w:rsid w:val="74C74446"/>
    <w:rsid w:val="74D5B4FC"/>
    <w:rsid w:val="74EED042"/>
    <w:rsid w:val="74F07FFD"/>
    <w:rsid w:val="750520D1"/>
    <w:rsid w:val="75078474"/>
    <w:rsid w:val="75230348"/>
    <w:rsid w:val="75259E92"/>
    <w:rsid w:val="752FBF84"/>
    <w:rsid w:val="75391166"/>
    <w:rsid w:val="753F0EFE"/>
    <w:rsid w:val="754629C5"/>
    <w:rsid w:val="7546C1D2"/>
    <w:rsid w:val="7564FB87"/>
    <w:rsid w:val="756AC95A"/>
    <w:rsid w:val="758384B7"/>
    <w:rsid w:val="75A71291"/>
    <w:rsid w:val="75B2359B"/>
    <w:rsid w:val="75C8D999"/>
    <w:rsid w:val="75CDD8CB"/>
    <w:rsid w:val="75CE4BFB"/>
    <w:rsid w:val="75D28DC6"/>
    <w:rsid w:val="75D5220B"/>
    <w:rsid w:val="75D60C23"/>
    <w:rsid w:val="75D9089A"/>
    <w:rsid w:val="75E98623"/>
    <w:rsid w:val="75F0610D"/>
    <w:rsid w:val="75F80AA5"/>
    <w:rsid w:val="760082BC"/>
    <w:rsid w:val="7605F05D"/>
    <w:rsid w:val="760BA5C7"/>
    <w:rsid w:val="76128B6C"/>
    <w:rsid w:val="76144915"/>
    <w:rsid w:val="761ADD38"/>
    <w:rsid w:val="7630AC57"/>
    <w:rsid w:val="763FA3AD"/>
    <w:rsid w:val="76402637"/>
    <w:rsid w:val="76499543"/>
    <w:rsid w:val="76499C82"/>
    <w:rsid w:val="76529D3F"/>
    <w:rsid w:val="76632C17"/>
    <w:rsid w:val="76678FDE"/>
    <w:rsid w:val="767529C0"/>
    <w:rsid w:val="76769FEB"/>
    <w:rsid w:val="768F2A61"/>
    <w:rsid w:val="76A545D7"/>
    <w:rsid w:val="76B75876"/>
    <w:rsid w:val="76E3E54A"/>
    <w:rsid w:val="76F0DFEB"/>
    <w:rsid w:val="770A199B"/>
    <w:rsid w:val="77116669"/>
    <w:rsid w:val="772F5E25"/>
    <w:rsid w:val="77338FB5"/>
    <w:rsid w:val="7738E606"/>
    <w:rsid w:val="7745553B"/>
    <w:rsid w:val="7748D292"/>
    <w:rsid w:val="7760132F"/>
    <w:rsid w:val="777F1A61"/>
    <w:rsid w:val="778A70E6"/>
    <w:rsid w:val="7793FF33"/>
    <w:rsid w:val="77A8FF0E"/>
    <w:rsid w:val="77C32AB5"/>
    <w:rsid w:val="77C7C3AA"/>
    <w:rsid w:val="77CDCB74"/>
    <w:rsid w:val="77D8B711"/>
    <w:rsid w:val="77DCECF7"/>
    <w:rsid w:val="77E09B00"/>
    <w:rsid w:val="77E133A5"/>
    <w:rsid w:val="77E306ED"/>
    <w:rsid w:val="77EAC994"/>
    <w:rsid w:val="77F1A280"/>
    <w:rsid w:val="77FA4114"/>
    <w:rsid w:val="7803B0B8"/>
    <w:rsid w:val="785A91BC"/>
    <w:rsid w:val="785B4E6C"/>
    <w:rsid w:val="785C603B"/>
    <w:rsid w:val="7879238C"/>
    <w:rsid w:val="7896D9B0"/>
    <w:rsid w:val="789B3E31"/>
    <w:rsid w:val="789D30BA"/>
    <w:rsid w:val="78ACAD16"/>
    <w:rsid w:val="78B2DB62"/>
    <w:rsid w:val="78BA500E"/>
    <w:rsid w:val="78C3C3AD"/>
    <w:rsid w:val="78F91D6F"/>
    <w:rsid w:val="790F87B7"/>
    <w:rsid w:val="7912DB75"/>
    <w:rsid w:val="792F61FA"/>
    <w:rsid w:val="792F91CE"/>
    <w:rsid w:val="793140ED"/>
    <w:rsid w:val="7940EAC4"/>
    <w:rsid w:val="794F86C7"/>
    <w:rsid w:val="79508A16"/>
    <w:rsid w:val="795817A8"/>
    <w:rsid w:val="7968928E"/>
    <w:rsid w:val="798F0D36"/>
    <w:rsid w:val="79944852"/>
    <w:rsid w:val="7997209A"/>
    <w:rsid w:val="79994599"/>
    <w:rsid w:val="799A09C8"/>
    <w:rsid w:val="799DE9C1"/>
    <w:rsid w:val="79AD23C1"/>
    <w:rsid w:val="79B091AB"/>
    <w:rsid w:val="79CE4DAC"/>
    <w:rsid w:val="79D3761C"/>
    <w:rsid w:val="79DE1C3F"/>
    <w:rsid w:val="7A00679E"/>
    <w:rsid w:val="7A0570CE"/>
    <w:rsid w:val="7A0640A5"/>
    <w:rsid w:val="7A10C4AF"/>
    <w:rsid w:val="7A2592E1"/>
    <w:rsid w:val="7A2DEAFB"/>
    <w:rsid w:val="7A34E599"/>
    <w:rsid w:val="7A3CACF8"/>
    <w:rsid w:val="7A45ED57"/>
    <w:rsid w:val="7A4C16EA"/>
    <w:rsid w:val="7A5375C3"/>
    <w:rsid w:val="7A5B7674"/>
    <w:rsid w:val="7A5DA681"/>
    <w:rsid w:val="7A60B135"/>
    <w:rsid w:val="7A626AEB"/>
    <w:rsid w:val="7A63DE97"/>
    <w:rsid w:val="7A72DD27"/>
    <w:rsid w:val="7A7BE657"/>
    <w:rsid w:val="7A890CD2"/>
    <w:rsid w:val="7A9D3D5C"/>
    <w:rsid w:val="7AA70913"/>
    <w:rsid w:val="7AA72F19"/>
    <w:rsid w:val="7ABBCE04"/>
    <w:rsid w:val="7AD6149B"/>
    <w:rsid w:val="7AE4956D"/>
    <w:rsid w:val="7AE56EE7"/>
    <w:rsid w:val="7AEA1CAB"/>
    <w:rsid w:val="7AEC5463"/>
    <w:rsid w:val="7AF1CDC5"/>
    <w:rsid w:val="7B03BDB8"/>
    <w:rsid w:val="7B073918"/>
    <w:rsid w:val="7B079787"/>
    <w:rsid w:val="7B1AAD3F"/>
    <w:rsid w:val="7B257A58"/>
    <w:rsid w:val="7B2A2B08"/>
    <w:rsid w:val="7B3E72F1"/>
    <w:rsid w:val="7B42753E"/>
    <w:rsid w:val="7B520C60"/>
    <w:rsid w:val="7B532EC7"/>
    <w:rsid w:val="7B55A2A2"/>
    <w:rsid w:val="7B6BF998"/>
    <w:rsid w:val="7B70ACB5"/>
    <w:rsid w:val="7B7B859F"/>
    <w:rsid w:val="7BBD5227"/>
    <w:rsid w:val="7BC1F6A9"/>
    <w:rsid w:val="7BCC416D"/>
    <w:rsid w:val="7BD645CB"/>
    <w:rsid w:val="7BE13943"/>
    <w:rsid w:val="7BEA991F"/>
    <w:rsid w:val="7BEB74A8"/>
    <w:rsid w:val="7C062B80"/>
    <w:rsid w:val="7C079435"/>
    <w:rsid w:val="7C0C670D"/>
    <w:rsid w:val="7C132A2F"/>
    <w:rsid w:val="7C1C73F3"/>
    <w:rsid w:val="7C1D695A"/>
    <w:rsid w:val="7C2CEF60"/>
    <w:rsid w:val="7C46A345"/>
    <w:rsid w:val="7C4D80FE"/>
    <w:rsid w:val="7C57A9B5"/>
    <w:rsid w:val="7C8E815E"/>
    <w:rsid w:val="7C90F239"/>
    <w:rsid w:val="7C95A758"/>
    <w:rsid w:val="7CADEC8A"/>
    <w:rsid w:val="7CB0ADF0"/>
    <w:rsid w:val="7CBD4DD4"/>
    <w:rsid w:val="7CBE66B1"/>
    <w:rsid w:val="7CD0A5DD"/>
    <w:rsid w:val="7CD3D2F8"/>
    <w:rsid w:val="7CE4A63C"/>
    <w:rsid w:val="7CE54FC1"/>
    <w:rsid w:val="7CF1EBDF"/>
    <w:rsid w:val="7D00CE11"/>
    <w:rsid w:val="7D020253"/>
    <w:rsid w:val="7D09D060"/>
    <w:rsid w:val="7D147AA5"/>
    <w:rsid w:val="7D1AC0C1"/>
    <w:rsid w:val="7D23982E"/>
    <w:rsid w:val="7D2C2120"/>
    <w:rsid w:val="7D30CAD2"/>
    <w:rsid w:val="7D362E76"/>
    <w:rsid w:val="7D39A006"/>
    <w:rsid w:val="7D4BC294"/>
    <w:rsid w:val="7D67CD7D"/>
    <w:rsid w:val="7D6D6281"/>
    <w:rsid w:val="7D8161DB"/>
    <w:rsid w:val="7D8172F3"/>
    <w:rsid w:val="7D9A8047"/>
    <w:rsid w:val="7DA55CF7"/>
    <w:rsid w:val="7DC652A2"/>
    <w:rsid w:val="7DC83A25"/>
    <w:rsid w:val="7DCB1B43"/>
    <w:rsid w:val="7DD318A9"/>
    <w:rsid w:val="7DD5BE69"/>
    <w:rsid w:val="7DDBB326"/>
    <w:rsid w:val="7DEBC670"/>
    <w:rsid w:val="7DF0E90D"/>
    <w:rsid w:val="7DF77A2F"/>
    <w:rsid w:val="7E0BB57E"/>
    <w:rsid w:val="7E1172EE"/>
    <w:rsid w:val="7E11C939"/>
    <w:rsid w:val="7E18A563"/>
    <w:rsid w:val="7E3A959D"/>
    <w:rsid w:val="7E3BC4A7"/>
    <w:rsid w:val="7E45B654"/>
    <w:rsid w:val="7E6CCFA8"/>
    <w:rsid w:val="7E6E82B0"/>
    <w:rsid w:val="7E8668E7"/>
    <w:rsid w:val="7E8886EA"/>
    <w:rsid w:val="7E922C58"/>
    <w:rsid w:val="7E93FD81"/>
    <w:rsid w:val="7E975AF0"/>
    <w:rsid w:val="7EAF6B6C"/>
    <w:rsid w:val="7EBCF6A6"/>
    <w:rsid w:val="7EC366F9"/>
    <w:rsid w:val="7EC6DAE0"/>
    <w:rsid w:val="7ED0DFD5"/>
    <w:rsid w:val="7EE79DA0"/>
    <w:rsid w:val="7EEAF8B9"/>
    <w:rsid w:val="7EFDBA04"/>
    <w:rsid w:val="7F08B3FB"/>
    <w:rsid w:val="7F23940B"/>
    <w:rsid w:val="7F25D769"/>
    <w:rsid w:val="7F306C6E"/>
    <w:rsid w:val="7F3DA1F1"/>
    <w:rsid w:val="7F463694"/>
    <w:rsid w:val="7F5634B1"/>
    <w:rsid w:val="7F5E820F"/>
    <w:rsid w:val="7F67318B"/>
    <w:rsid w:val="7F6AA819"/>
    <w:rsid w:val="7F71649D"/>
    <w:rsid w:val="7F81E425"/>
    <w:rsid w:val="7F8D71EA"/>
    <w:rsid w:val="7F9378C4"/>
    <w:rsid w:val="7FAA49B4"/>
    <w:rsid w:val="7FAC2DB1"/>
    <w:rsid w:val="7FB27839"/>
    <w:rsid w:val="7FC174E2"/>
    <w:rsid w:val="7FD2E273"/>
    <w:rsid w:val="7FDAC8AE"/>
    <w:rsid w:val="7FDDE364"/>
    <w:rsid w:val="7FE22C5E"/>
    <w:rsid w:val="7FE6534B"/>
    <w:rsid w:val="7FE89B18"/>
    <w:rsid w:val="7FE9B2EE"/>
    <w:rsid w:val="7FF42F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8C232A"/>
    <w:pPr>
      <w:keepNext/>
      <w:keepLines/>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spacing w:before="360" w:after="240" w:line="240" w:lineRule="auto"/>
      <w:ind w:left="360" w:hanging="36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34179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B366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3B366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uiPriority w:val="39"/>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CMA Table Template"/>
    <w:basedOn w:val="TableNormal"/>
    <w:uiPriority w:val="3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rsid w:val="00CA528A"/>
    <w:pPr>
      <w:spacing w:after="360" w:line="240" w:lineRule="auto"/>
      <w:contextualSpacing/>
    </w:pPr>
    <w:rPr>
      <w:sz w:val="18"/>
    </w:rPr>
  </w:style>
  <w:style w:type="paragraph" w:styleId="ListParagraph">
    <w:name w:val="List Paragraph"/>
    <w:aliases w:val="List Paragraph1,List Paragraph11,L,Recommendation,CV text,Colorful List - Accent 11,COOP,Primary Bullet List,Figure_name,Numbered Indented Text,Bullet- First level,List NUmber,Listenabsatz1,lp1,standard lewis,Body Text1,Body text,List1,LP"/>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rsid w:val="00FD17BA"/>
    <w:pPr>
      <w:ind w:left="142" w:hanging="142"/>
    </w:pPr>
  </w:style>
  <w:style w:type="paragraph" w:customStyle="1" w:styleId="TableTextCA">
    <w:name w:val="Table Text CA"/>
    <w:basedOn w:val="TableText"/>
    <w:rsid w:val="00FD17BA"/>
    <w:pPr>
      <w:jc w:val="center"/>
    </w:pPr>
  </w:style>
  <w:style w:type="paragraph" w:customStyle="1" w:styleId="TableHeadingCA">
    <w:name w:val="Table Heading CA"/>
    <w:basedOn w:val="TableHeading0"/>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rsid w:val="00004F7F"/>
    <w:rPr>
      <w:shd w:val="clear" w:color="auto" w:fill="BDD6EE" w:themeFill="accent1" w:themeFillTint="66"/>
    </w:rPr>
  </w:style>
  <w:style w:type="paragraph" w:customStyle="1" w:styleId="1ExplanatoryText">
    <w:name w:val="1ExplanatoryText"/>
    <w:basedOn w:val="Normal"/>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836199"/>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1"/>
      </w:numPr>
      <w:jc w:val="both"/>
    </w:pPr>
    <w:rPr>
      <w:rFonts w:ascii="Calibri" w:eastAsia="Times New Roman" w:hAnsi="Calibri" w:cs="Tahoma"/>
      <w:lang w:eastAsia="en-AU"/>
    </w:rPr>
  </w:style>
  <w:style w:type="paragraph" w:styleId="TOCHeading">
    <w:name w:val="TOC Heading"/>
    <w:basedOn w:val="Heading1"/>
    <w:next w:val="Normal"/>
    <w:uiPriority w:val="39"/>
    <w:unhideWhenUsed/>
    <w:rsid w:val="00DE7099"/>
    <w:p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C02065"/>
    <w:pPr>
      <w:tabs>
        <w:tab w:val="left" w:pos="284"/>
      </w:tabs>
      <w:spacing w:before="0" w:after="360" w:line="240" w:lineRule="auto"/>
      <w:contextualSpacing/>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C02065"/>
    <w:rPr>
      <w:rFonts w:ascii="Arial Narrow" w:eastAsia="Times New Roman" w:hAnsi="Arial Narrow" w:cs="Arial"/>
      <w:snapToGrid w:val="0"/>
      <w:sz w:val="18"/>
      <w:lang w:eastAsia="en-AU"/>
    </w:rPr>
  </w:style>
  <w:style w:type="character" w:styleId="Emphasis">
    <w:name w:val="Emphasis"/>
    <w:uiPriority w:val="20"/>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List Paragraph1 Char,List Paragraph11 Char,L Char,Recommendation Char,CV text Char,Colorful List - Accent 11 Char,COOP Char,Primary Bullet List Char,Figure_name Char,Numbered Indented Text Char,Bullet- First level Char,lp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085B34"/>
    <w:pPr>
      <w:numPr>
        <w:numId w:val="2"/>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3"/>
      </w:numPr>
    </w:pPr>
  </w:style>
  <w:style w:type="paragraph" w:customStyle="1" w:styleId="2-SectionHeading">
    <w:name w:val="2-Section Heading"/>
    <w:rsid w:val="005131D3"/>
    <w:pPr>
      <w:keepNext/>
      <w:numPr>
        <w:numId w:val="4"/>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rsid w:val="005131D3"/>
    <w:pPr>
      <w:numPr>
        <w:ilvl w:val="1"/>
        <w:numId w:val="4"/>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rsid w:val="00107DCD"/>
    <w:pPr>
      <w:numPr>
        <w:numId w:val="5"/>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Garamond" w:hAnsi="Garamond"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Garamond" w:hAnsi="Garamond"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Garamond" w:hAnsi="Garamond"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rsid w:val="002C70CE"/>
    <w:pPr>
      <w:numPr>
        <w:numId w:val="6"/>
      </w:numPr>
      <w:spacing w:before="240"/>
      <w:ind w:left="2154" w:hanging="357"/>
    </w:pPr>
  </w:style>
  <w:style w:type="paragraph" w:customStyle="1" w:styleId="NormalBeforeBullet">
    <w:name w:val="Normal Before Bullet"/>
    <w:basedOn w:val="Normal"/>
    <w:rsid w:val="00091C59"/>
    <w:pPr>
      <w:keepNext/>
      <w:spacing w:after="120" w:line="240" w:lineRule="auto"/>
    </w:pPr>
    <w:rPr>
      <w:rFonts w:asciiTheme="minorHAnsi" w:hAnsiTheme="minorHAnsi"/>
    </w:rPr>
  </w:style>
  <w:style w:type="paragraph" w:customStyle="1" w:styleId="Dash">
    <w:name w:val="Dash"/>
    <w:basedOn w:val="Bullet"/>
    <w:rsid w:val="00091C59"/>
    <w:pPr>
      <w:numPr>
        <w:numId w:val="7"/>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rsid w:val="002463A6"/>
    <w:pPr>
      <w:numPr>
        <w:numId w:val="8"/>
      </w:numPr>
      <w:spacing w:before="0" w:after="0"/>
    </w:pPr>
  </w:style>
  <w:style w:type="paragraph" w:customStyle="1" w:styleId="Instructionaltext-afterfiguretable">
    <w:name w:val="Instructional text - after figure/table"/>
    <w:basedOn w:val="Instructionaltext"/>
    <w:rsid w:val="00B151CF"/>
    <w:pPr>
      <w:spacing w:before="360"/>
    </w:pPr>
  </w:style>
  <w:style w:type="paragraph" w:customStyle="1" w:styleId="Guidelinescross-ref">
    <w:name w:val="Guidelines cross-ref"/>
    <w:basedOn w:val="Normal"/>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
    <w:name w:val="Unresolved Mention3"/>
    <w:basedOn w:val="DefaultParagraphFont"/>
    <w:uiPriority w:val="99"/>
    <w:semiHidden/>
    <w:unhideWhenUsed/>
    <w:rsid w:val="00D13865"/>
    <w:rPr>
      <w:color w:val="605E5C"/>
      <w:shd w:val="clear" w:color="auto" w:fill="E1DFDD"/>
    </w:rPr>
  </w:style>
  <w:style w:type="paragraph" w:styleId="NoSpacing">
    <w:name w:val="No Spacing"/>
    <w:uiPriority w:val="1"/>
    <w:rsid w:val="000B6462"/>
    <w:pPr>
      <w:spacing w:after="0" w:line="240" w:lineRule="auto"/>
    </w:pPr>
    <w:rPr>
      <w:rFonts w:ascii="Franklin Gothic Book" w:hAnsi="Franklin Gothic Book"/>
    </w:rPr>
  </w:style>
  <w:style w:type="table" w:customStyle="1" w:styleId="PBACTableStyle1">
    <w:name w:val="PBAC Table Style1"/>
    <w:basedOn w:val="TableGrid10"/>
    <w:uiPriority w:val="99"/>
    <w:rsid w:val="0032414D"/>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Garamond" w:hAnsi="Garamond"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Garamond" w:hAnsi="Garamond"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Garamond" w:hAnsi="Garamond"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
    <w:name w:val="PBAC Table Style2"/>
    <w:basedOn w:val="TableGrid10"/>
    <w:uiPriority w:val="99"/>
    <w:rsid w:val="0032414D"/>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Garamond" w:hAnsi="Garamond"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Garamond" w:hAnsi="Garamond"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Garamond" w:hAnsi="Garamond"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character" w:customStyle="1" w:styleId="UnresolvedMention4">
    <w:name w:val="Unresolved Mention4"/>
    <w:basedOn w:val="DefaultParagraphFont"/>
    <w:uiPriority w:val="99"/>
    <w:unhideWhenUsed/>
    <w:rsid w:val="00836199"/>
    <w:rPr>
      <w:color w:val="605E5C"/>
      <w:shd w:val="clear" w:color="auto" w:fill="E1DFDD"/>
    </w:rPr>
  </w:style>
  <w:style w:type="character" w:customStyle="1" w:styleId="normaltextrun">
    <w:name w:val="normaltextrun"/>
    <w:basedOn w:val="DefaultParagraphFont"/>
    <w:rsid w:val="00F30693"/>
  </w:style>
  <w:style w:type="character" w:styleId="PageNumber">
    <w:name w:val="page number"/>
    <w:basedOn w:val="DefaultParagraphFont"/>
    <w:uiPriority w:val="99"/>
    <w:semiHidden/>
    <w:unhideWhenUsed/>
    <w:rsid w:val="00AC3207"/>
  </w:style>
  <w:style w:type="paragraph" w:styleId="NormalWeb">
    <w:name w:val="Normal (Web)"/>
    <w:basedOn w:val="Normal"/>
    <w:uiPriority w:val="99"/>
    <w:semiHidden/>
    <w:unhideWhenUsed/>
    <w:rsid w:val="00AC32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793B72"/>
  </w:style>
  <w:style w:type="character" w:customStyle="1" w:styleId="findhit">
    <w:name w:val="findhit"/>
    <w:basedOn w:val="DefaultParagraphFont"/>
    <w:rsid w:val="00793B72"/>
  </w:style>
  <w:style w:type="character" w:customStyle="1" w:styleId="Mention1">
    <w:name w:val="Mention1"/>
    <w:basedOn w:val="DefaultParagraphFont"/>
    <w:uiPriority w:val="99"/>
    <w:unhideWhenUsed/>
    <w:rsid w:val="00F40098"/>
    <w:rPr>
      <w:color w:val="2B579A"/>
      <w:shd w:val="clear" w:color="auto" w:fill="E1DFDD"/>
    </w:rPr>
  </w:style>
  <w:style w:type="character" w:customStyle="1" w:styleId="Heading5Char">
    <w:name w:val="Heading 5 Char"/>
    <w:basedOn w:val="DefaultParagraphFont"/>
    <w:link w:val="Heading5"/>
    <w:uiPriority w:val="9"/>
    <w:rsid w:val="00341798"/>
    <w:rPr>
      <w:rFonts w:asciiTheme="majorHAnsi" w:eastAsiaTheme="majorEastAsia" w:hAnsiTheme="majorHAnsi" w:cstheme="majorBidi"/>
      <w:color w:val="2E74B5" w:themeColor="accent1" w:themeShade="BF"/>
    </w:rPr>
  </w:style>
  <w:style w:type="paragraph" w:customStyle="1" w:styleId="Tate">
    <w:name w:val="Tate"/>
    <w:basedOn w:val="TableText1"/>
    <w:qFormat/>
    <w:rsid w:val="00070EB0"/>
    <w:pPr>
      <w:jc w:val="left"/>
    </w:pPr>
    <w:rPr>
      <w:b/>
      <w:sz w:val="20"/>
      <w:szCs w:val="20"/>
    </w:rPr>
  </w:style>
  <w:style w:type="character" w:customStyle="1" w:styleId="Heading6Char">
    <w:name w:val="Heading 6 Char"/>
    <w:basedOn w:val="DefaultParagraphFont"/>
    <w:link w:val="Heading6"/>
    <w:uiPriority w:val="9"/>
    <w:rsid w:val="003B366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B366F"/>
    <w:rPr>
      <w:rFonts w:asciiTheme="majorHAnsi" w:eastAsiaTheme="majorEastAsia" w:hAnsiTheme="majorHAnsi" w:cstheme="majorBidi"/>
      <w:i/>
      <w:iCs/>
      <w:color w:val="1F4D78" w:themeColor="accent1" w:themeShade="7F"/>
    </w:rPr>
  </w:style>
  <w:style w:type="table" w:customStyle="1" w:styleId="HealthConsult1">
    <w:name w:val="HealthConsult1"/>
    <w:basedOn w:val="TableNormal"/>
    <w:next w:val="TableGrid"/>
    <w:uiPriority w:val="39"/>
    <w:rsid w:val="003B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pack-concepts-extraction-compare-comparedecision-comparedecision-modulereadonlyvalue">
    <w:name w:val="webpack-concepts-extraction-compare-comparedecision-comparedecision-module__readonlyvalue"/>
    <w:basedOn w:val="DefaultParagraphFont"/>
    <w:rsid w:val="003B366F"/>
  </w:style>
  <w:style w:type="character" w:styleId="PlaceholderText">
    <w:name w:val="Placeholder Text"/>
    <w:basedOn w:val="DefaultParagraphFont"/>
    <w:uiPriority w:val="99"/>
    <w:semiHidden/>
    <w:rsid w:val="003B366F"/>
    <w:rPr>
      <w:color w:val="666666"/>
    </w:rPr>
  </w:style>
  <w:style w:type="character" w:customStyle="1" w:styleId="cf01">
    <w:name w:val="cf01"/>
    <w:basedOn w:val="DefaultParagraphFont"/>
    <w:rsid w:val="003B366F"/>
    <w:rPr>
      <w:rFonts w:ascii="Segoe UI" w:hAnsi="Segoe UI" w:cs="Segoe UI" w:hint="default"/>
      <w:sz w:val="18"/>
      <w:szCs w:val="18"/>
    </w:rPr>
  </w:style>
  <w:style w:type="paragraph" w:customStyle="1" w:styleId="pf0">
    <w:name w:val="pf0"/>
    <w:basedOn w:val="Normal"/>
    <w:rsid w:val="003B366F"/>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1">
    <w:name w:val="Table Grid11"/>
    <w:basedOn w:val="TableNormal"/>
    <w:next w:val="TableGrid"/>
    <w:locked/>
    <w:rsid w:val="003B366F"/>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paragraph" w:customStyle="1" w:styleId="EndNoteBibliographyTitle">
    <w:name w:val="EndNote Bibliography Title"/>
    <w:basedOn w:val="Normal"/>
    <w:link w:val="EndNoteBibliographyTitleChar"/>
    <w:rsid w:val="003B366F"/>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3B366F"/>
    <w:rPr>
      <w:rFonts w:ascii="Franklin Gothic Book" w:hAnsi="Franklin Gothic Book"/>
      <w:noProof/>
      <w:lang w:val="en-US"/>
    </w:rPr>
  </w:style>
  <w:style w:type="paragraph" w:customStyle="1" w:styleId="EndNoteBibliography">
    <w:name w:val="EndNote Bibliography"/>
    <w:basedOn w:val="Normal"/>
    <w:link w:val="EndNoteBibliographyChar"/>
    <w:rsid w:val="003B366F"/>
    <w:pPr>
      <w:spacing w:line="240" w:lineRule="auto"/>
    </w:pPr>
    <w:rPr>
      <w:noProof/>
      <w:lang w:val="en-US"/>
    </w:rPr>
  </w:style>
  <w:style w:type="character" w:customStyle="1" w:styleId="EndNoteBibliographyChar">
    <w:name w:val="EndNote Bibliography Char"/>
    <w:basedOn w:val="DefaultParagraphFont"/>
    <w:link w:val="EndNoteBibliography"/>
    <w:rsid w:val="003B366F"/>
    <w:rPr>
      <w:rFonts w:ascii="Franklin Gothic Book" w:hAnsi="Franklin Gothic Book"/>
      <w:noProof/>
      <w:lang w:val="en-US"/>
    </w:rPr>
  </w:style>
  <w:style w:type="paragraph" w:customStyle="1" w:styleId="Figureparagraph">
    <w:name w:val="Figure paragraph"/>
    <w:next w:val="Caption"/>
    <w:link w:val="FigureparagraphChar"/>
    <w:qFormat/>
    <w:rsid w:val="003B366F"/>
    <w:pPr>
      <w:spacing w:after="40" w:line="240" w:lineRule="auto"/>
    </w:pPr>
    <w:rPr>
      <w:rFonts w:ascii="Arial Narrow" w:eastAsia="Times New Roman" w:hAnsi="Arial Narrow" w:cs="Arial"/>
      <w:snapToGrid w:val="0"/>
      <w:sz w:val="18"/>
      <w:lang w:eastAsia="en-AU"/>
    </w:rPr>
  </w:style>
  <w:style w:type="character" w:customStyle="1" w:styleId="FigureparagraphChar">
    <w:name w:val="Figure paragraph Char"/>
    <w:basedOn w:val="DefaultParagraphFont"/>
    <w:link w:val="Figureparagraph"/>
    <w:rsid w:val="003B366F"/>
    <w:rPr>
      <w:rFonts w:ascii="Arial Narrow" w:eastAsia="Times New Roman" w:hAnsi="Arial Narrow" w:cs="Arial"/>
      <w:snapToGrid w:val="0"/>
      <w:sz w:val="18"/>
      <w:lang w:eastAsia="en-AU"/>
    </w:rPr>
  </w:style>
  <w:style w:type="paragraph" w:customStyle="1" w:styleId="FigureCaption">
    <w:name w:val="Figure Caption"/>
    <w:basedOn w:val="Caption"/>
    <w:next w:val="Tablenotes0"/>
    <w:link w:val="FigureCaptionChar"/>
    <w:qFormat/>
    <w:rsid w:val="003B366F"/>
    <w:pPr>
      <w:keepLines/>
      <w:tabs>
        <w:tab w:val="left" w:pos="851"/>
      </w:tabs>
      <w:spacing w:before="40" w:after="40"/>
      <w:ind w:left="851" w:hanging="851"/>
    </w:pPr>
  </w:style>
  <w:style w:type="character" w:customStyle="1" w:styleId="FigureCaptionChar">
    <w:name w:val="Figure Caption Char"/>
    <w:basedOn w:val="CaptionChar"/>
    <w:link w:val="FigureCaption"/>
    <w:rsid w:val="003B366F"/>
    <w:rPr>
      <w:rFonts w:ascii="Arial Narrow" w:eastAsia="Times New Roman" w:hAnsi="Arial Narrow" w:cs="Times New Roman"/>
      <w:b/>
      <w:bCs/>
      <w:sz w:val="20"/>
      <w:szCs w:val="20"/>
    </w:rPr>
  </w:style>
  <w:style w:type="paragraph" w:customStyle="1" w:styleId="Default">
    <w:name w:val="Default"/>
    <w:rsid w:val="003B366F"/>
    <w:pPr>
      <w:autoSpaceDE w:val="0"/>
      <w:autoSpaceDN w:val="0"/>
      <w:adjustRightInd w:val="0"/>
      <w:spacing w:after="0" w:line="240" w:lineRule="auto"/>
    </w:pPr>
    <w:rPr>
      <w:rFonts w:ascii="Garamond" w:hAnsi="Garamond" w:cs="Garamond"/>
      <w:color w:val="000000"/>
      <w:sz w:val="24"/>
      <w:szCs w:val="24"/>
    </w:rPr>
  </w:style>
  <w:style w:type="character" w:customStyle="1" w:styleId="ui-provider">
    <w:name w:val="ui-provider"/>
    <w:basedOn w:val="DefaultParagraphFont"/>
    <w:rsid w:val="003B366F"/>
  </w:style>
  <w:style w:type="character" w:customStyle="1" w:styleId="anchor-text">
    <w:name w:val="anchor-text"/>
    <w:basedOn w:val="DefaultParagraphFont"/>
    <w:rsid w:val="003B366F"/>
  </w:style>
  <w:style w:type="numbering" w:customStyle="1" w:styleId="CurrentList1">
    <w:name w:val="Current List1"/>
    <w:uiPriority w:val="99"/>
    <w:rsid w:val="00BC42F9"/>
    <w:pPr>
      <w:numPr>
        <w:numId w:val="15"/>
      </w:numPr>
    </w:pPr>
  </w:style>
  <w:style w:type="paragraph" w:styleId="Quote">
    <w:name w:val="Quote"/>
    <w:basedOn w:val="Normal"/>
    <w:next w:val="Normal"/>
    <w:link w:val="QuoteChar"/>
    <w:uiPriority w:val="29"/>
    <w:qFormat/>
    <w:rsid w:val="00BF33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F3363"/>
    <w:rPr>
      <w:rFonts w:ascii="Franklin Gothic Book" w:hAnsi="Franklin Gothic Book"/>
      <w:i/>
      <w:iCs/>
      <w:color w:val="404040" w:themeColor="text1" w:themeTint="BF"/>
    </w:rPr>
  </w:style>
  <w:style w:type="paragraph" w:customStyle="1" w:styleId="TableDash">
    <w:name w:val="TableDash"/>
    <w:basedOn w:val="TableText1"/>
    <w:rsid w:val="00A6302F"/>
    <w:pPr>
      <w:numPr>
        <w:numId w:val="21"/>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oxName0">
    <w:name w:val="BoxName"/>
    <w:basedOn w:val="Normal"/>
    <w:rsid w:val="00A6302F"/>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A6302F"/>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A6302F"/>
    <w:pPr>
      <w:numPr>
        <w:numId w:val="22"/>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ulletBeforeDash">
    <w:name w:val="BulletBeforeDash"/>
    <w:basedOn w:val="Normal"/>
    <w:rsid w:val="0078218A"/>
    <w:pPr>
      <w:numPr>
        <w:numId w:val="23"/>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085B34"/>
    <w:pPr>
      <w:tabs>
        <w:tab w:val="num" w:pos="360"/>
      </w:tabs>
      <w:spacing w:before="0" w:after="240"/>
    </w:pPr>
    <w:rPr>
      <w:rFonts w:ascii="Franklin Gothic Book" w:eastAsia="Times New Roman" w:hAnsi="Franklin Gothic Book" w:cs="Times New Roman"/>
      <w:color w:val="000000"/>
      <w:szCs w:val="20"/>
      <w:lang w:eastAsia="en-AU"/>
    </w:rPr>
  </w:style>
  <w:style w:type="paragraph" w:customStyle="1" w:styleId="DashLast">
    <w:name w:val="DashLast"/>
    <w:basedOn w:val="Dash"/>
    <w:rsid w:val="0078218A"/>
    <w:pPr>
      <w:tabs>
        <w:tab w:val="left" w:pos="720"/>
      </w:tabs>
      <w:spacing w:before="0" w:after="120"/>
    </w:pPr>
    <w:rPr>
      <w:rFonts w:ascii="Franklin Gothic Book" w:eastAsia="Times New Roman" w:hAnsi="Franklin Gothic Book" w:cs="Times New Roman"/>
      <w:color w:val="000000"/>
      <w:szCs w:val="20"/>
      <w:lang w:eastAsia="en-AU"/>
    </w:rPr>
  </w:style>
  <w:style w:type="paragraph" w:customStyle="1" w:styleId="BoxDash">
    <w:name w:val="BoxDash"/>
    <w:basedOn w:val="BoxBullet"/>
    <w:rsid w:val="0078218A"/>
    <w:pPr>
      <w:numPr>
        <w:numId w:val="24"/>
      </w:numPr>
    </w:pPr>
  </w:style>
  <w:style w:type="paragraph" w:styleId="BodyText">
    <w:name w:val="Body Text"/>
    <w:basedOn w:val="Normal"/>
    <w:link w:val="BodyTextChar"/>
    <w:uiPriority w:val="99"/>
    <w:unhideWhenUsed/>
    <w:rsid w:val="0078218A"/>
    <w:pPr>
      <w:spacing w:before="0" w:after="120" w:line="240" w:lineRule="auto"/>
    </w:pPr>
    <w:rPr>
      <w:rFonts w:eastAsia="Times New Roman" w:cs="Times New Roman"/>
      <w:color w:val="000000"/>
      <w:szCs w:val="20"/>
      <w:lang w:eastAsia="en-AU"/>
    </w:rPr>
  </w:style>
  <w:style w:type="character" w:customStyle="1" w:styleId="BodyTextChar">
    <w:name w:val="Body Text Char"/>
    <w:basedOn w:val="DefaultParagraphFont"/>
    <w:link w:val="BodyText"/>
    <w:uiPriority w:val="99"/>
    <w:rsid w:val="0078218A"/>
    <w:rPr>
      <w:rFonts w:ascii="Franklin Gothic Book" w:eastAsia="Times New Roman" w:hAnsi="Franklin Gothic Book" w:cs="Times New Roman"/>
      <w:color w:val="000000"/>
      <w:szCs w:val="20"/>
      <w:lang w:eastAsia="en-AU"/>
    </w:rPr>
  </w:style>
  <w:style w:type="paragraph" w:styleId="ListBullet">
    <w:name w:val="List Bullet"/>
    <w:basedOn w:val="Normal"/>
    <w:uiPriority w:val="99"/>
    <w:unhideWhenUsed/>
    <w:rsid w:val="0078218A"/>
    <w:pPr>
      <w:numPr>
        <w:numId w:val="25"/>
      </w:numPr>
      <w:spacing w:before="0" w:after="240" w:line="240" w:lineRule="auto"/>
      <w:contextualSpacing/>
    </w:pPr>
    <w:rPr>
      <w:rFonts w:eastAsia="Times New Roman" w:cs="Times New Roman"/>
      <w:color w:val="000000"/>
      <w:szCs w:val="20"/>
      <w:lang w:eastAsia="en-AU"/>
    </w:rPr>
  </w:style>
  <w:style w:type="table" w:customStyle="1" w:styleId="Section3-footnot1">
    <w:name w:val="Section 3- footnot1"/>
    <w:basedOn w:val="TableNormal"/>
    <w:next w:val="TableGrid"/>
    <w:uiPriority w:val="59"/>
    <w:rsid w:val="00ED5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246667"/>
  </w:style>
  <w:style w:type="character" w:styleId="Mention">
    <w:name w:val="Mention"/>
    <w:basedOn w:val="DefaultParagraphFont"/>
    <w:uiPriority w:val="99"/>
    <w:unhideWhenUsed/>
    <w:rsid w:val="00B124BC"/>
    <w:rPr>
      <w:color w:val="2B579A"/>
      <w:shd w:val="clear" w:color="auto" w:fill="E1DFDD"/>
    </w:rPr>
  </w:style>
  <w:style w:type="character" w:styleId="UnresolvedMention">
    <w:name w:val="Unresolved Mention"/>
    <w:basedOn w:val="DefaultParagraphFont"/>
    <w:uiPriority w:val="99"/>
    <w:semiHidden/>
    <w:unhideWhenUsed/>
    <w:rsid w:val="00322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0838">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27024899">
      <w:bodyDiv w:val="1"/>
      <w:marLeft w:val="0"/>
      <w:marRight w:val="0"/>
      <w:marTop w:val="0"/>
      <w:marBottom w:val="0"/>
      <w:divBdr>
        <w:top w:val="none" w:sz="0" w:space="0" w:color="auto"/>
        <w:left w:val="none" w:sz="0" w:space="0" w:color="auto"/>
        <w:bottom w:val="none" w:sz="0" w:space="0" w:color="auto"/>
        <w:right w:val="none" w:sz="0" w:space="0" w:color="auto"/>
      </w:divBdr>
    </w:div>
    <w:div w:id="37167853">
      <w:bodyDiv w:val="1"/>
      <w:marLeft w:val="0"/>
      <w:marRight w:val="0"/>
      <w:marTop w:val="0"/>
      <w:marBottom w:val="0"/>
      <w:divBdr>
        <w:top w:val="none" w:sz="0" w:space="0" w:color="auto"/>
        <w:left w:val="none" w:sz="0" w:space="0" w:color="auto"/>
        <w:bottom w:val="none" w:sz="0" w:space="0" w:color="auto"/>
        <w:right w:val="none" w:sz="0" w:space="0" w:color="auto"/>
      </w:divBdr>
    </w:div>
    <w:div w:id="74129019">
      <w:bodyDiv w:val="1"/>
      <w:marLeft w:val="0"/>
      <w:marRight w:val="0"/>
      <w:marTop w:val="0"/>
      <w:marBottom w:val="0"/>
      <w:divBdr>
        <w:top w:val="none" w:sz="0" w:space="0" w:color="auto"/>
        <w:left w:val="none" w:sz="0" w:space="0" w:color="auto"/>
        <w:bottom w:val="none" w:sz="0" w:space="0" w:color="auto"/>
        <w:right w:val="none" w:sz="0" w:space="0" w:color="auto"/>
      </w:divBdr>
      <w:divsChild>
        <w:div w:id="2114015698">
          <w:marLeft w:val="547"/>
          <w:marRight w:val="0"/>
          <w:marTop w:val="86"/>
          <w:marBottom w:val="0"/>
          <w:divBdr>
            <w:top w:val="none" w:sz="0" w:space="0" w:color="auto"/>
            <w:left w:val="none" w:sz="0" w:space="0" w:color="auto"/>
            <w:bottom w:val="none" w:sz="0" w:space="0" w:color="auto"/>
            <w:right w:val="none" w:sz="0" w:space="0" w:color="auto"/>
          </w:divBdr>
        </w:div>
      </w:divsChild>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98375234">
      <w:bodyDiv w:val="1"/>
      <w:marLeft w:val="0"/>
      <w:marRight w:val="0"/>
      <w:marTop w:val="0"/>
      <w:marBottom w:val="0"/>
      <w:divBdr>
        <w:top w:val="none" w:sz="0" w:space="0" w:color="auto"/>
        <w:left w:val="none" w:sz="0" w:space="0" w:color="auto"/>
        <w:bottom w:val="none" w:sz="0" w:space="0" w:color="auto"/>
        <w:right w:val="none" w:sz="0" w:space="0" w:color="auto"/>
      </w:divBdr>
      <w:divsChild>
        <w:div w:id="1390881875">
          <w:marLeft w:val="720"/>
          <w:marRight w:val="0"/>
          <w:marTop w:val="96"/>
          <w:marBottom w:val="0"/>
          <w:divBdr>
            <w:top w:val="none" w:sz="0" w:space="0" w:color="auto"/>
            <w:left w:val="none" w:sz="0" w:space="0" w:color="auto"/>
            <w:bottom w:val="none" w:sz="0" w:space="0" w:color="auto"/>
            <w:right w:val="none" w:sz="0" w:space="0" w:color="auto"/>
          </w:divBdr>
        </w:div>
      </w:divsChild>
    </w:div>
    <w:div w:id="99297161">
      <w:bodyDiv w:val="1"/>
      <w:marLeft w:val="0"/>
      <w:marRight w:val="0"/>
      <w:marTop w:val="0"/>
      <w:marBottom w:val="0"/>
      <w:divBdr>
        <w:top w:val="none" w:sz="0" w:space="0" w:color="auto"/>
        <w:left w:val="none" w:sz="0" w:space="0" w:color="auto"/>
        <w:bottom w:val="none" w:sz="0" w:space="0" w:color="auto"/>
        <w:right w:val="none" w:sz="0" w:space="0" w:color="auto"/>
      </w:divBdr>
    </w:div>
    <w:div w:id="134025824">
      <w:bodyDiv w:val="1"/>
      <w:marLeft w:val="0"/>
      <w:marRight w:val="0"/>
      <w:marTop w:val="0"/>
      <w:marBottom w:val="0"/>
      <w:divBdr>
        <w:top w:val="none" w:sz="0" w:space="0" w:color="auto"/>
        <w:left w:val="none" w:sz="0" w:space="0" w:color="auto"/>
        <w:bottom w:val="none" w:sz="0" w:space="0" w:color="auto"/>
        <w:right w:val="none" w:sz="0" w:space="0" w:color="auto"/>
      </w:divBdr>
      <w:divsChild>
        <w:div w:id="541942514">
          <w:marLeft w:val="720"/>
          <w:marRight w:val="0"/>
          <w:marTop w:val="96"/>
          <w:marBottom w:val="0"/>
          <w:divBdr>
            <w:top w:val="none" w:sz="0" w:space="0" w:color="auto"/>
            <w:left w:val="none" w:sz="0" w:space="0" w:color="auto"/>
            <w:bottom w:val="none" w:sz="0" w:space="0" w:color="auto"/>
            <w:right w:val="none" w:sz="0" w:space="0" w:color="auto"/>
          </w:divBdr>
        </w:div>
      </w:divsChild>
    </w:div>
    <w:div w:id="15650756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35628521">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85280963">
      <w:bodyDiv w:val="1"/>
      <w:marLeft w:val="0"/>
      <w:marRight w:val="0"/>
      <w:marTop w:val="0"/>
      <w:marBottom w:val="0"/>
      <w:divBdr>
        <w:top w:val="none" w:sz="0" w:space="0" w:color="auto"/>
        <w:left w:val="none" w:sz="0" w:space="0" w:color="auto"/>
        <w:bottom w:val="none" w:sz="0" w:space="0" w:color="auto"/>
        <w:right w:val="none" w:sz="0" w:space="0" w:color="auto"/>
      </w:divBdr>
    </w:div>
    <w:div w:id="286274484">
      <w:bodyDiv w:val="1"/>
      <w:marLeft w:val="0"/>
      <w:marRight w:val="0"/>
      <w:marTop w:val="0"/>
      <w:marBottom w:val="0"/>
      <w:divBdr>
        <w:top w:val="none" w:sz="0" w:space="0" w:color="auto"/>
        <w:left w:val="none" w:sz="0" w:space="0" w:color="auto"/>
        <w:bottom w:val="none" w:sz="0" w:space="0" w:color="auto"/>
        <w:right w:val="none" w:sz="0" w:space="0" w:color="auto"/>
      </w:divBdr>
    </w:div>
    <w:div w:id="319502576">
      <w:bodyDiv w:val="1"/>
      <w:marLeft w:val="0"/>
      <w:marRight w:val="0"/>
      <w:marTop w:val="0"/>
      <w:marBottom w:val="0"/>
      <w:divBdr>
        <w:top w:val="none" w:sz="0" w:space="0" w:color="auto"/>
        <w:left w:val="none" w:sz="0" w:space="0" w:color="auto"/>
        <w:bottom w:val="none" w:sz="0" w:space="0" w:color="auto"/>
        <w:right w:val="none" w:sz="0" w:space="0" w:color="auto"/>
      </w:divBdr>
    </w:div>
    <w:div w:id="322005221">
      <w:bodyDiv w:val="1"/>
      <w:marLeft w:val="0"/>
      <w:marRight w:val="0"/>
      <w:marTop w:val="0"/>
      <w:marBottom w:val="0"/>
      <w:divBdr>
        <w:top w:val="none" w:sz="0" w:space="0" w:color="auto"/>
        <w:left w:val="none" w:sz="0" w:space="0" w:color="auto"/>
        <w:bottom w:val="none" w:sz="0" w:space="0" w:color="auto"/>
        <w:right w:val="none" w:sz="0" w:space="0" w:color="auto"/>
      </w:divBdr>
    </w:div>
    <w:div w:id="324280127">
      <w:bodyDiv w:val="1"/>
      <w:marLeft w:val="0"/>
      <w:marRight w:val="0"/>
      <w:marTop w:val="0"/>
      <w:marBottom w:val="0"/>
      <w:divBdr>
        <w:top w:val="none" w:sz="0" w:space="0" w:color="auto"/>
        <w:left w:val="none" w:sz="0" w:space="0" w:color="auto"/>
        <w:bottom w:val="none" w:sz="0" w:space="0" w:color="auto"/>
        <w:right w:val="none" w:sz="0" w:space="0" w:color="auto"/>
      </w:divBdr>
    </w:div>
    <w:div w:id="379715981">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17092989">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78574502">
      <w:bodyDiv w:val="1"/>
      <w:marLeft w:val="0"/>
      <w:marRight w:val="0"/>
      <w:marTop w:val="0"/>
      <w:marBottom w:val="0"/>
      <w:divBdr>
        <w:top w:val="none" w:sz="0" w:space="0" w:color="auto"/>
        <w:left w:val="none" w:sz="0" w:space="0" w:color="auto"/>
        <w:bottom w:val="none" w:sz="0" w:space="0" w:color="auto"/>
        <w:right w:val="none" w:sz="0" w:space="0" w:color="auto"/>
      </w:divBdr>
      <w:divsChild>
        <w:div w:id="1464882306">
          <w:marLeft w:val="547"/>
          <w:marRight w:val="0"/>
          <w:marTop w:val="96"/>
          <w:marBottom w:val="0"/>
          <w:divBdr>
            <w:top w:val="none" w:sz="0" w:space="0" w:color="auto"/>
            <w:left w:val="none" w:sz="0" w:space="0" w:color="auto"/>
            <w:bottom w:val="none" w:sz="0" w:space="0" w:color="auto"/>
            <w:right w:val="none" w:sz="0" w:space="0" w:color="auto"/>
          </w:divBdr>
        </w:div>
      </w:divsChild>
    </w:div>
    <w:div w:id="482627260">
      <w:bodyDiv w:val="1"/>
      <w:marLeft w:val="0"/>
      <w:marRight w:val="0"/>
      <w:marTop w:val="0"/>
      <w:marBottom w:val="0"/>
      <w:divBdr>
        <w:top w:val="none" w:sz="0" w:space="0" w:color="auto"/>
        <w:left w:val="none" w:sz="0" w:space="0" w:color="auto"/>
        <w:bottom w:val="none" w:sz="0" w:space="0" w:color="auto"/>
        <w:right w:val="none" w:sz="0" w:space="0" w:color="auto"/>
      </w:divBdr>
      <w:divsChild>
        <w:div w:id="1601836858">
          <w:marLeft w:val="288"/>
          <w:marRight w:val="0"/>
          <w:marTop w:val="115"/>
          <w:marBottom w:val="0"/>
          <w:divBdr>
            <w:top w:val="none" w:sz="0" w:space="0" w:color="auto"/>
            <w:left w:val="none" w:sz="0" w:space="0" w:color="auto"/>
            <w:bottom w:val="none" w:sz="0" w:space="0" w:color="auto"/>
            <w:right w:val="none" w:sz="0" w:space="0" w:color="auto"/>
          </w:divBdr>
        </w:div>
      </w:divsChild>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499809248">
      <w:bodyDiv w:val="1"/>
      <w:marLeft w:val="0"/>
      <w:marRight w:val="0"/>
      <w:marTop w:val="0"/>
      <w:marBottom w:val="0"/>
      <w:divBdr>
        <w:top w:val="none" w:sz="0" w:space="0" w:color="auto"/>
        <w:left w:val="none" w:sz="0" w:space="0" w:color="auto"/>
        <w:bottom w:val="none" w:sz="0" w:space="0" w:color="auto"/>
        <w:right w:val="none" w:sz="0" w:space="0" w:color="auto"/>
      </w:divBdr>
      <w:divsChild>
        <w:div w:id="1938753324">
          <w:marLeft w:val="288"/>
          <w:marRight w:val="0"/>
          <w:marTop w:val="106"/>
          <w:marBottom w:val="0"/>
          <w:divBdr>
            <w:top w:val="none" w:sz="0" w:space="0" w:color="auto"/>
            <w:left w:val="none" w:sz="0" w:space="0" w:color="auto"/>
            <w:bottom w:val="none" w:sz="0" w:space="0" w:color="auto"/>
            <w:right w:val="none" w:sz="0" w:space="0" w:color="auto"/>
          </w:divBdr>
        </w:div>
      </w:divsChild>
    </w:div>
    <w:div w:id="514654465">
      <w:bodyDiv w:val="1"/>
      <w:marLeft w:val="0"/>
      <w:marRight w:val="0"/>
      <w:marTop w:val="0"/>
      <w:marBottom w:val="0"/>
      <w:divBdr>
        <w:top w:val="none" w:sz="0" w:space="0" w:color="auto"/>
        <w:left w:val="none" w:sz="0" w:space="0" w:color="auto"/>
        <w:bottom w:val="none" w:sz="0" w:space="0" w:color="auto"/>
        <w:right w:val="none" w:sz="0" w:space="0" w:color="auto"/>
      </w:divBdr>
    </w:div>
    <w:div w:id="545874009">
      <w:bodyDiv w:val="1"/>
      <w:marLeft w:val="0"/>
      <w:marRight w:val="0"/>
      <w:marTop w:val="0"/>
      <w:marBottom w:val="0"/>
      <w:divBdr>
        <w:top w:val="none" w:sz="0" w:space="0" w:color="auto"/>
        <w:left w:val="none" w:sz="0" w:space="0" w:color="auto"/>
        <w:bottom w:val="none" w:sz="0" w:space="0" w:color="auto"/>
        <w:right w:val="none" w:sz="0" w:space="0" w:color="auto"/>
      </w:divBdr>
      <w:divsChild>
        <w:div w:id="465125237">
          <w:marLeft w:val="547"/>
          <w:marRight w:val="0"/>
          <w:marTop w:val="96"/>
          <w:marBottom w:val="0"/>
          <w:divBdr>
            <w:top w:val="none" w:sz="0" w:space="0" w:color="auto"/>
            <w:left w:val="none" w:sz="0" w:space="0" w:color="auto"/>
            <w:bottom w:val="none" w:sz="0" w:space="0" w:color="auto"/>
            <w:right w:val="none" w:sz="0" w:space="0" w:color="auto"/>
          </w:divBdr>
        </w:div>
        <w:div w:id="508759626">
          <w:marLeft w:val="547"/>
          <w:marRight w:val="0"/>
          <w:marTop w:val="96"/>
          <w:marBottom w:val="0"/>
          <w:divBdr>
            <w:top w:val="none" w:sz="0" w:space="0" w:color="auto"/>
            <w:left w:val="none" w:sz="0" w:space="0" w:color="auto"/>
            <w:bottom w:val="none" w:sz="0" w:space="0" w:color="auto"/>
            <w:right w:val="none" w:sz="0" w:space="0" w:color="auto"/>
          </w:divBdr>
        </w:div>
        <w:div w:id="799804063">
          <w:marLeft w:val="547"/>
          <w:marRight w:val="0"/>
          <w:marTop w:val="96"/>
          <w:marBottom w:val="0"/>
          <w:divBdr>
            <w:top w:val="none" w:sz="0" w:space="0" w:color="auto"/>
            <w:left w:val="none" w:sz="0" w:space="0" w:color="auto"/>
            <w:bottom w:val="none" w:sz="0" w:space="0" w:color="auto"/>
            <w:right w:val="none" w:sz="0" w:space="0" w:color="auto"/>
          </w:divBdr>
        </w:div>
        <w:div w:id="1938632716">
          <w:marLeft w:val="547"/>
          <w:marRight w:val="0"/>
          <w:marTop w:val="96"/>
          <w:marBottom w:val="0"/>
          <w:divBdr>
            <w:top w:val="none" w:sz="0" w:space="0" w:color="auto"/>
            <w:left w:val="none" w:sz="0" w:space="0" w:color="auto"/>
            <w:bottom w:val="none" w:sz="0" w:space="0" w:color="auto"/>
            <w:right w:val="none" w:sz="0" w:space="0" w:color="auto"/>
          </w:divBdr>
        </w:div>
        <w:div w:id="2048143571">
          <w:marLeft w:val="547"/>
          <w:marRight w:val="0"/>
          <w:marTop w:val="96"/>
          <w:marBottom w:val="0"/>
          <w:divBdr>
            <w:top w:val="none" w:sz="0" w:space="0" w:color="auto"/>
            <w:left w:val="none" w:sz="0" w:space="0" w:color="auto"/>
            <w:bottom w:val="none" w:sz="0" w:space="0" w:color="auto"/>
            <w:right w:val="none" w:sz="0" w:space="0" w:color="auto"/>
          </w:divBdr>
        </w:div>
      </w:divsChild>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97173762">
      <w:bodyDiv w:val="1"/>
      <w:marLeft w:val="0"/>
      <w:marRight w:val="0"/>
      <w:marTop w:val="0"/>
      <w:marBottom w:val="0"/>
      <w:divBdr>
        <w:top w:val="none" w:sz="0" w:space="0" w:color="auto"/>
        <w:left w:val="none" w:sz="0" w:space="0" w:color="auto"/>
        <w:bottom w:val="none" w:sz="0" w:space="0" w:color="auto"/>
        <w:right w:val="none" w:sz="0" w:space="0" w:color="auto"/>
      </w:divBdr>
    </w:div>
    <w:div w:id="63237228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88595497">
      <w:bodyDiv w:val="1"/>
      <w:marLeft w:val="0"/>
      <w:marRight w:val="0"/>
      <w:marTop w:val="0"/>
      <w:marBottom w:val="0"/>
      <w:divBdr>
        <w:top w:val="none" w:sz="0" w:space="0" w:color="auto"/>
        <w:left w:val="none" w:sz="0" w:space="0" w:color="auto"/>
        <w:bottom w:val="none" w:sz="0" w:space="0" w:color="auto"/>
        <w:right w:val="none" w:sz="0" w:space="0" w:color="auto"/>
      </w:divBdr>
    </w:div>
    <w:div w:id="804472341">
      <w:bodyDiv w:val="1"/>
      <w:marLeft w:val="0"/>
      <w:marRight w:val="0"/>
      <w:marTop w:val="0"/>
      <w:marBottom w:val="0"/>
      <w:divBdr>
        <w:top w:val="none" w:sz="0" w:space="0" w:color="auto"/>
        <w:left w:val="none" w:sz="0" w:space="0" w:color="auto"/>
        <w:bottom w:val="none" w:sz="0" w:space="0" w:color="auto"/>
        <w:right w:val="none" w:sz="0" w:space="0" w:color="auto"/>
      </w:divBdr>
    </w:div>
    <w:div w:id="813765439">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13705044">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31398862">
      <w:bodyDiv w:val="1"/>
      <w:marLeft w:val="0"/>
      <w:marRight w:val="0"/>
      <w:marTop w:val="0"/>
      <w:marBottom w:val="0"/>
      <w:divBdr>
        <w:top w:val="none" w:sz="0" w:space="0" w:color="auto"/>
        <w:left w:val="none" w:sz="0" w:space="0" w:color="auto"/>
        <w:bottom w:val="none" w:sz="0" w:space="0" w:color="auto"/>
        <w:right w:val="none" w:sz="0" w:space="0" w:color="auto"/>
      </w:divBdr>
    </w:div>
    <w:div w:id="932738464">
      <w:bodyDiv w:val="1"/>
      <w:marLeft w:val="0"/>
      <w:marRight w:val="0"/>
      <w:marTop w:val="0"/>
      <w:marBottom w:val="0"/>
      <w:divBdr>
        <w:top w:val="none" w:sz="0" w:space="0" w:color="auto"/>
        <w:left w:val="none" w:sz="0" w:space="0" w:color="auto"/>
        <w:bottom w:val="none" w:sz="0" w:space="0" w:color="auto"/>
        <w:right w:val="none" w:sz="0" w:space="0" w:color="auto"/>
      </w:divBdr>
    </w:div>
    <w:div w:id="936445502">
      <w:bodyDiv w:val="1"/>
      <w:marLeft w:val="0"/>
      <w:marRight w:val="0"/>
      <w:marTop w:val="0"/>
      <w:marBottom w:val="0"/>
      <w:divBdr>
        <w:top w:val="none" w:sz="0" w:space="0" w:color="auto"/>
        <w:left w:val="none" w:sz="0" w:space="0" w:color="auto"/>
        <w:bottom w:val="none" w:sz="0" w:space="0" w:color="auto"/>
        <w:right w:val="none" w:sz="0" w:space="0" w:color="auto"/>
      </w:divBdr>
    </w:div>
    <w:div w:id="939294118">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63384425">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6589735">
      <w:bodyDiv w:val="1"/>
      <w:marLeft w:val="0"/>
      <w:marRight w:val="0"/>
      <w:marTop w:val="0"/>
      <w:marBottom w:val="0"/>
      <w:divBdr>
        <w:top w:val="none" w:sz="0" w:space="0" w:color="auto"/>
        <w:left w:val="none" w:sz="0" w:space="0" w:color="auto"/>
        <w:bottom w:val="none" w:sz="0" w:space="0" w:color="auto"/>
        <w:right w:val="none" w:sz="0" w:space="0" w:color="auto"/>
      </w:divBdr>
      <w:divsChild>
        <w:div w:id="1792436056">
          <w:marLeft w:val="720"/>
          <w:marRight w:val="0"/>
          <w:marTop w:val="0"/>
          <w:marBottom w:val="120"/>
          <w:divBdr>
            <w:top w:val="none" w:sz="0" w:space="0" w:color="auto"/>
            <w:left w:val="none" w:sz="0" w:space="0" w:color="auto"/>
            <w:bottom w:val="none" w:sz="0" w:space="0" w:color="auto"/>
            <w:right w:val="none" w:sz="0" w:space="0" w:color="auto"/>
          </w:divBdr>
        </w:div>
      </w:divsChild>
    </w:div>
    <w:div w:id="993098528">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91119135">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7504967">
      <w:bodyDiv w:val="1"/>
      <w:marLeft w:val="0"/>
      <w:marRight w:val="0"/>
      <w:marTop w:val="0"/>
      <w:marBottom w:val="0"/>
      <w:divBdr>
        <w:top w:val="none" w:sz="0" w:space="0" w:color="auto"/>
        <w:left w:val="none" w:sz="0" w:space="0" w:color="auto"/>
        <w:bottom w:val="none" w:sz="0" w:space="0" w:color="auto"/>
        <w:right w:val="none" w:sz="0" w:space="0" w:color="auto"/>
      </w:divBdr>
    </w:div>
    <w:div w:id="1135029400">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3400929">
      <w:bodyDiv w:val="1"/>
      <w:marLeft w:val="0"/>
      <w:marRight w:val="0"/>
      <w:marTop w:val="0"/>
      <w:marBottom w:val="0"/>
      <w:divBdr>
        <w:top w:val="none" w:sz="0" w:space="0" w:color="auto"/>
        <w:left w:val="none" w:sz="0" w:space="0" w:color="auto"/>
        <w:bottom w:val="none" w:sz="0" w:space="0" w:color="auto"/>
        <w:right w:val="none" w:sz="0" w:space="0" w:color="auto"/>
      </w:divBdr>
      <w:divsChild>
        <w:div w:id="1324704511">
          <w:marLeft w:val="0"/>
          <w:marRight w:val="0"/>
          <w:marTop w:val="0"/>
          <w:marBottom w:val="120"/>
          <w:divBdr>
            <w:top w:val="none" w:sz="0" w:space="0" w:color="auto"/>
            <w:left w:val="none" w:sz="0" w:space="0" w:color="auto"/>
            <w:bottom w:val="none" w:sz="0" w:space="0" w:color="auto"/>
            <w:right w:val="none" w:sz="0" w:space="0" w:color="auto"/>
          </w:divBdr>
        </w:div>
        <w:div w:id="1931699018">
          <w:marLeft w:val="0"/>
          <w:marRight w:val="0"/>
          <w:marTop w:val="0"/>
          <w:marBottom w:val="120"/>
          <w:divBdr>
            <w:top w:val="none" w:sz="0" w:space="0" w:color="auto"/>
            <w:left w:val="none" w:sz="0" w:space="0" w:color="auto"/>
            <w:bottom w:val="none" w:sz="0" w:space="0" w:color="auto"/>
            <w:right w:val="none" w:sz="0" w:space="0" w:color="auto"/>
          </w:divBdr>
        </w:div>
      </w:divsChild>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6741993">
      <w:bodyDiv w:val="1"/>
      <w:marLeft w:val="0"/>
      <w:marRight w:val="0"/>
      <w:marTop w:val="0"/>
      <w:marBottom w:val="0"/>
      <w:divBdr>
        <w:top w:val="none" w:sz="0" w:space="0" w:color="auto"/>
        <w:left w:val="none" w:sz="0" w:space="0" w:color="auto"/>
        <w:bottom w:val="none" w:sz="0" w:space="0" w:color="auto"/>
        <w:right w:val="none" w:sz="0" w:space="0" w:color="auto"/>
      </w:divBdr>
      <w:divsChild>
        <w:div w:id="821770337">
          <w:marLeft w:val="547"/>
          <w:marRight w:val="0"/>
          <w:marTop w:val="96"/>
          <w:marBottom w:val="0"/>
          <w:divBdr>
            <w:top w:val="none" w:sz="0" w:space="0" w:color="auto"/>
            <w:left w:val="none" w:sz="0" w:space="0" w:color="auto"/>
            <w:bottom w:val="none" w:sz="0" w:space="0" w:color="auto"/>
            <w:right w:val="none" w:sz="0" w:space="0" w:color="auto"/>
          </w:divBdr>
        </w:div>
        <w:div w:id="1885480909">
          <w:marLeft w:val="547"/>
          <w:marRight w:val="0"/>
          <w:marTop w:val="96"/>
          <w:marBottom w:val="0"/>
          <w:divBdr>
            <w:top w:val="none" w:sz="0" w:space="0" w:color="auto"/>
            <w:left w:val="none" w:sz="0" w:space="0" w:color="auto"/>
            <w:bottom w:val="none" w:sz="0" w:space="0" w:color="auto"/>
            <w:right w:val="none" w:sz="0" w:space="0" w:color="auto"/>
          </w:divBdr>
        </w:div>
        <w:div w:id="1929387375">
          <w:marLeft w:val="547"/>
          <w:marRight w:val="0"/>
          <w:marTop w:val="96"/>
          <w:marBottom w:val="0"/>
          <w:divBdr>
            <w:top w:val="none" w:sz="0" w:space="0" w:color="auto"/>
            <w:left w:val="none" w:sz="0" w:space="0" w:color="auto"/>
            <w:bottom w:val="none" w:sz="0" w:space="0" w:color="auto"/>
            <w:right w:val="none" w:sz="0" w:space="0" w:color="auto"/>
          </w:divBdr>
        </w:div>
        <w:div w:id="1995988754">
          <w:marLeft w:val="547"/>
          <w:marRight w:val="0"/>
          <w:marTop w:val="96"/>
          <w:marBottom w:val="0"/>
          <w:divBdr>
            <w:top w:val="none" w:sz="0" w:space="0" w:color="auto"/>
            <w:left w:val="none" w:sz="0" w:space="0" w:color="auto"/>
            <w:bottom w:val="none" w:sz="0" w:space="0" w:color="auto"/>
            <w:right w:val="none" w:sz="0" w:space="0" w:color="auto"/>
          </w:divBdr>
        </w:div>
        <w:div w:id="2083140352">
          <w:marLeft w:val="547"/>
          <w:marRight w:val="0"/>
          <w:marTop w:val="96"/>
          <w:marBottom w:val="0"/>
          <w:divBdr>
            <w:top w:val="none" w:sz="0" w:space="0" w:color="auto"/>
            <w:left w:val="none" w:sz="0" w:space="0" w:color="auto"/>
            <w:bottom w:val="none" w:sz="0" w:space="0" w:color="auto"/>
            <w:right w:val="none" w:sz="0" w:space="0" w:color="auto"/>
          </w:divBdr>
        </w:div>
      </w:divsChild>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5670108">
      <w:bodyDiv w:val="1"/>
      <w:marLeft w:val="0"/>
      <w:marRight w:val="0"/>
      <w:marTop w:val="0"/>
      <w:marBottom w:val="0"/>
      <w:divBdr>
        <w:top w:val="none" w:sz="0" w:space="0" w:color="auto"/>
        <w:left w:val="none" w:sz="0" w:space="0" w:color="auto"/>
        <w:bottom w:val="none" w:sz="0" w:space="0" w:color="auto"/>
        <w:right w:val="none" w:sz="0" w:space="0" w:color="auto"/>
      </w:divBdr>
    </w:div>
    <w:div w:id="1333266029">
      <w:bodyDiv w:val="1"/>
      <w:marLeft w:val="0"/>
      <w:marRight w:val="0"/>
      <w:marTop w:val="0"/>
      <w:marBottom w:val="0"/>
      <w:divBdr>
        <w:top w:val="none" w:sz="0" w:space="0" w:color="auto"/>
        <w:left w:val="none" w:sz="0" w:space="0" w:color="auto"/>
        <w:bottom w:val="none" w:sz="0" w:space="0" w:color="auto"/>
        <w:right w:val="none" w:sz="0" w:space="0" w:color="auto"/>
      </w:divBdr>
    </w:div>
    <w:div w:id="1334068234">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54764968">
      <w:bodyDiv w:val="1"/>
      <w:marLeft w:val="0"/>
      <w:marRight w:val="0"/>
      <w:marTop w:val="0"/>
      <w:marBottom w:val="0"/>
      <w:divBdr>
        <w:top w:val="none" w:sz="0" w:space="0" w:color="auto"/>
        <w:left w:val="none" w:sz="0" w:space="0" w:color="auto"/>
        <w:bottom w:val="none" w:sz="0" w:space="0" w:color="auto"/>
        <w:right w:val="none" w:sz="0" w:space="0" w:color="auto"/>
      </w:divBdr>
    </w:div>
    <w:div w:id="1376348271">
      <w:bodyDiv w:val="1"/>
      <w:marLeft w:val="0"/>
      <w:marRight w:val="0"/>
      <w:marTop w:val="0"/>
      <w:marBottom w:val="0"/>
      <w:divBdr>
        <w:top w:val="none" w:sz="0" w:space="0" w:color="auto"/>
        <w:left w:val="none" w:sz="0" w:space="0" w:color="auto"/>
        <w:bottom w:val="none" w:sz="0" w:space="0" w:color="auto"/>
        <w:right w:val="none" w:sz="0" w:space="0" w:color="auto"/>
      </w:divBdr>
    </w:div>
    <w:div w:id="1377241051">
      <w:bodyDiv w:val="1"/>
      <w:marLeft w:val="0"/>
      <w:marRight w:val="0"/>
      <w:marTop w:val="0"/>
      <w:marBottom w:val="0"/>
      <w:divBdr>
        <w:top w:val="none" w:sz="0" w:space="0" w:color="auto"/>
        <w:left w:val="none" w:sz="0" w:space="0" w:color="auto"/>
        <w:bottom w:val="none" w:sz="0" w:space="0" w:color="auto"/>
        <w:right w:val="none" w:sz="0" w:space="0" w:color="auto"/>
      </w:divBdr>
    </w:div>
    <w:div w:id="1401244152">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23260505">
      <w:bodyDiv w:val="1"/>
      <w:marLeft w:val="0"/>
      <w:marRight w:val="0"/>
      <w:marTop w:val="0"/>
      <w:marBottom w:val="0"/>
      <w:divBdr>
        <w:top w:val="none" w:sz="0" w:space="0" w:color="auto"/>
        <w:left w:val="none" w:sz="0" w:space="0" w:color="auto"/>
        <w:bottom w:val="none" w:sz="0" w:space="0" w:color="auto"/>
        <w:right w:val="none" w:sz="0" w:space="0" w:color="auto"/>
      </w:divBdr>
    </w:div>
    <w:div w:id="142862020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27257455">
      <w:bodyDiv w:val="1"/>
      <w:marLeft w:val="0"/>
      <w:marRight w:val="0"/>
      <w:marTop w:val="0"/>
      <w:marBottom w:val="0"/>
      <w:divBdr>
        <w:top w:val="none" w:sz="0" w:space="0" w:color="auto"/>
        <w:left w:val="none" w:sz="0" w:space="0" w:color="auto"/>
        <w:bottom w:val="none" w:sz="0" w:space="0" w:color="auto"/>
        <w:right w:val="none" w:sz="0" w:space="0" w:color="auto"/>
      </w:divBdr>
      <w:divsChild>
        <w:div w:id="80219439">
          <w:marLeft w:val="720"/>
          <w:marRight w:val="0"/>
          <w:marTop w:val="96"/>
          <w:marBottom w:val="0"/>
          <w:divBdr>
            <w:top w:val="none" w:sz="0" w:space="0" w:color="auto"/>
            <w:left w:val="none" w:sz="0" w:space="0" w:color="auto"/>
            <w:bottom w:val="none" w:sz="0" w:space="0" w:color="auto"/>
            <w:right w:val="none" w:sz="0" w:space="0" w:color="auto"/>
          </w:divBdr>
        </w:div>
      </w:divsChild>
    </w:div>
    <w:div w:id="1530948648">
      <w:bodyDiv w:val="1"/>
      <w:marLeft w:val="0"/>
      <w:marRight w:val="0"/>
      <w:marTop w:val="0"/>
      <w:marBottom w:val="0"/>
      <w:divBdr>
        <w:top w:val="none" w:sz="0" w:space="0" w:color="auto"/>
        <w:left w:val="none" w:sz="0" w:space="0" w:color="auto"/>
        <w:bottom w:val="none" w:sz="0" w:space="0" w:color="auto"/>
        <w:right w:val="none" w:sz="0" w:space="0" w:color="auto"/>
      </w:divBdr>
      <w:divsChild>
        <w:div w:id="513501002">
          <w:marLeft w:val="0"/>
          <w:marRight w:val="0"/>
          <w:marTop w:val="0"/>
          <w:marBottom w:val="120"/>
          <w:divBdr>
            <w:top w:val="none" w:sz="0" w:space="0" w:color="auto"/>
            <w:left w:val="none" w:sz="0" w:space="0" w:color="auto"/>
            <w:bottom w:val="none" w:sz="0" w:space="0" w:color="auto"/>
            <w:right w:val="none" w:sz="0" w:space="0" w:color="auto"/>
          </w:divBdr>
        </w:div>
        <w:div w:id="937909187">
          <w:marLeft w:val="0"/>
          <w:marRight w:val="0"/>
          <w:marTop w:val="0"/>
          <w:marBottom w:val="120"/>
          <w:divBdr>
            <w:top w:val="none" w:sz="0" w:space="0" w:color="auto"/>
            <w:left w:val="none" w:sz="0" w:space="0" w:color="auto"/>
            <w:bottom w:val="none" w:sz="0" w:space="0" w:color="auto"/>
            <w:right w:val="none" w:sz="0" w:space="0" w:color="auto"/>
          </w:divBdr>
        </w:div>
      </w:divsChild>
    </w:div>
    <w:div w:id="1536573583">
      <w:bodyDiv w:val="1"/>
      <w:marLeft w:val="0"/>
      <w:marRight w:val="0"/>
      <w:marTop w:val="0"/>
      <w:marBottom w:val="0"/>
      <w:divBdr>
        <w:top w:val="none" w:sz="0" w:space="0" w:color="auto"/>
        <w:left w:val="none" w:sz="0" w:space="0" w:color="auto"/>
        <w:bottom w:val="none" w:sz="0" w:space="0" w:color="auto"/>
        <w:right w:val="none" w:sz="0" w:space="0" w:color="auto"/>
      </w:divBdr>
      <w:divsChild>
        <w:div w:id="563679347">
          <w:marLeft w:val="720"/>
          <w:marRight w:val="0"/>
          <w:marTop w:val="96"/>
          <w:marBottom w:val="0"/>
          <w:divBdr>
            <w:top w:val="none" w:sz="0" w:space="0" w:color="auto"/>
            <w:left w:val="none" w:sz="0" w:space="0" w:color="auto"/>
            <w:bottom w:val="none" w:sz="0" w:space="0" w:color="auto"/>
            <w:right w:val="none" w:sz="0" w:space="0" w:color="auto"/>
          </w:divBdr>
        </w:div>
        <w:div w:id="729810583">
          <w:marLeft w:val="720"/>
          <w:marRight w:val="0"/>
          <w:marTop w:val="96"/>
          <w:marBottom w:val="0"/>
          <w:divBdr>
            <w:top w:val="none" w:sz="0" w:space="0" w:color="auto"/>
            <w:left w:val="none" w:sz="0" w:space="0" w:color="auto"/>
            <w:bottom w:val="none" w:sz="0" w:space="0" w:color="auto"/>
            <w:right w:val="none" w:sz="0" w:space="0" w:color="auto"/>
          </w:divBdr>
        </w:div>
        <w:div w:id="1354917153">
          <w:marLeft w:val="720"/>
          <w:marRight w:val="0"/>
          <w:marTop w:val="96"/>
          <w:marBottom w:val="0"/>
          <w:divBdr>
            <w:top w:val="none" w:sz="0" w:space="0" w:color="auto"/>
            <w:left w:val="none" w:sz="0" w:space="0" w:color="auto"/>
            <w:bottom w:val="none" w:sz="0" w:space="0" w:color="auto"/>
            <w:right w:val="none" w:sz="0" w:space="0" w:color="auto"/>
          </w:divBdr>
        </w:div>
        <w:div w:id="1412895397">
          <w:marLeft w:val="720"/>
          <w:marRight w:val="0"/>
          <w:marTop w:val="96"/>
          <w:marBottom w:val="0"/>
          <w:divBdr>
            <w:top w:val="none" w:sz="0" w:space="0" w:color="auto"/>
            <w:left w:val="none" w:sz="0" w:space="0" w:color="auto"/>
            <w:bottom w:val="none" w:sz="0" w:space="0" w:color="auto"/>
            <w:right w:val="none" w:sz="0" w:space="0" w:color="auto"/>
          </w:divBdr>
        </w:div>
        <w:div w:id="1601060110">
          <w:marLeft w:val="720"/>
          <w:marRight w:val="0"/>
          <w:marTop w:val="96"/>
          <w:marBottom w:val="0"/>
          <w:divBdr>
            <w:top w:val="none" w:sz="0" w:space="0" w:color="auto"/>
            <w:left w:val="none" w:sz="0" w:space="0" w:color="auto"/>
            <w:bottom w:val="none" w:sz="0" w:space="0" w:color="auto"/>
            <w:right w:val="none" w:sz="0" w:space="0" w:color="auto"/>
          </w:divBdr>
        </w:div>
      </w:divsChild>
    </w:div>
    <w:div w:id="1544095751">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26545924">
      <w:bodyDiv w:val="1"/>
      <w:marLeft w:val="0"/>
      <w:marRight w:val="0"/>
      <w:marTop w:val="0"/>
      <w:marBottom w:val="0"/>
      <w:divBdr>
        <w:top w:val="none" w:sz="0" w:space="0" w:color="auto"/>
        <w:left w:val="none" w:sz="0" w:space="0" w:color="auto"/>
        <w:bottom w:val="none" w:sz="0" w:space="0" w:color="auto"/>
        <w:right w:val="none" w:sz="0" w:space="0" w:color="auto"/>
      </w:divBdr>
    </w:div>
    <w:div w:id="1632713013">
      <w:bodyDiv w:val="1"/>
      <w:marLeft w:val="0"/>
      <w:marRight w:val="0"/>
      <w:marTop w:val="0"/>
      <w:marBottom w:val="0"/>
      <w:divBdr>
        <w:top w:val="none" w:sz="0" w:space="0" w:color="auto"/>
        <w:left w:val="none" w:sz="0" w:space="0" w:color="auto"/>
        <w:bottom w:val="none" w:sz="0" w:space="0" w:color="auto"/>
        <w:right w:val="none" w:sz="0" w:space="0" w:color="auto"/>
      </w:divBdr>
      <w:divsChild>
        <w:div w:id="1345475045">
          <w:marLeft w:val="547"/>
          <w:marRight w:val="0"/>
          <w:marTop w:val="96"/>
          <w:marBottom w:val="0"/>
          <w:divBdr>
            <w:top w:val="none" w:sz="0" w:space="0" w:color="auto"/>
            <w:left w:val="none" w:sz="0" w:space="0" w:color="auto"/>
            <w:bottom w:val="none" w:sz="0" w:space="0" w:color="auto"/>
            <w:right w:val="none" w:sz="0" w:space="0" w:color="auto"/>
          </w:divBdr>
        </w:div>
      </w:divsChild>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62929192">
      <w:bodyDiv w:val="1"/>
      <w:marLeft w:val="0"/>
      <w:marRight w:val="0"/>
      <w:marTop w:val="0"/>
      <w:marBottom w:val="0"/>
      <w:divBdr>
        <w:top w:val="none" w:sz="0" w:space="0" w:color="auto"/>
        <w:left w:val="none" w:sz="0" w:space="0" w:color="auto"/>
        <w:bottom w:val="none" w:sz="0" w:space="0" w:color="auto"/>
        <w:right w:val="none" w:sz="0" w:space="0" w:color="auto"/>
      </w:divBdr>
    </w:div>
    <w:div w:id="1687437724">
      <w:bodyDiv w:val="1"/>
      <w:marLeft w:val="0"/>
      <w:marRight w:val="0"/>
      <w:marTop w:val="0"/>
      <w:marBottom w:val="0"/>
      <w:divBdr>
        <w:top w:val="none" w:sz="0" w:space="0" w:color="auto"/>
        <w:left w:val="none" w:sz="0" w:space="0" w:color="auto"/>
        <w:bottom w:val="none" w:sz="0" w:space="0" w:color="auto"/>
        <w:right w:val="none" w:sz="0" w:space="0" w:color="auto"/>
      </w:divBdr>
    </w:div>
    <w:div w:id="1778255149">
      <w:bodyDiv w:val="1"/>
      <w:marLeft w:val="0"/>
      <w:marRight w:val="0"/>
      <w:marTop w:val="0"/>
      <w:marBottom w:val="0"/>
      <w:divBdr>
        <w:top w:val="none" w:sz="0" w:space="0" w:color="auto"/>
        <w:left w:val="none" w:sz="0" w:space="0" w:color="auto"/>
        <w:bottom w:val="none" w:sz="0" w:space="0" w:color="auto"/>
        <w:right w:val="none" w:sz="0" w:space="0" w:color="auto"/>
      </w:divBdr>
    </w:div>
    <w:div w:id="1787582836">
      <w:bodyDiv w:val="1"/>
      <w:marLeft w:val="0"/>
      <w:marRight w:val="0"/>
      <w:marTop w:val="0"/>
      <w:marBottom w:val="0"/>
      <w:divBdr>
        <w:top w:val="none" w:sz="0" w:space="0" w:color="auto"/>
        <w:left w:val="none" w:sz="0" w:space="0" w:color="auto"/>
        <w:bottom w:val="none" w:sz="0" w:space="0" w:color="auto"/>
        <w:right w:val="none" w:sz="0" w:space="0" w:color="auto"/>
      </w:divBdr>
      <w:divsChild>
        <w:div w:id="1733773737">
          <w:marLeft w:val="547"/>
          <w:marRight w:val="0"/>
          <w:marTop w:val="96"/>
          <w:marBottom w:val="0"/>
          <w:divBdr>
            <w:top w:val="none" w:sz="0" w:space="0" w:color="auto"/>
            <w:left w:val="none" w:sz="0" w:space="0" w:color="auto"/>
            <w:bottom w:val="none" w:sz="0" w:space="0" w:color="auto"/>
            <w:right w:val="none" w:sz="0" w:space="0" w:color="auto"/>
          </w:divBdr>
        </w:div>
      </w:divsChild>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791434517">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16533523">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74804309">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41643427">
      <w:bodyDiv w:val="1"/>
      <w:marLeft w:val="0"/>
      <w:marRight w:val="0"/>
      <w:marTop w:val="0"/>
      <w:marBottom w:val="0"/>
      <w:divBdr>
        <w:top w:val="none" w:sz="0" w:space="0" w:color="auto"/>
        <w:left w:val="none" w:sz="0" w:space="0" w:color="auto"/>
        <w:bottom w:val="none" w:sz="0" w:space="0" w:color="auto"/>
        <w:right w:val="none" w:sz="0" w:space="0" w:color="auto"/>
      </w:divBdr>
      <w:divsChild>
        <w:div w:id="853807031">
          <w:marLeft w:val="720"/>
          <w:marRight w:val="0"/>
          <w:marTop w:val="96"/>
          <w:marBottom w:val="0"/>
          <w:divBdr>
            <w:top w:val="none" w:sz="0" w:space="0" w:color="auto"/>
            <w:left w:val="none" w:sz="0" w:space="0" w:color="auto"/>
            <w:bottom w:val="none" w:sz="0" w:space="0" w:color="auto"/>
            <w:right w:val="none" w:sz="0" w:space="0" w:color="auto"/>
          </w:divBdr>
        </w:div>
        <w:div w:id="1129975730">
          <w:marLeft w:val="720"/>
          <w:marRight w:val="0"/>
          <w:marTop w:val="96"/>
          <w:marBottom w:val="0"/>
          <w:divBdr>
            <w:top w:val="none" w:sz="0" w:space="0" w:color="auto"/>
            <w:left w:val="none" w:sz="0" w:space="0" w:color="auto"/>
            <w:bottom w:val="none" w:sz="0" w:space="0" w:color="auto"/>
            <w:right w:val="none" w:sz="0" w:space="0" w:color="auto"/>
          </w:divBdr>
        </w:div>
      </w:divsChild>
    </w:div>
    <w:div w:id="1963924936">
      <w:bodyDiv w:val="1"/>
      <w:marLeft w:val="0"/>
      <w:marRight w:val="0"/>
      <w:marTop w:val="0"/>
      <w:marBottom w:val="0"/>
      <w:divBdr>
        <w:top w:val="none" w:sz="0" w:space="0" w:color="auto"/>
        <w:left w:val="none" w:sz="0" w:space="0" w:color="auto"/>
        <w:bottom w:val="none" w:sz="0" w:space="0" w:color="auto"/>
        <w:right w:val="none" w:sz="0" w:space="0" w:color="auto"/>
      </w:divBdr>
      <w:divsChild>
        <w:div w:id="2069957859">
          <w:marLeft w:val="720"/>
          <w:marRight w:val="0"/>
          <w:marTop w:val="0"/>
          <w:marBottom w:val="0"/>
          <w:divBdr>
            <w:top w:val="none" w:sz="0" w:space="0" w:color="auto"/>
            <w:left w:val="none" w:sz="0" w:space="0" w:color="auto"/>
            <w:bottom w:val="none" w:sz="0" w:space="0" w:color="auto"/>
            <w:right w:val="none" w:sz="0" w:space="0" w:color="auto"/>
          </w:divBdr>
        </w:div>
      </w:divsChild>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22126872">
      <w:bodyDiv w:val="1"/>
      <w:marLeft w:val="0"/>
      <w:marRight w:val="0"/>
      <w:marTop w:val="0"/>
      <w:marBottom w:val="0"/>
      <w:divBdr>
        <w:top w:val="none" w:sz="0" w:space="0" w:color="auto"/>
        <w:left w:val="none" w:sz="0" w:space="0" w:color="auto"/>
        <w:bottom w:val="none" w:sz="0" w:space="0" w:color="auto"/>
        <w:right w:val="none" w:sz="0" w:space="0" w:color="auto"/>
      </w:divBdr>
      <w:divsChild>
        <w:div w:id="1356073834">
          <w:marLeft w:val="720"/>
          <w:marRight w:val="0"/>
          <w:marTop w:val="96"/>
          <w:marBottom w:val="0"/>
          <w:divBdr>
            <w:top w:val="none" w:sz="0" w:space="0" w:color="auto"/>
            <w:left w:val="none" w:sz="0" w:space="0" w:color="auto"/>
            <w:bottom w:val="none" w:sz="0" w:space="0" w:color="auto"/>
            <w:right w:val="none" w:sz="0" w:space="0" w:color="auto"/>
          </w:divBdr>
        </w:div>
      </w:divsChild>
    </w:div>
    <w:div w:id="2044163123">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98666715">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msac.gov.au/internet/msac/publishing.nsf/Content/Home-1"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sac.gov.au/applications/1774" TargetMode="External"/><Relationship Id="rId3" Type="http://schemas.openxmlformats.org/officeDocument/2006/relationships/hyperlink" Target="https://doi.org/10.1002/humu.24148" TargetMode="External"/><Relationship Id="rId7" Type="http://schemas.openxmlformats.org/officeDocument/2006/relationships/hyperlink" Target="https://www.health.gov.au/resources/publications/newborn-bloodspot-screening-national-policyframework?language=en" TargetMode="External"/><Relationship Id="rId2" Type="http://schemas.openxmlformats.org/officeDocument/2006/relationships/hyperlink" Target="https://www.health.gov.au/resources/publications/newborn-bloodspot-screening-national-policyframework?language=en" TargetMode="External"/><Relationship Id="rId1" Type="http://schemas.openxmlformats.org/officeDocument/2006/relationships/hyperlink" Target="https://www.health.gov.au/resources/publications/newborn-bloodspot-screening-nbs-our-national-decision-making-pathway-fact-sheet" TargetMode="External"/><Relationship Id="rId6" Type="http://schemas.openxmlformats.org/officeDocument/2006/relationships/hyperlink" Target="https://www.health.gov.au/sites/default/files/2024-06/newborn-bloodspot-screening-expansion-readiness-assessment-executive-summary_0.pdf" TargetMode="External"/><Relationship Id="rId5" Type="http://schemas.openxmlformats.org/officeDocument/2006/relationships/hyperlink" Target="https://doi.org/10.1111/cge.13529" TargetMode="External"/><Relationship Id="rId10" Type="http://schemas.openxmlformats.org/officeDocument/2006/relationships/hyperlink" Target="https://www.msac.gov.au/applications/1776" TargetMode="External"/><Relationship Id="rId4" Type="http://schemas.openxmlformats.org/officeDocument/2006/relationships/hyperlink" Target="https://doi.org/10.3233/JND-230164" TargetMode="External"/><Relationship Id="rId9" Type="http://schemas.openxmlformats.org/officeDocument/2006/relationships/hyperlink" Target="https://www.msac.gov.au/applications/1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4483D-360D-4AB7-B776-14C9565E3BF8}">
  <ds:schemaRefs>
    <ds:schemaRef ds:uri="http://schemas.openxmlformats.org/officeDocument/2006/bibliography"/>
  </ds:schemaRefs>
</ds:datastoreItem>
</file>

<file path=customXml/itemProps2.xml><?xml version="1.0" encoding="utf-8"?>
<ds:datastoreItem xmlns:ds="http://schemas.openxmlformats.org/officeDocument/2006/customXml" ds:itemID="{3134EDD9-A75E-4C75-A0CA-45CC03B91407}">
  <ds:schemaRefs>
    <ds:schemaRef ds:uri="http://schemas.microsoft.com/office/2006/metadata/properties"/>
    <ds:schemaRef ds:uri="http://schemas.microsoft.com/office/infopath/2007/PartnerControls"/>
    <ds:schemaRef ds:uri="7513b557-581c-46d3-8cc7-77c65017dc6f"/>
    <ds:schemaRef ds:uri="e7d54a9e-4aca-451b-99db-b94fe438e987"/>
  </ds:schemaRefs>
</ds:datastoreItem>
</file>

<file path=customXml/itemProps3.xml><?xml version="1.0" encoding="utf-8"?>
<ds:datastoreItem xmlns:ds="http://schemas.openxmlformats.org/officeDocument/2006/customXml" ds:itemID="{80B78190-CC12-4DBC-BA80-E757C4A6769D}">
  <ds:schemaRefs>
    <ds:schemaRef ds:uri="http://schemas.microsoft.com/sharepoint/v3/contenttype/forms"/>
  </ds:schemaRefs>
</ds:datastoreItem>
</file>

<file path=customXml/itemProps4.xml><?xml version="1.0" encoding="utf-8"?>
<ds:datastoreItem xmlns:ds="http://schemas.openxmlformats.org/officeDocument/2006/customXml" ds:itemID="{E4B6A50D-2CE2-473B-B13F-5C0374E4D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34616</Words>
  <Characters>189008</Characters>
  <Application>Microsoft Office Word</Application>
  <DocSecurity>0</DocSecurity>
  <Lines>4725</Lines>
  <Paragraphs>2904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2025-09-09T02:04:00Z</dcterms:created>
  <dcterms:modified xsi:type="dcterms:W3CDTF">2025-09-09T06:48:00Z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y fmtid="{D5CDD505-2E9C-101B-9397-08002B2CF9AE}" pid="4" name="docLang">
    <vt:lpwstr>en</vt:lpwstr>
  </property>
</Properties>
</file>